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r>
        <w:t xml:space="preserve">  </w:t>
      </w:r>
    </w:p>
    <w:p w:rsidR="00896C5A" w:rsidRPr="00456F57" w:rsidRDefault="00AE7235">
      <w:pPr>
        <w:adjustRightInd w:val="0"/>
        <w:snapToGrid w:val="0"/>
        <w:spacing w:line="360" w:lineRule="auto"/>
        <w:jc w:val="center"/>
        <w:rPr>
          <w:rFonts w:cs="Arial"/>
          <w:sz w:val="24"/>
        </w:rPr>
      </w:pPr>
      <w:bookmarkStart w:id="2" w:name="CLAUSE_50b73158620945faab35c13b1828f8a5"/>
      <w:bookmarkEnd w:id="0"/>
      <w:r>
        <w:t xml:space="preserve"> </w:t>
      </w:r>
      <w:bookmarkStart w:id="3" w:name="CTS_50b73158620945faab35c13b1828f8a5"/>
      <w:bookmarkEnd w:id="3"/>
      <w:r w:rsidRPr="00E77CC9">
        <w:rPr>
          <w:noProof/>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896C5A" w:rsidRPr="00456F57" w:rsidRDefault="00896C5A">
      <w:pPr>
        <w:adjustRightInd w:val="0"/>
        <w:snapToGrid w:val="0"/>
        <w:spacing w:line="360" w:lineRule="auto"/>
        <w:jc w:val="center"/>
        <w:rPr>
          <w:rFonts w:cs="Arial"/>
          <w:sz w:val="24"/>
        </w:rPr>
      </w:pPr>
    </w:p>
    <w:p w:rsidR="00896C5A" w:rsidRPr="00456F57" w:rsidRDefault="00896C5A">
      <w:pPr>
        <w:adjustRightInd w:val="0"/>
        <w:snapToGrid w:val="0"/>
        <w:spacing w:line="360" w:lineRule="auto"/>
        <w:jc w:val="center"/>
        <w:rPr>
          <w:rFonts w:cs="Arial"/>
          <w:sz w:val="24"/>
        </w:rPr>
      </w:pPr>
    </w:p>
    <w:p w:rsidR="004828D8" w:rsidRDefault="004E0435" w:rsidP="004828D8">
      <w:pPr>
        <w:adjustRightInd w:val="0"/>
        <w:snapToGrid w:val="0"/>
        <w:spacing w:line="360" w:lineRule="auto"/>
        <w:jc w:val="center"/>
        <w:rPr>
          <w:rFonts w:ascii="黑体" w:hAnsi="黑体"/>
          <w:b/>
          <w:sz w:val="44"/>
        </w:rPr>
      </w:pPr>
      <w:r>
        <w:rPr>
          <w:rFonts w:ascii="黑体" w:hAnsi="黑体" w:hint="eastAsia"/>
          <w:b/>
          <w:sz w:val="44"/>
        </w:rPr>
        <w:t>交银施罗德瑞丰</w:t>
      </w:r>
      <w:r w:rsidR="000E3B08" w:rsidRPr="000E3B08">
        <w:rPr>
          <w:rFonts w:ascii="黑体" w:hAnsi="黑体" w:hint="eastAsia"/>
          <w:b/>
          <w:sz w:val="44"/>
        </w:rPr>
        <w:t>三年封闭运作</w:t>
      </w:r>
      <w:r w:rsidR="00CC694F">
        <w:rPr>
          <w:rFonts w:ascii="黑体" w:hAnsi="黑体" w:hint="eastAsia"/>
          <w:b/>
          <w:sz w:val="44"/>
        </w:rPr>
        <w:t>混合型证券</w:t>
      </w:r>
    </w:p>
    <w:p w:rsidR="00896C5A" w:rsidRPr="004E0435" w:rsidRDefault="00CC694F" w:rsidP="004828D8">
      <w:pPr>
        <w:adjustRightInd w:val="0"/>
        <w:snapToGrid w:val="0"/>
        <w:spacing w:line="360" w:lineRule="auto"/>
        <w:jc w:val="center"/>
        <w:rPr>
          <w:rFonts w:ascii="黑体" w:hAnsi="黑体"/>
          <w:b/>
          <w:sz w:val="44"/>
        </w:rPr>
      </w:pPr>
      <w:r>
        <w:rPr>
          <w:rFonts w:ascii="黑体" w:hAnsi="黑体" w:hint="eastAsia"/>
          <w:b/>
          <w:sz w:val="44"/>
        </w:rPr>
        <w:t>投资基金</w:t>
      </w:r>
      <w:r w:rsidR="00712663" w:rsidRPr="009D2821">
        <w:rPr>
          <w:rFonts w:ascii="黑体" w:hAnsi="黑体" w:hint="eastAsia"/>
          <w:b/>
          <w:sz w:val="44"/>
        </w:rPr>
        <w:t>托管协议</w:t>
      </w:r>
    </w:p>
    <w:p w:rsidR="00896C5A" w:rsidRPr="00E77CC9" w:rsidRDefault="00896C5A">
      <w:pPr>
        <w:adjustRightInd w:val="0"/>
        <w:snapToGrid w:val="0"/>
        <w:spacing w:line="360" w:lineRule="auto"/>
        <w:jc w:val="center"/>
        <w:rPr>
          <w:rFonts w:ascii="黑体" w:hAnsi="黑体"/>
          <w:b/>
          <w:sz w:val="48"/>
        </w:rPr>
      </w:pPr>
    </w:p>
    <w:p w:rsidR="00896C5A" w:rsidRPr="00E77CC9" w:rsidRDefault="00896C5A">
      <w:pPr>
        <w:adjustRightInd w:val="0"/>
        <w:snapToGrid w:val="0"/>
        <w:spacing w:line="360" w:lineRule="auto"/>
        <w:jc w:val="center"/>
        <w:rPr>
          <w:rFonts w:ascii="黑体" w:hAnsi="黑体"/>
          <w:b/>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rsidR="00101B49" w:rsidRDefault="00101B49" w:rsidP="00E77CC9">
      <w:pPr>
        <w:adjustRightInd w:val="0"/>
        <w:snapToGrid w:val="0"/>
        <w:spacing w:line="360" w:lineRule="auto"/>
        <w:ind w:firstLineChars="1075" w:firstLine="2258"/>
      </w:pPr>
    </w:p>
    <w:p w:rsidR="00206B78" w:rsidRDefault="00630010">
      <w:pPr>
        <w:adjustRightInd w:val="0"/>
        <w:snapToGrid w:val="0"/>
        <w:spacing w:line="360" w:lineRule="auto"/>
        <w:jc w:val="center"/>
        <w:rPr>
          <w:rFonts w:ascii="黑体" w:hAnsi="黑体"/>
          <w:sz w:val="30"/>
        </w:rPr>
      </w:pPr>
      <w:r w:rsidRPr="00372795">
        <w:rPr>
          <w:rFonts w:ascii="黑体" w:hAnsi="黑体" w:hint="eastAsia"/>
          <w:sz w:val="30"/>
        </w:rPr>
        <w:t>二零一</w:t>
      </w:r>
      <w:r>
        <w:rPr>
          <w:rFonts w:ascii="黑体" w:hAnsi="黑体" w:hint="eastAsia"/>
          <w:sz w:val="30"/>
        </w:rPr>
        <w:t>九</w:t>
      </w:r>
      <w:r w:rsidRPr="00372795">
        <w:rPr>
          <w:rFonts w:ascii="黑体" w:hAnsi="黑体" w:hint="eastAsia"/>
          <w:sz w:val="30"/>
        </w:rPr>
        <w:t>年</w:t>
      </w:r>
      <w:r w:rsidR="00496563">
        <w:rPr>
          <w:rFonts w:ascii="黑体" w:hAnsi="黑体" w:hint="eastAsia"/>
          <w:sz w:val="30"/>
        </w:rPr>
        <w:t>十</w:t>
      </w:r>
      <w:r w:rsidR="00E37798">
        <w:rPr>
          <w:rFonts w:ascii="黑体" w:hAnsi="黑体" w:hint="eastAsia"/>
          <w:sz w:val="30"/>
        </w:rPr>
        <w:t>一</w:t>
      </w:r>
      <w:r w:rsidRPr="00372795">
        <w:rPr>
          <w:rFonts w:ascii="黑体" w:hAnsi="黑体" w:hint="eastAsia"/>
          <w:sz w:val="30"/>
        </w:rPr>
        <w:t>月</w:t>
      </w:r>
    </w:p>
    <w:p w:rsidR="00896C5A" w:rsidRPr="00456F57" w:rsidRDefault="00896C5A">
      <w:pPr>
        <w:adjustRightInd w:val="0"/>
        <w:snapToGrid w:val="0"/>
        <w:spacing w:line="360" w:lineRule="auto"/>
        <w:jc w:val="center"/>
        <w:rPr>
          <w:sz w:val="24"/>
        </w:rPr>
      </w:pPr>
    </w:p>
    <w:p w:rsidR="00896C5A" w:rsidRDefault="00896C5A">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Pr="00456F57" w:rsidRDefault="00411479">
      <w:pPr>
        <w:adjustRightInd w:val="0"/>
        <w:snapToGrid w:val="0"/>
        <w:spacing w:line="360" w:lineRule="auto"/>
        <w:jc w:val="center"/>
        <w:rPr>
          <w:sz w:val="24"/>
        </w:rPr>
      </w:pPr>
    </w:p>
    <w:p w:rsidR="00896C5A" w:rsidRPr="00E77CC9" w:rsidRDefault="00896C5A">
      <w:pPr>
        <w:adjustRightInd w:val="0"/>
        <w:snapToGrid w:val="0"/>
        <w:spacing w:line="360" w:lineRule="auto"/>
        <w:rPr>
          <w:sz w:val="24"/>
        </w:rPr>
      </w:pPr>
    </w:p>
    <w:p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195849">
          <w:rPr>
            <w:noProof/>
            <w:webHidden/>
          </w:rPr>
          <w:t>4</w:t>
        </w:r>
        <w:r>
          <w:rPr>
            <w:noProof/>
            <w:webHidden/>
          </w:rPr>
          <w:fldChar w:fldCharType="end"/>
        </w:r>
      </w:hyperlink>
    </w:p>
    <w:p w:rsidR="00101B49" w:rsidRPr="00E77CC9" w:rsidRDefault="002E504F"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195849">
          <w:rPr>
            <w:noProof/>
            <w:webHidden/>
          </w:rPr>
          <w:t>5</w:t>
        </w:r>
        <w:r w:rsidR="00E72662">
          <w:rPr>
            <w:noProof/>
            <w:webHidden/>
          </w:rPr>
          <w:fldChar w:fldCharType="end"/>
        </w:r>
      </w:hyperlink>
    </w:p>
    <w:p w:rsidR="00101B49" w:rsidRPr="00E77CC9" w:rsidRDefault="002E504F"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195849">
          <w:rPr>
            <w:noProof/>
            <w:webHidden/>
          </w:rPr>
          <w:t>6</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195849">
          <w:rPr>
            <w:noProof/>
            <w:webHidden/>
          </w:rPr>
          <w:t>17</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195849">
          <w:rPr>
            <w:noProof/>
            <w:webHidden/>
          </w:rPr>
          <w:t>18</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195849">
          <w:rPr>
            <w:noProof/>
            <w:webHidden/>
          </w:rPr>
          <w:t>22</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195849">
          <w:rPr>
            <w:noProof/>
            <w:webHidden/>
          </w:rPr>
          <w:t>26</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195849">
          <w:rPr>
            <w:noProof/>
            <w:webHidden/>
          </w:rPr>
          <w:t>29</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195849">
          <w:rPr>
            <w:noProof/>
            <w:webHidden/>
          </w:rPr>
          <w:t>31</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195849">
          <w:rPr>
            <w:noProof/>
            <w:webHidden/>
          </w:rPr>
          <w:t>32</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195849">
          <w:rPr>
            <w:noProof/>
            <w:webHidden/>
          </w:rPr>
          <w:t>35</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195849">
          <w:rPr>
            <w:noProof/>
            <w:webHidden/>
          </w:rPr>
          <w:t>36</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195849">
          <w:rPr>
            <w:noProof/>
            <w:webHidden/>
          </w:rPr>
          <w:t>37</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195849">
          <w:rPr>
            <w:noProof/>
            <w:webHidden/>
          </w:rPr>
          <w:t>38</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195849">
          <w:rPr>
            <w:noProof/>
            <w:webHidden/>
          </w:rPr>
          <w:t>39</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195849">
          <w:rPr>
            <w:noProof/>
            <w:webHidden/>
          </w:rPr>
          <w:t>40</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195849">
          <w:rPr>
            <w:noProof/>
            <w:webHidden/>
          </w:rPr>
          <w:t>41</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195849">
          <w:rPr>
            <w:noProof/>
            <w:webHidden/>
          </w:rPr>
          <w:t>42</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195849">
          <w:rPr>
            <w:noProof/>
            <w:webHidden/>
          </w:rPr>
          <w:t>43</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195849">
          <w:rPr>
            <w:noProof/>
            <w:webHidden/>
          </w:rPr>
          <w:t>44</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195849">
          <w:rPr>
            <w:noProof/>
            <w:webHidden/>
          </w:rPr>
          <w:t>45</w:t>
        </w:r>
        <w:r w:rsidR="00E72662">
          <w:rPr>
            <w:noProof/>
            <w:webHidden/>
          </w:rPr>
          <w:fldChar w:fldCharType="end"/>
        </w:r>
      </w:hyperlink>
    </w:p>
    <w:p w:rsidR="00101B49" w:rsidRPr="00E77CC9" w:rsidRDefault="002E504F"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195849">
          <w:rPr>
            <w:noProof/>
            <w:webHidden/>
          </w:rPr>
          <w:t>46</w:t>
        </w:r>
        <w:r w:rsidR="00E72662">
          <w:rPr>
            <w:noProof/>
            <w:webHidden/>
          </w:rPr>
          <w:fldChar w:fldCharType="end"/>
        </w:r>
      </w:hyperlink>
    </w:p>
    <w:p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rsidR="00101B49" w:rsidRPr="00E77CC9" w:rsidRDefault="00101B49" w:rsidP="00E77CC9">
      <w:pPr>
        <w:pStyle w:val="21"/>
        <w:tabs>
          <w:tab w:val="right" w:leader="dot" w:pos="8494"/>
        </w:tabs>
        <w:spacing w:line="360" w:lineRule="auto"/>
        <w:rPr>
          <w:rFonts w:ascii="宋体" w:hAnsi="宋体"/>
          <w:sz w:val="24"/>
        </w:rPr>
      </w:pPr>
    </w:p>
    <w:p w:rsidR="00896C5A" w:rsidRPr="00E77CC9" w:rsidRDefault="00101B49">
      <w:pPr>
        <w:spacing w:line="360" w:lineRule="auto"/>
        <w:rPr>
          <w:rFonts w:ascii="宋体" w:hAnsi="宋体"/>
          <w:sz w:val="24"/>
        </w:rPr>
      </w:pPr>
      <w:r w:rsidRPr="00E77CC9">
        <w:rPr>
          <w:rFonts w:ascii="宋体" w:hAnsi="宋体"/>
          <w:sz w:val="24"/>
        </w:rPr>
        <w:br w:type="page"/>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rsidR="00896C5A" w:rsidRPr="00E77CC9" w:rsidRDefault="00896C5A">
      <w:pPr>
        <w:spacing w:line="360" w:lineRule="auto"/>
        <w:rPr>
          <w:rFonts w:ascii="宋体" w:hAnsi="宋体"/>
          <w:sz w:val="24"/>
          <w:lang w:val="en-GB"/>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t>二、基金托管协议的依据、目的和原则</w:t>
      </w:r>
      <w:bookmarkEnd w:id="9"/>
      <w:bookmarkEnd w:id="10"/>
      <w:bookmarkEnd w:id="11"/>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t>三、基金托管人对基金管理人的业务监督和核查</w:t>
      </w:r>
      <w:bookmarkEnd w:id="12"/>
      <w:bookmarkEnd w:id="13"/>
      <w:bookmarkEnd w:id="14"/>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2951AC" w:rsidRPr="002951AC">
        <w:rPr>
          <w:rFonts w:hint="eastAsia"/>
          <w:bCs/>
          <w:sz w:val="24"/>
        </w:rPr>
        <w:t>国内依法发行上市的</w:t>
      </w:r>
      <w:r w:rsidR="00195B9F" w:rsidRPr="00FD72A5">
        <w:rPr>
          <w:rFonts w:hint="eastAsia"/>
          <w:bCs/>
          <w:sz w:val="24"/>
        </w:rPr>
        <w:t>股票</w:t>
      </w:r>
      <w:r w:rsidR="00195B9F">
        <w:rPr>
          <w:rFonts w:hint="eastAsia"/>
          <w:bCs/>
          <w:sz w:val="24"/>
        </w:rPr>
        <w:t>（</w:t>
      </w:r>
      <w:r w:rsidR="00195B9F" w:rsidRPr="003C72B2">
        <w:rPr>
          <w:rFonts w:hint="eastAsia"/>
          <w:bCs/>
          <w:sz w:val="24"/>
        </w:rPr>
        <w:t>含中小板、创业板及其他经中国证监会核准上市的股票</w:t>
      </w:r>
      <w:r w:rsidR="00195B9F">
        <w:rPr>
          <w:bCs/>
          <w:sz w:val="24"/>
        </w:rPr>
        <w:t>）</w:t>
      </w:r>
      <w:r w:rsidR="00195B9F">
        <w:rPr>
          <w:rFonts w:hint="eastAsia"/>
          <w:bCs/>
          <w:sz w:val="24"/>
        </w:rPr>
        <w:t>、</w:t>
      </w:r>
      <w:r w:rsidR="002951AC" w:rsidRPr="002951AC">
        <w:rPr>
          <w:rFonts w:hint="eastAsia"/>
          <w:bCs/>
          <w:sz w:val="24"/>
        </w:rPr>
        <w:t>港股通标的股票、</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rsidR="004E0435" w:rsidRDefault="008A273A" w:rsidP="008A273A">
      <w:pPr>
        <w:spacing w:line="360" w:lineRule="auto"/>
        <w:ind w:firstLine="480"/>
        <w:rPr>
          <w:bCs/>
          <w:sz w:val="24"/>
        </w:rPr>
      </w:pPr>
      <w:r w:rsidRPr="00610824">
        <w:rPr>
          <w:bCs/>
          <w:sz w:val="24"/>
        </w:rPr>
        <w:t>基金的投资组合比例为</w:t>
      </w:r>
      <w:r>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002951AC" w:rsidRPr="002951AC">
        <w:rPr>
          <w:rFonts w:hint="eastAsia"/>
          <w:bCs/>
          <w:sz w:val="24"/>
        </w:rPr>
        <w:t>，股票投资占基金资产的比例为</w:t>
      </w:r>
      <w:r w:rsidR="002951AC" w:rsidRPr="002951AC">
        <w:rPr>
          <w:rFonts w:hint="eastAsia"/>
          <w:bCs/>
          <w:sz w:val="24"/>
        </w:rPr>
        <w:t>50%-95%</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）；封闭期内，股票投资占基金资产的比例为</w:t>
      </w:r>
      <w:r w:rsidR="002951AC" w:rsidRPr="002951AC">
        <w:rPr>
          <w:rFonts w:hint="eastAsia"/>
          <w:bCs/>
          <w:sz w:val="24"/>
        </w:rPr>
        <w:t>50%-100%</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0E3B08" w:rsidRPr="000E3B08">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D1DD6">
        <w:rPr>
          <w:rFonts w:hint="eastAsia"/>
          <w:bCs/>
          <w:sz w:val="24"/>
        </w:rPr>
        <w:t>下限</w:t>
      </w:r>
      <w:r w:rsidR="000E3B08" w:rsidRPr="000E3B08">
        <w:rPr>
          <w:rFonts w:hint="eastAsia"/>
          <w:bCs/>
          <w:sz w:val="24"/>
        </w:rPr>
        <w:t>比例限制</w:t>
      </w:r>
      <w:r w:rsidR="002951AC" w:rsidRPr="002951AC">
        <w:rPr>
          <w:rFonts w:hint="eastAsia"/>
          <w:bCs/>
          <w:sz w:val="24"/>
        </w:rPr>
        <w:t>。</w:t>
      </w:r>
    </w:p>
    <w:p w:rsidR="008A273A" w:rsidRDefault="004E0435" w:rsidP="008A273A">
      <w:pPr>
        <w:spacing w:line="360" w:lineRule="auto"/>
        <w:ind w:firstLine="480"/>
        <w:rPr>
          <w:bCs/>
          <w:sz w:val="24"/>
        </w:rPr>
      </w:pPr>
      <w:r w:rsidRPr="00C50887">
        <w:rPr>
          <w:rFonts w:hint="eastAsia"/>
          <w:bCs/>
          <w:sz w:val="24"/>
        </w:rPr>
        <w:t>本基金转为</w:t>
      </w:r>
      <w:r w:rsidR="00D959DA">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Pr>
          <w:rFonts w:hint="eastAsia"/>
          <w:bCs/>
          <w:sz w:val="24"/>
        </w:rPr>
        <w:t>，</w:t>
      </w:r>
      <w:r w:rsidR="002951AC" w:rsidRPr="002951AC">
        <w:rPr>
          <w:rFonts w:hint="eastAsia"/>
          <w:bCs/>
          <w:sz w:val="24"/>
        </w:rPr>
        <w:t>每个交易日日终，在扣除股指期货合约需缴纳的交易保证金后，本基金保留的现金或者投资于到期日在一年以内的政府债券的比例合计不低于基金资产净值的</w:t>
      </w:r>
      <w:r w:rsidR="002951AC" w:rsidRPr="002951AC">
        <w:rPr>
          <w:rFonts w:hint="eastAsia"/>
          <w:bCs/>
          <w:sz w:val="24"/>
        </w:rPr>
        <w:t>5%</w:t>
      </w:r>
      <w:r w:rsidR="002951AC" w:rsidRPr="002951AC">
        <w:rPr>
          <w:rFonts w:hint="eastAsia"/>
          <w:bCs/>
          <w:sz w:val="24"/>
        </w:rPr>
        <w:t>；在封闭期内，本基金不受</w:t>
      </w:r>
      <w:r w:rsidR="00D959DA">
        <w:rPr>
          <w:bCs/>
          <w:sz w:val="24"/>
        </w:rPr>
        <w:t>前</w:t>
      </w:r>
      <w:r w:rsidR="002951AC" w:rsidRPr="002951AC">
        <w:rPr>
          <w:rFonts w:hint="eastAsia"/>
          <w:bCs/>
          <w:sz w:val="24"/>
        </w:rPr>
        <w:t>述</w:t>
      </w:r>
      <w:r w:rsidR="002951AC" w:rsidRPr="002951AC">
        <w:rPr>
          <w:rFonts w:hint="eastAsia"/>
          <w:bCs/>
          <w:sz w:val="24"/>
        </w:rPr>
        <w:t>5%</w:t>
      </w:r>
      <w:r w:rsidR="002951AC" w:rsidRPr="002951AC">
        <w:rPr>
          <w:rFonts w:hint="eastAsia"/>
          <w:bCs/>
          <w:sz w:val="24"/>
        </w:rPr>
        <w:t>的限制，但每个交易日日终在扣除股指期货合约需缴纳的交易保证金后，应当保持不低于交易保证金一倍的现金</w:t>
      </w:r>
      <w:r w:rsidR="006D1DD6">
        <w:rPr>
          <w:rFonts w:hint="eastAsia"/>
          <w:bCs/>
          <w:sz w:val="24"/>
        </w:rPr>
        <w:t>；</w:t>
      </w:r>
      <w:r w:rsidR="006D1DD6" w:rsidRPr="002951AC">
        <w:rPr>
          <w:rFonts w:hint="eastAsia"/>
          <w:bCs/>
          <w:sz w:val="24"/>
        </w:rPr>
        <w:t>其中现金不包括结算备付金、存出保证金、应收申购款等</w:t>
      </w:r>
      <w:r w:rsidR="008A273A" w:rsidRPr="00610824">
        <w:rPr>
          <w:rFonts w:hint="eastAsia"/>
          <w:bCs/>
          <w:sz w:val="24"/>
        </w:rPr>
        <w:t>。</w:t>
      </w:r>
    </w:p>
    <w:p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rsidR="00896C5A" w:rsidRPr="00456F57" w:rsidRDefault="002D6BC2">
      <w:pPr>
        <w:spacing w:line="360" w:lineRule="auto"/>
        <w:ind w:firstLineChars="200" w:firstLine="480"/>
        <w:rPr>
          <w:bCs/>
          <w:sz w:val="24"/>
        </w:rPr>
      </w:pPr>
      <w:r w:rsidRPr="00456F57">
        <w:rPr>
          <w:bCs/>
          <w:sz w:val="24"/>
        </w:rPr>
        <w:t>基金的投资组合应遵循以下限制：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1</w:t>
      </w:r>
      <w:r w:rsidRPr="002951AC">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Pr="002951AC">
        <w:rPr>
          <w:rFonts w:hint="eastAsia"/>
          <w:bCs/>
          <w:sz w:val="24"/>
        </w:rPr>
        <w:t>，股票投资占基金资产的比例为</w:t>
      </w:r>
      <w:r w:rsidRPr="002951AC">
        <w:rPr>
          <w:rFonts w:hint="eastAsia"/>
          <w:bCs/>
          <w:sz w:val="24"/>
        </w:rPr>
        <w:t>50%-95%</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）；封闭期内，股票投资占基金资产的比例为</w:t>
      </w:r>
      <w:r w:rsidRPr="002951AC">
        <w:rPr>
          <w:rFonts w:hint="eastAsia"/>
          <w:bCs/>
          <w:sz w:val="24"/>
        </w:rPr>
        <w:t>50%-100%</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D959DA">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94A60">
        <w:rPr>
          <w:rFonts w:hint="eastAsia"/>
          <w:bCs/>
          <w:sz w:val="24"/>
        </w:rPr>
        <w:t>下限</w:t>
      </w:r>
      <w:r w:rsidR="000E3B08" w:rsidRPr="000E3B08">
        <w:rPr>
          <w:rFonts w:hint="eastAsia"/>
          <w:bCs/>
          <w:sz w:val="24"/>
        </w:rPr>
        <w:t>比例限制；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2</w:t>
      </w:r>
      <w:r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Pr="002951AC">
        <w:rPr>
          <w:rFonts w:hint="eastAsia"/>
          <w:bCs/>
          <w:sz w:val="24"/>
        </w:rPr>
        <w:t>每个交易日日终，在扣除股指期货合约需缴纳的交易保证金后，本基金持有的现金或到期日在一年以内的政府债券不低于基金资产净值的</w:t>
      </w:r>
      <w:r w:rsidRPr="002951AC">
        <w:rPr>
          <w:rFonts w:hint="eastAsia"/>
          <w:bCs/>
          <w:sz w:val="24"/>
        </w:rPr>
        <w:t>5%</w:t>
      </w:r>
      <w:r w:rsidRPr="002951AC">
        <w:rPr>
          <w:rFonts w:hint="eastAsia"/>
          <w:bCs/>
          <w:sz w:val="24"/>
        </w:rPr>
        <w:t>；在封闭期内，本基金不受</w:t>
      </w:r>
      <w:r w:rsidR="00D959DA">
        <w:rPr>
          <w:bCs/>
          <w:sz w:val="24"/>
        </w:rPr>
        <w:t>前</w:t>
      </w:r>
      <w:r w:rsidRPr="002951AC">
        <w:rPr>
          <w:rFonts w:hint="eastAsia"/>
          <w:bCs/>
          <w:sz w:val="24"/>
        </w:rPr>
        <w:t>述</w:t>
      </w:r>
      <w:r w:rsidRPr="002951AC">
        <w:rPr>
          <w:rFonts w:hint="eastAsia"/>
          <w:bCs/>
          <w:sz w:val="24"/>
        </w:rPr>
        <w:t>5%</w:t>
      </w:r>
      <w:r w:rsidRPr="002951AC">
        <w:rPr>
          <w:rFonts w:hint="eastAsia"/>
          <w:bCs/>
          <w:sz w:val="24"/>
        </w:rPr>
        <w:t>的限制，但每个交易日日终在扣除股指期货合约需缴纳的交易保证金后，应当保持不低于交易保证金一倍的现金；</w:t>
      </w:r>
      <w:r w:rsidR="006D1DD6" w:rsidRPr="002951AC">
        <w:rPr>
          <w:rFonts w:hint="eastAsia"/>
          <w:bCs/>
          <w:sz w:val="24"/>
        </w:rPr>
        <w:t>其中现金不包括结算备付金、存出保证金、应收申购款等</w:t>
      </w:r>
      <w:r w:rsidR="006D1DD6">
        <w:rPr>
          <w:rFonts w:hint="eastAsia"/>
          <w:bCs/>
          <w:sz w:val="24"/>
        </w:rPr>
        <w:t>；</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3</w:t>
      </w:r>
      <w:r w:rsidRPr="002951AC">
        <w:rPr>
          <w:rFonts w:hint="eastAsia"/>
          <w:bCs/>
          <w:sz w:val="24"/>
        </w:rPr>
        <w:t>）</w:t>
      </w:r>
      <w:r w:rsidRPr="002951AC">
        <w:rPr>
          <w:rFonts w:hint="eastAsia"/>
          <w:bCs/>
          <w:sz w:val="24"/>
        </w:rPr>
        <w:t xml:space="preserve"> </w:t>
      </w:r>
      <w:r w:rsidRPr="002951AC">
        <w:rPr>
          <w:rFonts w:hint="eastAsia"/>
          <w:bCs/>
          <w:sz w:val="24"/>
        </w:rPr>
        <w:t>本基金持有一家公司发行的证券（同一家公司在内地和香港同时上市的</w:t>
      </w:r>
      <w:r w:rsidRPr="002951AC">
        <w:rPr>
          <w:rFonts w:hint="eastAsia"/>
          <w:bCs/>
          <w:sz w:val="24"/>
        </w:rPr>
        <w:t xml:space="preserve">A+H </w:t>
      </w:r>
      <w:r w:rsidRPr="002951AC">
        <w:rPr>
          <w:rFonts w:hint="eastAsia"/>
          <w:bCs/>
          <w:sz w:val="24"/>
        </w:rPr>
        <w:t>股合计计算），其市值不超过基金资产净值的</w:t>
      </w:r>
      <w:r w:rsidRPr="002951AC">
        <w:rPr>
          <w:rFonts w:hint="eastAsia"/>
          <w:bCs/>
          <w:sz w:val="24"/>
        </w:rPr>
        <w:t>10%</w:t>
      </w:r>
      <w:r w:rsidRPr="002951AC">
        <w:rPr>
          <w:rFonts w:hint="eastAsia"/>
          <w:bCs/>
          <w:sz w:val="24"/>
        </w:rPr>
        <w:t>；</w:t>
      </w:r>
    </w:p>
    <w:p w:rsidR="00582D4A" w:rsidRPr="00582D4A" w:rsidRDefault="002951AC" w:rsidP="00582D4A">
      <w:pPr>
        <w:spacing w:line="360" w:lineRule="auto"/>
        <w:ind w:firstLineChars="200" w:firstLine="480"/>
        <w:rPr>
          <w:bCs/>
          <w:sz w:val="24"/>
        </w:rPr>
      </w:pPr>
      <w:r w:rsidRPr="002951AC">
        <w:rPr>
          <w:rFonts w:hint="eastAsia"/>
          <w:bCs/>
          <w:sz w:val="24"/>
        </w:rPr>
        <w:t>（</w:t>
      </w:r>
      <w:r w:rsidRPr="002951AC">
        <w:rPr>
          <w:rFonts w:hint="eastAsia"/>
          <w:bCs/>
          <w:sz w:val="24"/>
        </w:rPr>
        <w:t>4</w:t>
      </w:r>
      <w:r w:rsidRPr="002951AC">
        <w:rPr>
          <w:rFonts w:hint="eastAsia"/>
          <w:bCs/>
          <w:sz w:val="24"/>
        </w:rPr>
        <w:t>）本基金管理人管理的全部基金持有一家公司发行的证券（同一家公司在内地和香港同时上市的</w:t>
      </w:r>
      <w:r w:rsidRPr="002951AC">
        <w:rPr>
          <w:rFonts w:hint="eastAsia"/>
          <w:bCs/>
          <w:sz w:val="24"/>
        </w:rPr>
        <w:t xml:space="preserve">A+H </w:t>
      </w:r>
      <w:r w:rsidRPr="002951AC">
        <w:rPr>
          <w:rFonts w:hint="eastAsia"/>
          <w:bCs/>
          <w:sz w:val="24"/>
        </w:rPr>
        <w:t>股合计计算），不超过该证券的</w:t>
      </w:r>
      <w:r w:rsidRPr="002951AC">
        <w:rPr>
          <w:rFonts w:hint="eastAsia"/>
          <w:bCs/>
          <w:sz w:val="24"/>
        </w:rPr>
        <w:t>10%</w:t>
      </w:r>
      <w:r w:rsidR="000E3B08" w:rsidRPr="000E3B08">
        <w:rPr>
          <w:rFonts w:hint="eastAsia"/>
          <w:bCs/>
          <w:sz w:val="24"/>
        </w:rPr>
        <w:t>，完全按照有关指数的构成比例进行证券投资的基金品种可以不受此条款规定的比例限制</w:t>
      </w:r>
      <w:r w:rsidRPr="002951AC">
        <w:rPr>
          <w:rFonts w:hint="eastAsia"/>
          <w:bCs/>
          <w:sz w:val="24"/>
        </w:rPr>
        <w:t>；</w:t>
      </w:r>
    </w:p>
    <w:p w:rsidR="00582D4A" w:rsidRPr="00582D4A" w:rsidRDefault="00582D4A" w:rsidP="002640F2">
      <w:pPr>
        <w:spacing w:line="360" w:lineRule="auto"/>
        <w:ind w:firstLineChars="200" w:firstLine="480"/>
        <w:rPr>
          <w:bCs/>
          <w:sz w:val="24"/>
        </w:rPr>
      </w:pPr>
      <w:r w:rsidRPr="00582D4A">
        <w:rPr>
          <w:rFonts w:hint="eastAsia"/>
          <w:bCs/>
          <w:sz w:val="24"/>
        </w:rPr>
        <w:t>（</w:t>
      </w:r>
      <w:r w:rsidR="002951AC">
        <w:rPr>
          <w:bCs/>
          <w:sz w:val="24"/>
        </w:rPr>
        <w:t>5</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6</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7</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8</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9</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10</w:t>
      </w:r>
      <w:r w:rsidRPr="00582D4A">
        <w:rPr>
          <w:rFonts w:hint="eastAsia"/>
          <w:bCs/>
          <w:sz w:val="24"/>
        </w:rPr>
        <w:t>）基金财产参与股票发行申购，本基金所申报的金额不超过本基金的总资产，本基金所申报的股票数量不超过拟发行股票公司本次发行股票的总量；</w:t>
      </w:r>
    </w:p>
    <w:p w:rsidR="00582D4A" w:rsidRDefault="00582D4A" w:rsidP="00582D4A">
      <w:pPr>
        <w:spacing w:line="360" w:lineRule="auto"/>
        <w:ind w:firstLineChars="200" w:firstLine="480"/>
        <w:rPr>
          <w:bCs/>
          <w:sz w:val="24"/>
        </w:rPr>
      </w:pPr>
      <w:r w:rsidRPr="00582D4A">
        <w:rPr>
          <w:rFonts w:hint="eastAsia"/>
          <w:bCs/>
          <w:sz w:val="24"/>
        </w:rPr>
        <w:t>（</w:t>
      </w:r>
      <w:r w:rsidR="002640F2">
        <w:rPr>
          <w:bCs/>
          <w:sz w:val="24"/>
        </w:rPr>
        <w:t>11</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rsidR="002951AC" w:rsidRPr="00582D4A" w:rsidRDefault="002951AC" w:rsidP="00582D4A">
      <w:pPr>
        <w:spacing w:line="360" w:lineRule="auto"/>
        <w:ind w:firstLineChars="200" w:firstLine="480"/>
        <w:rPr>
          <w:bCs/>
          <w:sz w:val="24"/>
        </w:rPr>
      </w:pPr>
      <w:r w:rsidRPr="002951AC">
        <w:rPr>
          <w:rFonts w:hint="eastAsia"/>
          <w:bCs/>
          <w:sz w:val="24"/>
        </w:rPr>
        <w:t>（</w:t>
      </w:r>
      <w:r w:rsidR="002640F2">
        <w:rPr>
          <w:bCs/>
          <w:sz w:val="24"/>
        </w:rPr>
        <w:t>12</w:t>
      </w:r>
      <w:r w:rsidRPr="002951AC">
        <w:rPr>
          <w:rFonts w:hint="eastAsia"/>
          <w:bCs/>
          <w:sz w:val="24"/>
        </w:rPr>
        <w:t>）本基金管理人管理的全部开放式基金（包括开放式基金以及处于开放期的定期开放基金）持有一家上市公司发行的可流通股票，不得超过该上市公司可流通股票的</w:t>
      </w:r>
      <w:r w:rsidRPr="002951AC">
        <w:rPr>
          <w:rFonts w:hint="eastAsia"/>
          <w:bCs/>
          <w:sz w:val="24"/>
        </w:rPr>
        <w:t>15%</w:t>
      </w:r>
      <w:r w:rsidRPr="002951AC">
        <w:rPr>
          <w:rFonts w:hint="eastAsia"/>
          <w:bCs/>
          <w:sz w:val="24"/>
        </w:rPr>
        <w:t>；本基金管理人管理的全部投资组合持有一家上市公司发行的可流通股票，不得超过该上市公司可流通股票的</w:t>
      </w:r>
      <w:r w:rsidRPr="002951AC">
        <w:rPr>
          <w:rFonts w:hint="eastAsia"/>
          <w:bCs/>
          <w:sz w:val="24"/>
        </w:rPr>
        <w:t>30%</w:t>
      </w:r>
      <w:r w:rsidRPr="002951AC">
        <w:rPr>
          <w:rFonts w:hint="eastAsia"/>
          <w:bCs/>
          <w:sz w:val="24"/>
        </w:rPr>
        <w:t>；完全按照有关指数的构成比例进行证券投资的开放式基金以及中国证监会认定的特殊投资组合可不受前述比例限制；</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13</w:t>
      </w:r>
      <w:r w:rsidRPr="00582D4A">
        <w:rPr>
          <w:rFonts w:hint="eastAsia"/>
          <w:bCs/>
          <w:sz w:val="24"/>
        </w:rPr>
        <w:t>）</w:t>
      </w:r>
      <w:r w:rsidR="000E3B08" w:rsidRPr="000E3B08">
        <w:rPr>
          <w:rFonts w:hint="eastAsia"/>
          <w:bCs/>
          <w:sz w:val="24"/>
        </w:rPr>
        <w:t>本基金转为</w:t>
      </w:r>
      <w:r w:rsidR="00D959DA" w:rsidRPr="00D959DA">
        <w:rPr>
          <w:rFonts w:hint="eastAsia"/>
          <w:bCs/>
          <w:sz w:val="24"/>
        </w:rPr>
        <w:t>上市开放式基金（</w:t>
      </w:r>
      <w:r w:rsidR="00D959DA" w:rsidRPr="00D959DA">
        <w:rPr>
          <w:rFonts w:hint="eastAsia"/>
          <w:bCs/>
          <w:sz w:val="24"/>
        </w:rPr>
        <w:t>LOF</w:t>
      </w:r>
      <w:r w:rsidR="00D959DA" w:rsidRPr="00D959DA">
        <w:rPr>
          <w:rFonts w:hint="eastAsia"/>
          <w:bCs/>
          <w:sz w:val="24"/>
        </w:rPr>
        <w:t>）</w:t>
      </w:r>
      <w:r w:rsidR="00D959DA">
        <w:rPr>
          <w:rFonts w:hint="eastAsia"/>
          <w:bCs/>
          <w:sz w:val="24"/>
        </w:rPr>
        <w:t>后</w:t>
      </w:r>
      <w:r w:rsidR="000E3B08" w:rsidRPr="000E3B08">
        <w:rPr>
          <w:rFonts w:hint="eastAsia"/>
          <w:bCs/>
          <w:sz w:val="24"/>
        </w:rPr>
        <w:t>，</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14</w:t>
      </w:r>
      <w:r w:rsidRPr="00582D4A">
        <w:rPr>
          <w:rFonts w:hint="eastAsia"/>
          <w:bCs/>
          <w:sz w:val="24"/>
        </w:rPr>
        <w:t>）本基金与私募类证券资管产品及中国证监会认定的其他主体为交易对手开展逆回购交易的，可接受质押品的资质要求应当与基金合同约定的投资范围保持一致；</w:t>
      </w:r>
    </w:p>
    <w:p w:rsidR="00582D4A" w:rsidRDefault="002951AC" w:rsidP="00582D4A">
      <w:pPr>
        <w:spacing w:line="360" w:lineRule="auto"/>
        <w:ind w:firstLineChars="200" w:firstLine="480"/>
        <w:rPr>
          <w:bCs/>
          <w:sz w:val="24"/>
        </w:rPr>
      </w:pPr>
      <w:r w:rsidRPr="002951AC">
        <w:rPr>
          <w:rFonts w:hint="eastAsia"/>
          <w:bCs/>
          <w:sz w:val="24"/>
        </w:rPr>
        <w:t>（</w:t>
      </w:r>
      <w:r w:rsidR="002640F2">
        <w:rPr>
          <w:bCs/>
          <w:sz w:val="24"/>
        </w:rPr>
        <w:t>15</w:t>
      </w:r>
      <w:r w:rsidRPr="002951AC">
        <w:rPr>
          <w:rFonts w:hint="eastAsia"/>
          <w:bCs/>
          <w:sz w:val="24"/>
        </w:rPr>
        <w:t>）在封闭期内，本基金的基金资产总值不得超过基金资产净值的</w:t>
      </w:r>
      <w:r w:rsidRPr="002951AC">
        <w:rPr>
          <w:rFonts w:hint="eastAsia"/>
          <w:bCs/>
          <w:sz w:val="24"/>
        </w:rPr>
        <w:t>200%</w:t>
      </w:r>
      <w:r w:rsidRPr="002951AC">
        <w:rPr>
          <w:rFonts w:hint="eastAsia"/>
          <w:bCs/>
          <w:sz w:val="24"/>
        </w:rPr>
        <w:t>；在</w:t>
      </w:r>
      <w:r w:rsidR="004E0435" w:rsidRPr="00C50887">
        <w:rPr>
          <w:rFonts w:hint="eastAsia"/>
          <w:bCs/>
          <w:sz w:val="24"/>
        </w:rPr>
        <w:t>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Pr="002951AC">
        <w:rPr>
          <w:rFonts w:hint="eastAsia"/>
          <w:bCs/>
          <w:sz w:val="24"/>
        </w:rPr>
        <w:t>，本基金的基金资产总值不得超过基金资产净值的</w:t>
      </w:r>
      <w:r w:rsidRPr="002951AC">
        <w:rPr>
          <w:rFonts w:hint="eastAsia"/>
          <w:bCs/>
          <w:sz w:val="24"/>
        </w:rPr>
        <w:t>140%</w:t>
      </w:r>
      <w:r w:rsidRPr="002951AC">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16</w:t>
      </w:r>
      <w:r w:rsidRPr="00582D4A">
        <w:rPr>
          <w:rFonts w:hint="eastAsia"/>
          <w:bCs/>
          <w:sz w:val="24"/>
        </w:rPr>
        <w:t>）本基金参与股指期货交易，则：</w:t>
      </w:r>
    </w:p>
    <w:p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w:t>
      </w:r>
      <w:r w:rsidR="002951AC" w:rsidRPr="002951AC">
        <w:rPr>
          <w:rFonts w:hint="eastAsia"/>
          <w:bCs/>
          <w:sz w:val="24"/>
        </w:rPr>
        <w:t>本基金在封闭期内的任何交易日日终，持有的买入股指期货合约价值与有价证券市值之和，不得超过基金资产净值的</w:t>
      </w:r>
      <w:r w:rsidR="002951AC" w:rsidRPr="002951AC">
        <w:rPr>
          <w:rFonts w:hint="eastAsia"/>
          <w:bCs/>
          <w:sz w:val="24"/>
        </w:rPr>
        <w:t>100%</w:t>
      </w:r>
      <w:r w:rsidR="002951AC"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002951AC" w:rsidRPr="002951AC">
        <w:rPr>
          <w:rFonts w:hint="eastAsia"/>
          <w:bCs/>
          <w:sz w:val="24"/>
        </w:rPr>
        <w:t>任何交易日日终，持有的买入股指期货合约价值与有价证券市值之和，不得超过基金资产净值的</w:t>
      </w:r>
      <w:r w:rsidR="002951AC" w:rsidRPr="002951AC">
        <w:rPr>
          <w:rFonts w:hint="eastAsia"/>
          <w:bCs/>
          <w:sz w:val="24"/>
        </w:rPr>
        <w:t>95%</w:t>
      </w:r>
      <w:r w:rsidR="002951AC" w:rsidRPr="002951AC">
        <w:rPr>
          <w:rFonts w:hint="eastAsia"/>
          <w:bCs/>
          <w:sz w:val="24"/>
        </w:rPr>
        <w:t>。其中，有价证券指股票、债券（不含到期日在一年以内的政府债券）、资产支持证券、买入返售金融资产（不含质押式回购）等</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）本基金所持有的股票市值和买入、卖出股指期货合约价值，合计（轧差计算）应当符合基金合同关于股票投资比例的有关约定；</w:t>
      </w:r>
    </w:p>
    <w:p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rsidR="00465799" w:rsidRDefault="00582D4A" w:rsidP="00D9351F">
      <w:pPr>
        <w:spacing w:line="360" w:lineRule="auto"/>
        <w:ind w:firstLineChars="200" w:firstLine="480"/>
        <w:rPr>
          <w:rFonts w:ascii="宋体" w:hAnsi="宋体"/>
          <w:sz w:val="24"/>
        </w:rPr>
      </w:pPr>
      <w:r w:rsidRPr="00582D4A">
        <w:rPr>
          <w:rFonts w:hint="eastAsia"/>
          <w:bCs/>
          <w:sz w:val="24"/>
        </w:rPr>
        <w:t>（</w:t>
      </w:r>
      <w:r w:rsidR="002640F2">
        <w:rPr>
          <w:bCs/>
          <w:sz w:val="24"/>
        </w:rPr>
        <w:t>17</w:t>
      </w:r>
      <w:r w:rsidRPr="00582D4A">
        <w:rPr>
          <w:rFonts w:hint="eastAsia"/>
          <w:bCs/>
          <w:sz w:val="24"/>
        </w:rPr>
        <w:t>）法律法规及中国证监会规定的和《基金合同》约定的其他投资限制。</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rsidR="00101B49" w:rsidRPr="00E77CC9" w:rsidRDefault="00D9351F" w:rsidP="00D00BB6">
      <w:pPr>
        <w:spacing w:line="360" w:lineRule="auto"/>
        <w:ind w:firstLineChars="200" w:firstLine="480"/>
        <w:rPr>
          <w:rFonts w:ascii="宋体" w:hAnsi="宋体"/>
          <w:sz w:val="24"/>
        </w:rPr>
      </w:pPr>
      <w:r>
        <w:rPr>
          <w:sz w:val="24"/>
        </w:rPr>
        <w:t>除上述（</w:t>
      </w:r>
      <w:r>
        <w:rPr>
          <w:sz w:val="24"/>
        </w:rPr>
        <w:t>2</w:t>
      </w:r>
      <w:r>
        <w:rPr>
          <w:sz w:val="24"/>
        </w:rPr>
        <w:t>）、（</w:t>
      </w:r>
      <w:r w:rsidR="002640F2">
        <w:rPr>
          <w:sz w:val="24"/>
        </w:rPr>
        <w:t>9</w:t>
      </w:r>
      <w:r>
        <w:rPr>
          <w:sz w:val="24"/>
        </w:rPr>
        <w:t>）、（</w:t>
      </w:r>
      <w:r w:rsidR="002640F2">
        <w:rPr>
          <w:sz w:val="24"/>
        </w:rPr>
        <w:t>13</w:t>
      </w:r>
      <w:r>
        <w:rPr>
          <w:sz w:val="24"/>
        </w:rPr>
        <w:t>）、（</w:t>
      </w:r>
      <w:r w:rsidR="002640F2">
        <w:rPr>
          <w:sz w:val="24"/>
        </w:rPr>
        <w:t>14</w:t>
      </w:r>
      <w:r>
        <w:rPr>
          <w:sz w:val="24"/>
        </w:rPr>
        <w:t>）情形之外，</w:t>
      </w:r>
      <w:r w:rsidR="00101B49" w:rsidRPr="00E77CC9">
        <w:rPr>
          <w:rFonts w:ascii="宋体" w:hAnsi="宋体" w:hint="eastAsia"/>
          <w:sz w:val="24"/>
        </w:rPr>
        <w:t>因</w:t>
      </w:r>
      <w:r w:rsidR="008A2276" w:rsidRPr="004D4661">
        <w:rPr>
          <w:rFonts w:ascii="宋体" w:hAnsi="宋体" w:hint="eastAsia"/>
          <w:sz w:val="24"/>
        </w:rPr>
        <w:t>证券</w:t>
      </w:r>
      <w:r>
        <w:rPr>
          <w:rFonts w:ascii="宋体" w:hAnsi="宋体" w:hint="eastAsia"/>
          <w:sz w:val="24"/>
        </w:rPr>
        <w:t>、</w:t>
      </w:r>
      <w:r>
        <w:rPr>
          <w:rFonts w:ascii="宋体" w:hAnsi="宋体"/>
          <w:sz w:val="24"/>
        </w:rPr>
        <w:t>期货</w:t>
      </w:r>
      <w:r w:rsidR="008A2276" w:rsidRPr="004D4661">
        <w:rPr>
          <w:rFonts w:ascii="宋体" w:hAnsi="宋体" w:hint="eastAsia"/>
          <w:sz w:val="24"/>
        </w:rPr>
        <w:t>市场</w:t>
      </w:r>
      <w:r w:rsidR="00101B49" w:rsidRPr="00E77CC9">
        <w:rPr>
          <w:rFonts w:ascii="宋体" w:hAnsi="宋体" w:hint="eastAsia"/>
          <w:sz w:val="24"/>
        </w:rPr>
        <w:t>波动、证券发行人合并</w:t>
      </w:r>
      <w:r w:rsidR="00D00BB6">
        <w:rPr>
          <w:rFonts w:ascii="宋体" w:hAnsi="宋体" w:hint="eastAsia"/>
          <w:sz w:val="24"/>
        </w:rPr>
        <w:t>、</w:t>
      </w:r>
      <w:r w:rsidR="00101B49" w:rsidRPr="00E77CC9">
        <w:rPr>
          <w:rFonts w:ascii="宋体" w:hAnsi="宋体" w:hint="eastAsia"/>
          <w:sz w:val="24"/>
        </w:rPr>
        <w:t>基金规模变动等基金管理人之外的原因</w:t>
      </w:r>
      <w:r w:rsidR="00101B49" w:rsidRPr="00E77CC9">
        <w:rPr>
          <w:rFonts w:ascii="宋体" w:hAnsi="宋体"/>
          <w:sz w:val="24"/>
        </w:rPr>
        <w:t>导致投资</w:t>
      </w:r>
      <w:r w:rsidR="00101B49" w:rsidRPr="00E77CC9">
        <w:rPr>
          <w:rFonts w:ascii="宋体" w:hAnsi="宋体" w:hint="eastAsia"/>
          <w:sz w:val="24"/>
        </w:rPr>
        <w:t>比例不符合</w:t>
      </w:r>
      <w:r w:rsidR="00101B49" w:rsidRPr="00E77CC9">
        <w:rPr>
          <w:rFonts w:ascii="宋体" w:hAnsi="宋体"/>
          <w:sz w:val="24"/>
        </w:rPr>
        <w:t>上述</w:t>
      </w:r>
      <w:r w:rsidR="00101B49" w:rsidRPr="00E77CC9">
        <w:rPr>
          <w:rFonts w:ascii="宋体" w:hAnsi="宋体" w:hint="eastAsia"/>
          <w:sz w:val="24"/>
        </w:rPr>
        <w:t>规定的</w:t>
      </w:r>
      <w:r w:rsidR="00101B49"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00101B49" w:rsidRPr="00E77CC9">
        <w:rPr>
          <w:rFonts w:ascii="宋体" w:hAnsi="宋体" w:hint="eastAsia"/>
          <w:sz w:val="24"/>
        </w:rPr>
        <w:t>。法律法规另有规定的，从其规定。</w:t>
      </w:r>
    </w:p>
    <w:p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.如果法律法规及监管政策等对基金合同约定的投资禁止行为和投资组合比例限制进行变更的，本基金可相应调整禁止行为和投资比例限制规定。《基金法》及其他有关法律法规或监管部门</w:t>
      </w:r>
      <w:r w:rsidR="00101B49" w:rsidRPr="00E77CC9">
        <w:rPr>
          <w:rFonts w:ascii="宋体" w:hAnsi="宋体" w:hint="eastAsia"/>
          <w:sz w:val="24"/>
        </w:rPr>
        <w:t>取消</w:t>
      </w:r>
      <w:r w:rsidR="00101B49" w:rsidRPr="00E77CC9">
        <w:rPr>
          <w:rFonts w:ascii="宋体" w:hAnsi="宋体"/>
          <w:sz w:val="24"/>
        </w:rPr>
        <w:t>上述限制</w:t>
      </w:r>
      <w:r w:rsidR="00101B49" w:rsidRPr="00E77CC9">
        <w:rPr>
          <w:rFonts w:ascii="宋体" w:hAnsi="宋体" w:hint="eastAsia"/>
          <w:sz w:val="24"/>
        </w:rPr>
        <w:t>的</w:t>
      </w:r>
      <w:r w:rsidR="00101B49" w:rsidRPr="00E77CC9">
        <w:rPr>
          <w:rFonts w:ascii="宋体" w:hAnsi="宋体"/>
          <w:sz w:val="24"/>
        </w:rPr>
        <w:t>，</w:t>
      </w:r>
      <w:r w:rsidR="00101B49" w:rsidRPr="00E77CC9">
        <w:rPr>
          <w:rFonts w:ascii="宋体" w:hAnsi="宋体" w:hint="eastAsia"/>
          <w:sz w:val="24"/>
        </w:rPr>
        <w:t>履行适当程序后，基金不受上述限制</w:t>
      </w:r>
      <w:r w:rsidR="00101B49" w:rsidRPr="00E77CC9">
        <w:rPr>
          <w:rFonts w:ascii="宋体" w:hAnsi="宋体"/>
          <w:sz w:val="24"/>
        </w:rPr>
        <w:t>。</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E77CC9">
        <w:rPr>
          <w:rFonts w:ascii="宋体" w:hAnsi="宋体"/>
          <w:sz w:val="24"/>
        </w:rPr>
        <w:t>2名或2名以上中国注册会计师签字方为有效。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交银施罗德瑞丰</w:t>
      </w:r>
      <w:r w:rsidR="00E60608">
        <w:rPr>
          <w:rFonts w:hint="eastAsia"/>
          <w:bCs/>
          <w:sz w:val="24"/>
        </w:rPr>
        <w:t>三年封闭运作</w:t>
      </w:r>
      <w:r w:rsidR="00CC694F">
        <w:rPr>
          <w:rFonts w:hint="eastAsia"/>
          <w:bCs/>
          <w:sz w:val="24"/>
        </w:rPr>
        <w:t>混合型证券投资基金</w:t>
      </w:r>
      <w:r w:rsidRPr="00E77CC9">
        <w:rPr>
          <w:rFonts w:ascii="宋体" w:hAnsi="宋体" w:hint="eastAsia"/>
          <w:sz w:val="24"/>
        </w:rPr>
        <w:t>”，预留印鉴为基金托管人印章。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896C5A" w:rsidRPr="00E77CC9" w:rsidRDefault="00896C5A">
      <w:pPr>
        <w:spacing w:line="360" w:lineRule="auto"/>
        <w:ind w:firstLine="42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210BD">
        <w:rPr>
          <w:rFonts w:ascii="宋体" w:hAnsi="宋体" w:hint="eastAsia"/>
          <w:sz w:val="24"/>
        </w:rPr>
        <w:t>及时</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rsidR="00896C5A" w:rsidRPr="00E77CC9" w:rsidRDefault="00896C5A">
      <w:pPr>
        <w:spacing w:line="360" w:lineRule="auto"/>
        <w:ind w:firstLine="480"/>
        <w:rPr>
          <w:rFonts w:ascii="宋体" w:hAnsi="宋体"/>
          <w:sz w:val="24"/>
        </w:rPr>
      </w:pP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t>八、基金资产净值计算、估值和会计核算</w:t>
      </w:r>
      <w:bookmarkEnd w:id="104"/>
      <w:bookmarkEnd w:id="105"/>
      <w:bookmarkEnd w:id="106"/>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rsidR="00101B49" w:rsidRPr="00E77CC9" w:rsidRDefault="00101B49" w:rsidP="00E77CC9">
      <w:pPr>
        <w:adjustRightInd w:val="0"/>
        <w:snapToGrid w:val="0"/>
        <w:spacing w:line="360" w:lineRule="auto"/>
        <w:ind w:firstLineChars="200" w:firstLine="480"/>
        <w:outlineLvl w:val="2"/>
        <w:rPr>
          <w:rFonts w:ascii="宋体" w:hAnsi="宋体"/>
          <w:sz w:val="24"/>
        </w:rPr>
      </w:pPr>
    </w:p>
    <w:p w:rsidR="00896C5A" w:rsidRPr="00E77CC9" w:rsidRDefault="00896C5A">
      <w:pPr>
        <w:pStyle w:val="a0"/>
        <w:adjustRightInd w:val="0"/>
        <w:snapToGrid w:val="0"/>
        <w:spacing w:line="360" w:lineRule="auto"/>
        <w:ind w:firstLineChars="0" w:firstLine="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t>九、基金收益分配</w:t>
      </w:r>
      <w:bookmarkEnd w:id="107"/>
      <w:bookmarkEnd w:id="108"/>
      <w:bookmarkEnd w:id="10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t>十、基金信息披露</w:t>
      </w:r>
      <w:bookmarkEnd w:id="110"/>
      <w:bookmarkEnd w:id="111"/>
      <w:bookmarkEnd w:id="11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8265D3" w:rsidRPr="004C0AAC">
        <w:rPr>
          <w:rFonts w:hint="eastAsia"/>
          <w:bCs/>
          <w:sz w:val="24"/>
        </w:rPr>
        <w:t>上市交易公告书</w:t>
      </w:r>
      <w:r w:rsidR="008265D3">
        <w:rPr>
          <w:rFonts w:hint="eastAsia"/>
          <w:bCs/>
          <w:sz w:val="24"/>
        </w:rPr>
        <w:t>、</w:t>
      </w:r>
      <w:r w:rsidRPr="00E77CC9">
        <w:rPr>
          <w:rFonts w:ascii="宋体" w:hAnsi="宋体" w:hint="eastAsia"/>
          <w:sz w:val="24"/>
        </w:rPr>
        <w:t>基金资产净值、基金份额净值、基金份额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中国证监会规定的其他信息。基金年度报告需经具有从事证券相关业务资格的会计师事务所审计后，方可披露。</w:t>
      </w:r>
    </w:p>
    <w:p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基金应当在季度报告、半年度报告、年度报告等定期报告和招募说明书（更新）等文件中披露港股通标的股票的投资情况。法律法规或中国证监会另有规定的，从其规定。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rsidR="00896C5A" w:rsidRPr="009D084F" w:rsidRDefault="009D084F" w:rsidP="002E504F">
      <w:pPr>
        <w:pStyle w:val="a0"/>
        <w:spacing w:line="360" w:lineRule="auto"/>
        <w:ind w:firstLine="480"/>
        <w:rPr>
          <w:rFonts w:ascii="宋体" w:hAnsi="宋体"/>
          <w:sz w:val="24"/>
        </w:rPr>
      </w:pPr>
      <w:r w:rsidRPr="009D084F">
        <w:rPr>
          <w:rFonts w:ascii="宋体" w:hAnsi="宋体" w:hint="eastAsia"/>
          <w:sz w:val="24"/>
        </w:rPr>
        <w:t>（四）本基金信息披露事项以法律法规及基金合同“第</w:t>
      </w:r>
      <w:r>
        <w:rPr>
          <w:rFonts w:ascii="宋体" w:hAnsi="宋体" w:hint="eastAsia"/>
          <w:sz w:val="24"/>
        </w:rPr>
        <w:t>十九</w:t>
      </w:r>
      <w:r w:rsidRPr="009D084F">
        <w:rPr>
          <w:rFonts w:ascii="宋体" w:hAnsi="宋体" w:hint="eastAsia"/>
          <w:sz w:val="24"/>
        </w:rPr>
        <w:t>部分 基金的信息披露”约定的内容为准</w:t>
      </w:r>
      <w:r>
        <w:rPr>
          <w:rFonts w:ascii="宋体" w:hAnsi="宋体" w:hint="eastAsia"/>
          <w:sz w:val="24"/>
        </w:rPr>
        <w:t>。</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t>十一、基金费用</w:t>
      </w:r>
      <w:bookmarkEnd w:id="113"/>
      <w:bookmarkEnd w:id="114"/>
      <w:bookmarkEnd w:id="11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t>十二、基金份额持有人名册的保管</w:t>
      </w:r>
      <w:bookmarkEnd w:id="116"/>
      <w:bookmarkEnd w:id="117"/>
      <w:bookmarkEnd w:id="118"/>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t>十三、基金有关文件档案的保存</w:t>
      </w:r>
      <w:bookmarkEnd w:id="119"/>
      <w:bookmarkEnd w:id="120"/>
      <w:bookmarkEnd w:id="121"/>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t>十四、基金管理人和基金托管人的更换</w:t>
      </w:r>
      <w:bookmarkEnd w:id="122"/>
      <w:bookmarkEnd w:id="123"/>
      <w:bookmarkEnd w:id="124"/>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t>十五、禁止行为</w:t>
      </w:r>
      <w:bookmarkEnd w:id="125"/>
      <w:bookmarkEnd w:id="126"/>
      <w:bookmarkEnd w:id="12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t>十六、托管协议的变更、终止与基金财产的清算</w:t>
      </w:r>
      <w:bookmarkEnd w:id="128"/>
      <w:bookmarkEnd w:id="129"/>
      <w:bookmarkEnd w:id="13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t>十七、违约责任</w:t>
      </w:r>
      <w:bookmarkEnd w:id="131"/>
      <w:bookmarkEnd w:id="132"/>
      <w:bookmarkEnd w:id="133"/>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01B49" w:rsidRPr="00E77CC9" w:rsidRDefault="00101B49" w:rsidP="00E77CC9">
      <w:pPr>
        <w:adjustRightInd w:val="0"/>
        <w:snapToGrid w:val="0"/>
        <w:spacing w:line="336" w:lineRule="auto"/>
        <w:ind w:firstLineChars="200" w:firstLine="482"/>
        <w:rPr>
          <w:rFonts w:ascii="宋体" w:hAnsi="宋体"/>
          <w:b/>
          <w:sz w:val="24"/>
        </w:rPr>
      </w:pPr>
    </w:p>
    <w:p w:rsidR="00101B49" w:rsidRPr="00E77CC9" w:rsidRDefault="00101B49" w:rsidP="00E77CC9">
      <w:pPr>
        <w:widowControl/>
        <w:spacing w:line="336" w:lineRule="auto"/>
        <w:rPr>
          <w:rFonts w:ascii="宋体" w:hAnsi="宋体"/>
          <w:b/>
          <w:sz w:val="24"/>
        </w:rPr>
      </w:pPr>
      <w:bookmarkStart w:id="134" w:name="_Toc348082046"/>
    </w:p>
    <w:p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t>十八、争议解决方式</w:t>
      </w:r>
      <w:bookmarkEnd w:id="134"/>
      <w:bookmarkEnd w:id="135"/>
      <w:bookmarkEnd w:id="136"/>
    </w:p>
    <w:p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Pr="00E77CC9">
        <w:rPr>
          <w:rFonts w:ascii="宋体" w:hAnsi="宋体" w:hint="eastAsia"/>
          <w:sz w:val="24"/>
        </w:rPr>
        <w:t>立法）管辖。</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t>十九、托管协议的效力</w:t>
      </w:r>
      <w:bookmarkEnd w:id="137"/>
      <w:bookmarkEnd w:id="138"/>
      <w:bookmarkEnd w:id="13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t>二十、其他事项</w:t>
      </w:r>
      <w:bookmarkEnd w:id="140"/>
      <w:bookmarkEnd w:id="141"/>
      <w:bookmarkEnd w:id="14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rsidR="00896C5A" w:rsidRPr="00456F57" w:rsidDel="009610E7"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t>二十一、托管协议的签订</w:t>
      </w:r>
      <w:bookmarkEnd w:id="143"/>
      <w:bookmarkEnd w:id="144"/>
      <w:bookmarkEnd w:id="14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DB301D" w:rsidRPr="00AD2E99" w:rsidRDefault="00DB301D" w:rsidP="000C19BE">
      <w:pPr>
        <w:adjustRightInd w:val="0"/>
        <w:snapToGrid w:val="0"/>
        <w:spacing w:line="360" w:lineRule="auto"/>
        <w:rPr>
          <w:rFonts w:ascii="宋体" w:hAnsi="宋体"/>
          <w:sz w:val="24"/>
        </w:rPr>
      </w:pPr>
    </w:p>
    <w:p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6"/>
      <w:bookmarkEnd w:id="147"/>
    </w:p>
    <w:p w:rsidR="0038018C" w:rsidRPr="00900BD8" w:rsidRDefault="0038018C" w:rsidP="0038018C">
      <w:pPr>
        <w:ind w:firstLineChars="202" w:firstLine="424"/>
        <w:rPr>
          <w:szCs w:val="21"/>
        </w:rPr>
      </w:pPr>
    </w:p>
    <w:p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rsidR="0038018C" w:rsidRPr="00900BD8" w:rsidRDefault="00717FC9" w:rsidP="00717FC9">
      <w:pPr>
        <w:widowControl/>
        <w:jc w:val="left"/>
        <w:rPr>
          <w:szCs w:val="21"/>
        </w:rPr>
      </w:pPr>
      <w:r>
        <w:rPr>
          <w:szCs w:val="21"/>
        </w:rPr>
        <w:br w:type="page"/>
      </w:r>
    </w:p>
    <w:p w:rsidR="0038018C" w:rsidRDefault="0038018C">
      <w:pPr>
        <w:widowControl/>
        <w:jc w:val="left"/>
        <w:rPr>
          <w:rFonts w:ascii="宋体"/>
          <w:szCs w:val="21"/>
        </w:rPr>
      </w:pPr>
    </w:p>
    <w:p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交银施罗德瑞丰</w:t>
      </w:r>
      <w:r w:rsidR="00F26E24">
        <w:rPr>
          <w:rFonts w:ascii="宋体" w:hint="eastAsia"/>
          <w:b/>
          <w:szCs w:val="21"/>
        </w:rPr>
        <w:t>三年封闭运作</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CD" w:rsidRDefault="006348CD" w:rsidP="00896C5A">
      <w:r>
        <w:separator/>
      </w:r>
    </w:p>
  </w:endnote>
  <w:endnote w:type="continuationSeparator" w:id="0">
    <w:p w:rsidR="006348CD" w:rsidRDefault="006348CD" w:rsidP="00896C5A">
      <w:r>
        <w:continuationSeparator/>
      </w:r>
    </w:p>
  </w:endnote>
  <w:endnote w:type="continuationNotice" w:id="1">
    <w:p w:rsidR="006348CD" w:rsidRDefault="0063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rsidR="00D31BFA" w:rsidRDefault="00E72662">
        <w:pPr>
          <w:pStyle w:val="aa"/>
          <w:jc w:val="center"/>
        </w:pPr>
        <w:r>
          <w:fldChar w:fldCharType="begin"/>
        </w:r>
        <w:r w:rsidR="00D31BFA">
          <w:instrText>PAGE   \* MERGEFORMAT</w:instrText>
        </w:r>
        <w:r>
          <w:fldChar w:fldCharType="separate"/>
        </w:r>
        <w:r w:rsidR="002E504F" w:rsidRPr="002E504F">
          <w:rPr>
            <w:noProof/>
            <w:lang w:val="zh-CN"/>
          </w:rPr>
          <w:t>51</w:t>
        </w:r>
        <w:r>
          <w:fldChar w:fldCharType="end"/>
        </w:r>
      </w:p>
    </w:sdtContent>
  </w:sdt>
  <w:p w:rsidR="00D31BFA" w:rsidRDefault="00D31B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CD" w:rsidRDefault="006348CD" w:rsidP="00896C5A">
      <w:r>
        <w:separator/>
      </w:r>
    </w:p>
  </w:footnote>
  <w:footnote w:type="continuationSeparator" w:id="0">
    <w:p w:rsidR="006348CD" w:rsidRDefault="006348CD" w:rsidP="00896C5A">
      <w:r>
        <w:continuationSeparator/>
      </w:r>
    </w:p>
  </w:footnote>
  <w:footnote w:type="continuationNotice" w:id="1">
    <w:p w:rsidR="006348CD" w:rsidRDefault="006348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04F"/>
    <w:rsid w:val="002E54B5"/>
    <w:rsid w:val="002F1E2E"/>
    <w:rsid w:val="002F2074"/>
    <w:rsid w:val="002F211E"/>
    <w:rsid w:val="002F3F6D"/>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7C1"/>
    <w:rsid w:val="00491DA6"/>
    <w:rsid w:val="00492BCA"/>
    <w:rsid w:val="00492E8F"/>
    <w:rsid w:val="00493296"/>
    <w:rsid w:val="00493DC8"/>
    <w:rsid w:val="00494817"/>
    <w:rsid w:val="00496563"/>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48CD"/>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039D"/>
    <w:rsid w:val="009121C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084F"/>
    <w:rsid w:val="009D2821"/>
    <w:rsid w:val="009D394C"/>
    <w:rsid w:val="009D7312"/>
    <w:rsid w:val="009D78E5"/>
    <w:rsid w:val="009E00E4"/>
    <w:rsid w:val="009E2853"/>
    <w:rsid w:val="009E285D"/>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9DA"/>
    <w:rsid w:val="00D95DCA"/>
    <w:rsid w:val="00D95EFC"/>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37798"/>
    <w:rsid w:val="00E401CD"/>
    <w:rsid w:val="00E41A40"/>
    <w:rsid w:val="00E42CDA"/>
    <w:rsid w:val="00E43062"/>
    <w:rsid w:val="00E43354"/>
    <w:rsid w:val="00E43A57"/>
    <w:rsid w:val="00E4548E"/>
    <w:rsid w:val="00E47B7D"/>
    <w:rsid w:val="00E51C8F"/>
    <w:rsid w:val="00E578ED"/>
    <w:rsid w:val="00E60608"/>
    <w:rsid w:val="00E60BC8"/>
    <w:rsid w:val="00E61E70"/>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230"/>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56"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customXml/itemProps10.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11.xml><?xml version="1.0" encoding="utf-8"?>
<ds:datastoreItem xmlns:ds="http://schemas.openxmlformats.org/officeDocument/2006/customXml" ds:itemID="{5B47DA4B-4540-432C-833A-2D89C657B92C}">
  <ds:schemaRefs>
    <ds:schemaRef ds:uri="http://schemas.openxmlformats.org/officeDocument/2006/bibliography"/>
  </ds:schemaRefs>
</ds:datastoreItem>
</file>

<file path=customXml/itemProps12.xml><?xml version="1.0" encoding="utf-8"?>
<ds:datastoreItem xmlns:ds="http://schemas.openxmlformats.org/officeDocument/2006/customXml" ds:itemID="{8D766B86-D42F-468D-8A0A-F93463EA180A}">
  <ds:schemaRefs>
    <ds:schemaRef ds:uri="http://schemas.openxmlformats.org/officeDocument/2006/bibliography"/>
  </ds:schemaRefs>
</ds:datastoreItem>
</file>

<file path=customXml/itemProps13.xml><?xml version="1.0" encoding="utf-8"?>
<ds:datastoreItem xmlns:ds="http://schemas.openxmlformats.org/officeDocument/2006/customXml" ds:itemID="{FFC91830-60D7-4EDE-9026-7A870B7E09C2}">
  <ds:schemaRefs>
    <ds:schemaRef ds:uri="http://schemas.openxmlformats.org/officeDocument/2006/bibliography"/>
  </ds:schemaRefs>
</ds:datastoreItem>
</file>

<file path=customXml/itemProps14.xml><?xml version="1.0" encoding="utf-8"?>
<ds:datastoreItem xmlns:ds="http://schemas.openxmlformats.org/officeDocument/2006/customXml" ds:itemID="{DBCA2B90-EA60-4C28-B42F-E49E53052258}">
  <ds:schemaRefs>
    <ds:schemaRef ds:uri="http://schemas.openxmlformats.org/officeDocument/2006/bibliography"/>
  </ds:schemaRefs>
</ds:datastoreItem>
</file>

<file path=customXml/itemProps15.xml><?xml version="1.0" encoding="utf-8"?>
<ds:datastoreItem xmlns:ds="http://schemas.openxmlformats.org/officeDocument/2006/customXml" ds:itemID="{08750892-2485-4707-8414-E6EC5D0801B5}">
  <ds:schemaRefs>
    <ds:schemaRef ds:uri="http://schemas.openxmlformats.org/officeDocument/2006/bibliography"/>
  </ds:schemaRefs>
</ds:datastoreItem>
</file>

<file path=customXml/itemProps16.xml><?xml version="1.0" encoding="utf-8"?>
<ds:datastoreItem xmlns:ds="http://schemas.openxmlformats.org/officeDocument/2006/customXml" ds:itemID="{32CB98FA-70B1-4BE7-8E33-D134AEF2431E}">
  <ds:schemaRefs>
    <ds:schemaRef ds:uri="http://schemas.openxmlformats.org/officeDocument/2006/bibliography"/>
  </ds:schemaRefs>
</ds:datastoreItem>
</file>

<file path=customXml/itemProps17.xml><?xml version="1.0" encoding="utf-8"?>
<ds:datastoreItem xmlns:ds="http://schemas.openxmlformats.org/officeDocument/2006/customXml" ds:itemID="{CC7596CE-1934-4993-9CD4-2D8B1E8D263B}">
  <ds:schemaRefs>
    <ds:schemaRef ds:uri="http://schemas.openxmlformats.org/officeDocument/2006/bibliography"/>
  </ds:schemaRefs>
</ds:datastoreItem>
</file>

<file path=customXml/itemProps18.xml><?xml version="1.0" encoding="utf-8"?>
<ds:datastoreItem xmlns:ds="http://schemas.openxmlformats.org/officeDocument/2006/customXml" ds:itemID="{1B414BAA-22D2-43EA-A7EE-7E79D784C2D4}">
  <ds:schemaRefs>
    <ds:schemaRef ds:uri="http://schemas.openxmlformats.org/officeDocument/2006/bibliography"/>
  </ds:schemaRefs>
</ds:datastoreItem>
</file>

<file path=customXml/itemProps19.xml><?xml version="1.0" encoding="utf-8"?>
<ds:datastoreItem xmlns:ds="http://schemas.openxmlformats.org/officeDocument/2006/customXml" ds:itemID="{D1C3A97C-5FF0-4833-9CF3-826B84CD224B}">
  <ds:schemaRefs>
    <ds:schemaRef ds:uri="http://schemas.openxmlformats.org/officeDocument/2006/bibliography"/>
  </ds:schemaRefs>
</ds:datastoreItem>
</file>

<file path=customXml/itemProps2.xml><?xml version="1.0" encoding="utf-8"?>
<ds:datastoreItem xmlns:ds="http://schemas.openxmlformats.org/officeDocument/2006/customXml" ds:itemID="{E9A12DA8-FB4D-40F2-8CEF-39D486E74F5E}">
  <ds:schemaRefs>
    <ds:schemaRef ds:uri="http://schemas.openxmlformats.org/officeDocument/2006/bibliography"/>
  </ds:schemaRefs>
</ds:datastoreItem>
</file>

<file path=customXml/itemProps20.xml><?xml version="1.0" encoding="utf-8"?>
<ds:datastoreItem xmlns:ds="http://schemas.openxmlformats.org/officeDocument/2006/customXml" ds:itemID="{58135D5B-1B91-47CA-84AC-FBDC2398100B}">
  <ds:schemaRefs>
    <ds:schemaRef ds:uri="http://schemas.openxmlformats.org/officeDocument/2006/bibliography"/>
  </ds:schemaRefs>
</ds:datastoreItem>
</file>

<file path=customXml/itemProps21.xml><?xml version="1.0" encoding="utf-8"?>
<ds:datastoreItem xmlns:ds="http://schemas.openxmlformats.org/officeDocument/2006/customXml" ds:itemID="{CB7948A3-FF0A-417D-B536-8F8CD907E12E}">
  <ds:schemaRefs>
    <ds:schemaRef ds:uri="http://schemas.openxmlformats.org/officeDocument/2006/bibliography"/>
  </ds:schemaRefs>
</ds:datastoreItem>
</file>

<file path=customXml/itemProps22.xml><?xml version="1.0" encoding="utf-8"?>
<ds:datastoreItem xmlns:ds="http://schemas.openxmlformats.org/officeDocument/2006/customXml" ds:itemID="{FEF52995-CA10-49E6-BC39-E37A1843AC64}">
  <ds:schemaRefs>
    <ds:schemaRef ds:uri="http://schemas.openxmlformats.org/officeDocument/2006/bibliography"/>
  </ds:schemaRefs>
</ds:datastoreItem>
</file>

<file path=customXml/itemProps23.xml><?xml version="1.0" encoding="utf-8"?>
<ds:datastoreItem xmlns:ds="http://schemas.openxmlformats.org/officeDocument/2006/customXml" ds:itemID="{6A4859AF-604B-45B3-B1B9-F4E809B8CB17}">
  <ds:schemaRefs>
    <ds:schemaRef ds:uri="http://schemas.openxmlformats.org/officeDocument/2006/bibliography"/>
  </ds:schemaRefs>
</ds:datastoreItem>
</file>

<file path=customXml/itemProps24.xml><?xml version="1.0" encoding="utf-8"?>
<ds:datastoreItem xmlns:ds="http://schemas.openxmlformats.org/officeDocument/2006/customXml" ds:itemID="{10C49CBA-DC68-4FF3-96C9-0F04B12D224B}">
  <ds:schemaRefs>
    <ds:schemaRef ds:uri="http://schemas.openxmlformats.org/officeDocument/2006/bibliography"/>
  </ds:schemaRefs>
</ds:datastoreItem>
</file>

<file path=customXml/itemProps25.xml><?xml version="1.0" encoding="utf-8"?>
<ds:datastoreItem xmlns:ds="http://schemas.openxmlformats.org/officeDocument/2006/customXml" ds:itemID="{E71C8DF1-C262-40F7-8264-63E4F0401AB3}">
  <ds:schemaRefs>
    <ds:schemaRef ds:uri="http://schemas.openxmlformats.org/officeDocument/2006/bibliography"/>
  </ds:schemaRefs>
</ds:datastoreItem>
</file>

<file path=customXml/itemProps26.xml><?xml version="1.0" encoding="utf-8"?>
<ds:datastoreItem xmlns:ds="http://schemas.openxmlformats.org/officeDocument/2006/customXml" ds:itemID="{A9E0D2A4-F5DA-4C38-B701-0C8D50C519B6}">
  <ds:schemaRefs>
    <ds:schemaRef ds:uri="http://schemas.openxmlformats.org/officeDocument/2006/bibliography"/>
  </ds:schemaRefs>
</ds:datastoreItem>
</file>

<file path=customXml/itemProps27.xml><?xml version="1.0" encoding="utf-8"?>
<ds:datastoreItem xmlns:ds="http://schemas.openxmlformats.org/officeDocument/2006/customXml" ds:itemID="{DBD7F057-7CBC-42D0-8A96-8AA76BE84084}">
  <ds:schemaRefs>
    <ds:schemaRef ds:uri="http://schemas.openxmlformats.org/officeDocument/2006/bibliography"/>
  </ds:schemaRefs>
</ds:datastoreItem>
</file>

<file path=customXml/itemProps28.xml><?xml version="1.0" encoding="utf-8"?>
<ds:datastoreItem xmlns:ds="http://schemas.openxmlformats.org/officeDocument/2006/customXml" ds:itemID="{1A098513-8D89-4AC1-8C3C-CC98842C62D7}">
  <ds:schemaRefs>
    <ds:schemaRef ds:uri="http://schemas.openxmlformats.org/officeDocument/2006/bibliography"/>
  </ds:schemaRefs>
</ds:datastoreItem>
</file>

<file path=customXml/itemProps29.xml><?xml version="1.0" encoding="utf-8"?>
<ds:datastoreItem xmlns:ds="http://schemas.openxmlformats.org/officeDocument/2006/customXml" ds:itemID="{7C03E89D-8FAE-491E-9D29-221B8D7E815B}">
  <ds:schemaRefs>
    <ds:schemaRef ds:uri="http://schemas.openxmlformats.org/officeDocument/2006/bibliography"/>
  </ds:schemaRefs>
</ds:datastoreItem>
</file>

<file path=customXml/itemProps3.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0A809040-F725-4D98-99F7-856FECBD6381}">
  <ds:schemaRefs>
    <ds:schemaRef ds:uri="http://schemas.openxmlformats.org/officeDocument/2006/bibliography"/>
  </ds:schemaRefs>
</ds:datastoreItem>
</file>

<file path=customXml/itemProps32.xml><?xml version="1.0" encoding="utf-8"?>
<ds:datastoreItem xmlns:ds="http://schemas.openxmlformats.org/officeDocument/2006/customXml" ds:itemID="{6A3FB9C8-2F03-46EF-BA23-1B04351912A7}">
  <ds:schemaRefs>
    <ds:schemaRef ds:uri="http://schemas.openxmlformats.org/officeDocument/2006/bibliography"/>
  </ds:schemaRefs>
</ds:datastoreItem>
</file>

<file path=customXml/itemProps33.xml><?xml version="1.0" encoding="utf-8"?>
<ds:datastoreItem xmlns:ds="http://schemas.openxmlformats.org/officeDocument/2006/customXml" ds:itemID="{0920E136-0780-4349-914B-4B6F4DAFB66E}">
  <ds:schemaRefs>
    <ds:schemaRef ds:uri="http://schemas.openxmlformats.org/officeDocument/2006/bibliography"/>
  </ds:schemaRefs>
</ds:datastoreItem>
</file>

<file path=customXml/itemProps34.xml><?xml version="1.0" encoding="utf-8"?>
<ds:datastoreItem xmlns:ds="http://schemas.openxmlformats.org/officeDocument/2006/customXml" ds:itemID="{53F0EE22-DBCE-4CE3-8484-9F2C0CBEDE2D}">
  <ds:schemaRefs>
    <ds:schemaRef ds:uri="http://schemas.openxmlformats.org/officeDocument/2006/bibliography"/>
  </ds:schemaRefs>
</ds:datastoreItem>
</file>

<file path=customXml/itemProps35.xml><?xml version="1.0" encoding="utf-8"?>
<ds:datastoreItem xmlns:ds="http://schemas.openxmlformats.org/officeDocument/2006/customXml" ds:itemID="{709C7E2F-5218-495E-B031-24A0CA46E883}">
  <ds:schemaRefs>
    <ds:schemaRef ds:uri="http://schemas.openxmlformats.org/officeDocument/2006/bibliography"/>
  </ds:schemaRefs>
</ds:datastoreItem>
</file>

<file path=customXml/itemProps36.xml><?xml version="1.0" encoding="utf-8"?>
<ds:datastoreItem xmlns:ds="http://schemas.openxmlformats.org/officeDocument/2006/customXml" ds:itemID="{F38E4704-8B72-4371-A805-D013B1553F2C}">
  <ds:schemaRefs>
    <ds:schemaRef ds:uri="http://schemas.openxmlformats.org/officeDocument/2006/bibliography"/>
  </ds:schemaRefs>
</ds:datastoreItem>
</file>

<file path=customXml/itemProps37.xml><?xml version="1.0" encoding="utf-8"?>
<ds:datastoreItem xmlns:ds="http://schemas.openxmlformats.org/officeDocument/2006/customXml" ds:itemID="{6D388C70-1A24-42B7-BB0B-8EF15E58EA9F}">
  <ds:schemaRefs>
    <ds:schemaRef ds:uri="http://schemas.openxmlformats.org/officeDocument/2006/bibliography"/>
  </ds:schemaRefs>
</ds:datastoreItem>
</file>

<file path=customXml/itemProps4.xml><?xml version="1.0" encoding="utf-8"?>
<ds:datastoreItem xmlns:ds="http://schemas.openxmlformats.org/officeDocument/2006/customXml" ds:itemID="{1C5C109E-540E-4D1B-95BC-7003644C44AA}">
  <ds:schemaRefs>
    <ds:schemaRef ds:uri="http://schemas.openxmlformats.org/officeDocument/2006/bibliography"/>
  </ds:schemaRefs>
</ds:datastoreItem>
</file>

<file path=customXml/itemProps5.xml><?xml version="1.0" encoding="utf-8"?>
<ds:datastoreItem xmlns:ds="http://schemas.openxmlformats.org/officeDocument/2006/customXml" ds:itemID="{EEBEE685-7D51-4E1B-97C5-0D2F1C172214}">
  <ds:schemaRefs>
    <ds:schemaRef ds:uri="http://schemas.openxmlformats.org/officeDocument/2006/bibliography"/>
  </ds:schemaRefs>
</ds:datastoreItem>
</file>

<file path=customXml/itemProps6.xml><?xml version="1.0" encoding="utf-8"?>
<ds:datastoreItem xmlns:ds="http://schemas.openxmlformats.org/officeDocument/2006/customXml" ds:itemID="{27BCA873-AC1A-4B24-A860-547A3ACBE083}">
  <ds:schemaRefs>
    <ds:schemaRef ds:uri="http://schemas.openxmlformats.org/officeDocument/2006/bibliography"/>
  </ds:schemaRefs>
</ds:datastoreItem>
</file>

<file path=customXml/itemProps7.xml><?xml version="1.0" encoding="utf-8"?>
<ds:datastoreItem xmlns:ds="http://schemas.openxmlformats.org/officeDocument/2006/customXml" ds:itemID="{FD3FEE59-7773-4DD0-A68C-97B44B04AE86}">
  <ds:schemaRefs>
    <ds:schemaRef ds:uri="http://schemas.openxmlformats.org/officeDocument/2006/bibliography"/>
  </ds:schemaRefs>
</ds:datastoreItem>
</file>

<file path=customXml/itemProps8.xml><?xml version="1.0" encoding="utf-8"?>
<ds:datastoreItem xmlns:ds="http://schemas.openxmlformats.org/officeDocument/2006/customXml" ds:itemID="{6FB85112-8BA1-4FF4-9998-4C00C4B2F69D}">
  <ds:schemaRefs>
    <ds:schemaRef ds:uri="http://schemas.openxmlformats.org/officeDocument/2006/bibliography"/>
  </ds:schemaRefs>
</ds:datastoreItem>
</file>

<file path=customXml/itemProps9.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30043</Words>
  <Characters>2418</Characters>
  <Application>Microsoft Office Word</Application>
  <DocSecurity>0</DocSecurity>
  <Lines>20</Lines>
  <Paragraphs>64</Paragraphs>
  <ScaleCrop>false</ScaleCrop>
  <Company/>
  <LinksUpToDate>false</LinksUpToDate>
  <CharactersWithSpaces>32397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戴梦菲</cp:lastModifiedBy>
  <cp:revision>4</cp:revision>
  <cp:lastPrinted>2018-10-08T11:53:00Z</cp:lastPrinted>
  <dcterms:created xsi:type="dcterms:W3CDTF">2019-09-14T06:39:00Z</dcterms:created>
  <dcterms:modified xsi:type="dcterms:W3CDTF">2019-11-04T09:45:00Z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