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530CA" w:rsidRDefault="003D5A6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323,006,998.43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r w:rsidRPr="00414345">
              <w:rPr>
                <w:color w:val="000000"/>
                <w:kern w:val="0"/>
                <w:sz w:val="24"/>
                <w:szCs w:val="24"/>
              </w:rPr>
              <w:t>×50%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67FE7" w:rsidRPr="00414345" w:rsidTr="00267FE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67FE7" w:rsidRPr="00414345" w:rsidTr="00267FE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89,950.06</w:t>
            </w:r>
          </w:p>
        </w:tc>
      </w:tr>
      <w:tr w:rsidR="00267FE7" w:rsidRPr="00414345" w:rsidTr="00267FE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1,019,418.79</w:t>
            </w:r>
          </w:p>
        </w:tc>
      </w:tr>
      <w:tr w:rsidR="00267FE7" w:rsidRPr="00414345" w:rsidTr="00267FE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0.0054</w:t>
            </w:r>
          </w:p>
        </w:tc>
      </w:tr>
      <w:tr w:rsidR="00267FE7" w:rsidRPr="00414345" w:rsidTr="00267FE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340,352,278.09</w:t>
            </w:r>
          </w:p>
        </w:tc>
      </w:tr>
      <w:tr w:rsidR="00267FE7" w:rsidRPr="00414345" w:rsidTr="00267FE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1.054</w:t>
            </w:r>
          </w:p>
        </w:tc>
      </w:tr>
    </w:tbl>
    <w:p w:rsidR="005530CA" w:rsidRDefault="003D5A6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530CA">
        <w:trPr>
          <w:jc w:val="center"/>
        </w:trPr>
        <w:tc>
          <w:tcPr>
            <w:tcW w:w="1701" w:type="dxa"/>
            <w:vAlign w:val="center"/>
          </w:tcPr>
          <w:p w:rsidR="005530CA" w:rsidRDefault="003D5A6B">
            <w:pPr>
              <w:jc w:val="left"/>
            </w:pPr>
            <w:r>
              <w:rPr>
                <w:color w:val="000000"/>
                <w:sz w:val="24"/>
                <w:szCs w:val="24"/>
              </w:rPr>
              <w:t>过去三个月</w:t>
            </w:r>
          </w:p>
        </w:tc>
        <w:tc>
          <w:tcPr>
            <w:tcW w:w="1045" w:type="dxa"/>
            <w:vAlign w:val="center"/>
          </w:tcPr>
          <w:p w:rsidR="005530CA" w:rsidRDefault="003D5A6B">
            <w:pPr>
              <w:jc w:val="center"/>
            </w:pPr>
            <w:r>
              <w:rPr>
                <w:color w:val="000000"/>
                <w:sz w:val="24"/>
                <w:szCs w:val="24"/>
              </w:rPr>
              <w:t>-1.95%</w:t>
            </w:r>
          </w:p>
        </w:tc>
        <w:tc>
          <w:tcPr>
            <w:tcW w:w="1344" w:type="dxa"/>
            <w:vAlign w:val="center"/>
          </w:tcPr>
          <w:p w:rsidR="005530CA" w:rsidRDefault="003D5A6B">
            <w:pPr>
              <w:jc w:val="center"/>
            </w:pPr>
            <w:r>
              <w:rPr>
                <w:color w:val="000000"/>
                <w:sz w:val="24"/>
                <w:szCs w:val="24"/>
              </w:rPr>
              <w:t>0.25%</w:t>
            </w:r>
          </w:p>
        </w:tc>
        <w:tc>
          <w:tcPr>
            <w:tcW w:w="1194" w:type="dxa"/>
            <w:vAlign w:val="center"/>
          </w:tcPr>
          <w:p w:rsidR="005530CA" w:rsidRDefault="003D5A6B">
            <w:pPr>
              <w:jc w:val="center"/>
            </w:pPr>
            <w:r>
              <w:rPr>
                <w:color w:val="000000"/>
                <w:sz w:val="24"/>
                <w:szCs w:val="24"/>
              </w:rPr>
              <w:t>-0.54%</w:t>
            </w:r>
          </w:p>
        </w:tc>
        <w:tc>
          <w:tcPr>
            <w:tcW w:w="1492" w:type="dxa"/>
            <w:vAlign w:val="center"/>
          </w:tcPr>
          <w:p w:rsidR="005530CA" w:rsidRDefault="003D5A6B">
            <w:pPr>
              <w:jc w:val="center"/>
            </w:pPr>
            <w:r>
              <w:rPr>
                <w:color w:val="000000"/>
                <w:sz w:val="24"/>
                <w:szCs w:val="24"/>
              </w:rPr>
              <w:t>0.75%</w:t>
            </w:r>
          </w:p>
        </w:tc>
        <w:tc>
          <w:tcPr>
            <w:tcW w:w="1194" w:type="dxa"/>
            <w:vAlign w:val="center"/>
          </w:tcPr>
          <w:p w:rsidR="005530CA" w:rsidRDefault="003D5A6B">
            <w:pPr>
              <w:jc w:val="center"/>
            </w:pPr>
            <w:r>
              <w:rPr>
                <w:color w:val="000000"/>
                <w:sz w:val="24"/>
                <w:szCs w:val="24"/>
              </w:rPr>
              <w:t>-1.41%</w:t>
            </w:r>
          </w:p>
        </w:tc>
        <w:tc>
          <w:tcPr>
            <w:tcW w:w="898" w:type="dxa"/>
            <w:vAlign w:val="center"/>
          </w:tcPr>
          <w:p w:rsidR="005530CA" w:rsidRDefault="003D5A6B">
            <w:pPr>
              <w:jc w:val="center"/>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267FE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14:anchorId="4B644C8B" wp14:editId="61D95FD6">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注：本基金由交银施罗德荣鑫保本混合型证券投资基金转型而来。基金转型日为</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29</w:t>
      </w:r>
      <w:r w:rsidRPr="00414345">
        <w:rPr>
          <w:color w:val="000000"/>
          <w:sz w:val="24"/>
          <w:szCs w:val="24"/>
        </w:rPr>
        <w:t>日，基金转型日至报告期期末，本基金转型时间未满一年。本基金的投资转型期为交银施罗德荣鑫保本混</w:t>
      </w:r>
      <w:bookmarkStart w:id="0" w:name="_GoBack"/>
      <w:bookmarkEnd w:id="0"/>
      <w:r w:rsidRPr="00414345">
        <w:rPr>
          <w:color w:val="000000"/>
          <w:sz w:val="24"/>
          <w:szCs w:val="24"/>
        </w:rPr>
        <w:t>合型证券投资基金保本周期到期期间截止日的次日（即</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29</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530CA">
        <w:trPr>
          <w:jc w:val="center"/>
        </w:trPr>
        <w:tc>
          <w:tcPr>
            <w:tcW w:w="846" w:type="dxa"/>
            <w:vAlign w:val="center"/>
          </w:tcPr>
          <w:p w:rsidR="005530CA" w:rsidRDefault="003D5A6B">
            <w:pPr>
              <w:jc w:val="center"/>
            </w:pPr>
            <w:r>
              <w:rPr>
                <w:color w:val="000000"/>
                <w:sz w:val="24"/>
                <w:szCs w:val="24"/>
              </w:rPr>
              <w:t>唐赟</w:t>
            </w:r>
          </w:p>
        </w:tc>
        <w:tc>
          <w:tcPr>
            <w:tcW w:w="845" w:type="dxa"/>
            <w:vAlign w:val="center"/>
          </w:tcPr>
          <w:p w:rsidR="005530CA" w:rsidRDefault="003D5A6B">
            <w:pPr>
              <w:jc w:val="center"/>
            </w:pPr>
            <w:r>
              <w:rPr>
                <w:color w:val="000000"/>
                <w:sz w:val="24"/>
                <w:szCs w:val="24"/>
              </w:rPr>
              <w:t>交银信用添利债券</w:t>
            </w:r>
            <w:r>
              <w:rPr>
                <w:color w:val="000000"/>
                <w:sz w:val="24"/>
                <w:szCs w:val="24"/>
              </w:rPr>
              <w:t>(LOF)</w:t>
            </w:r>
            <w:r>
              <w:rPr>
                <w:color w:val="000000"/>
                <w:sz w:val="24"/>
                <w:szCs w:val="24"/>
              </w:rPr>
              <w:t>、交银双利债券、交银双轮动债</w:t>
            </w:r>
            <w:r>
              <w:rPr>
                <w:color w:val="000000"/>
                <w:sz w:val="24"/>
                <w:szCs w:val="24"/>
              </w:rPr>
              <w:lastRenderedPageBreak/>
              <w:t>券、交银裕通纯债债券、交银安心收益债券、交银荣鑫灵活配置混合的基金经理</w:t>
            </w:r>
          </w:p>
        </w:tc>
        <w:tc>
          <w:tcPr>
            <w:tcW w:w="1549" w:type="dxa"/>
            <w:vAlign w:val="center"/>
          </w:tcPr>
          <w:p w:rsidR="005530CA" w:rsidRDefault="003D5A6B">
            <w:pPr>
              <w:jc w:val="center"/>
            </w:pPr>
            <w:r>
              <w:rPr>
                <w:color w:val="000000"/>
                <w:sz w:val="24"/>
                <w:szCs w:val="24"/>
              </w:rPr>
              <w:lastRenderedPageBreak/>
              <w:t>2019-02-28</w:t>
            </w:r>
          </w:p>
        </w:tc>
        <w:tc>
          <w:tcPr>
            <w:tcW w:w="1548" w:type="dxa"/>
            <w:vAlign w:val="center"/>
          </w:tcPr>
          <w:p w:rsidR="005530CA" w:rsidRDefault="003D5A6B">
            <w:pPr>
              <w:jc w:val="center"/>
            </w:pPr>
            <w:r>
              <w:rPr>
                <w:color w:val="000000"/>
                <w:sz w:val="24"/>
                <w:szCs w:val="24"/>
              </w:rPr>
              <w:t>-</w:t>
            </w:r>
          </w:p>
        </w:tc>
        <w:tc>
          <w:tcPr>
            <w:tcW w:w="1407" w:type="dxa"/>
            <w:vAlign w:val="center"/>
          </w:tcPr>
          <w:p w:rsidR="005530CA" w:rsidRDefault="003D5A6B">
            <w:pPr>
              <w:jc w:val="center"/>
            </w:pPr>
            <w:r>
              <w:rPr>
                <w:color w:val="000000"/>
                <w:sz w:val="24"/>
                <w:szCs w:val="24"/>
              </w:rPr>
              <w:t>9</w:t>
            </w:r>
            <w:r>
              <w:rPr>
                <w:color w:val="000000"/>
                <w:sz w:val="24"/>
                <w:szCs w:val="24"/>
              </w:rPr>
              <w:t>年</w:t>
            </w:r>
          </w:p>
        </w:tc>
        <w:tc>
          <w:tcPr>
            <w:tcW w:w="2673" w:type="dxa"/>
            <w:vAlign w:val="center"/>
          </w:tcPr>
          <w:p w:rsidR="005530CA" w:rsidRDefault="003D5A6B">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w:t>
            </w:r>
            <w:r>
              <w:rPr>
                <w:color w:val="000000"/>
                <w:sz w:val="24"/>
                <w:szCs w:val="24"/>
              </w:rPr>
              <w:lastRenderedPageBreak/>
              <w:t>罗德荣和保本混合型证券投资基金的基金经理。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530CA" w:rsidRDefault="003D5A6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w:t>
      </w:r>
      <w:r>
        <w:rPr>
          <w:color w:val="000000"/>
          <w:sz w:val="24"/>
          <w:szCs w:val="24"/>
        </w:rPr>
        <w:t>的所有资产组合，包括证券投资基金和特定客户资产管理专户均严格遵循制度进行公平交易。</w:t>
      </w:r>
    </w:p>
    <w:p w:rsidR="005530CA" w:rsidRDefault="003D5A6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530CA" w:rsidRDefault="003D5A6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530CA" w:rsidRDefault="003D5A6B">
      <w:pPr>
        <w:spacing w:before="29" w:line="288" w:lineRule="auto"/>
        <w:ind w:firstLineChars="200" w:firstLine="480"/>
        <w:rPr>
          <w:color w:val="000000"/>
          <w:sz w:val="24"/>
          <w:szCs w:val="24"/>
        </w:rPr>
      </w:pPr>
      <w:r>
        <w:rPr>
          <w:color w:val="000000"/>
          <w:sz w:val="24"/>
          <w:szCs w:val="24"/>
        </w:rPr>
        <w:t>本报告期内，债市受到经济基本面、海外事件及资金面等多重因素影响。经济预期的反复在前一阶段带来长端收益率的扰动。三月春节错位令市场对于经济的预期高涨，十年活跃国开收益率一度接近</w:t>
      </w:r>
      <w:r>
        <w:rPr>
          <w:color w:val="000000"/>
          <w:sz w:val="24"/>
          <w:szCs w:val="24"/>
        </w:rPr>
        <w:t>3.90%</w:t>
      </w:r>
      <w:r>
        <w:rPr>
          <w:color w:val="000000"/>
          <w:sz w:val="24"/>
          <w:szCs w:val="24"/>
        </w:rPr>
        <w:t>。此后，经济环比数据回落，并伴随着中观行业订单季节性下降，地产销量逐步走低，五月中美贸易争端再起，经济预期进一步回落，十年活跃国开下行至</w:t>
      </w:r>
      <w:r>
        <w:rPr>
          <w:color w:val="000000"/>
          <w:sz w:val="24"/>
          <w:szCs w:val="24"/>
        </w:rPr>
        <w:t>3.75%</w:t>
      </w:r>
      <w:r>
        <w:rPr>
          <w:color w:val="000000"/>
          <w:sz w:val="24"/>
          <w:szCs w:val="24"/>
        </w:rPr>
        <w:t>位置，并在该中枢上下震荡。五月随着季末来临，基金融资相对困难，银行间流动性中性分化，短久期债券收益率上行，信用利差明显走廓。随着跨季资金面的宽松，短端收益率下行，中高等级信用债收益率</w:t>
      </w:r>
      <w:r>
        <w:rPr>
          <w:color w:val="000000"/>
          <w:sz w:val="24"/>
          <w:szCs w:val="24"/>
        </w:rPr>
        <w:t>也出现回落，但中低等级信用债成交依然不多。受经济环比回落，中美贸易争端再度演绎等事件影响，权益市场自四月中下旬震荡下行。行业层面看，部分消费及金融有一定绝对收益，</w:t>
      </w:r>
      <w:r>
        <w:rPr>
          <w:color w:val="000000"/>
          <w:sz w:val="24"/>
          <w:szCs w:val="24"/>
        </w:rPr>
        <w:t>TMT</w:t>
      </w:r>
      <w:r>
        <w:rPr>
          <w:color w:val="000000"/>
          <w:sz w:val="24"/>
          <w:szCs w:val="24"/>
        </w:rPr>
        <w:t>及强周期等板块均有</w:t>
      </w:r>
      <w:r>
        <w:rPr>
          <w:color w:val="000000"/>
          <w:sz w:val="24"/>
          <w:szCs w:val="24"/>
        </w:rPr>
        <w:t>10%</w:t>
      </w:r>
      <w:r>
        <w:rPr>
          <w:color w:val="000000"/>
          <w:sz w:val="24"/>
          <w:szCs w:val="24"/>
        </w:rPr>
        <w:t>以上跌幅。</w:t>
      </w:r>
    </w:p>
    <w:p w:rsidR="005530CA" w:rsidRDefault="003D5A6B">
      <w:pPr>
        <w:spacing w:before="29" w:line="288" w:lineRule="auto"/>
        <w:ind w:firstLineChars="200" w:firstLine="480"/>
        <w:rPr>
          <w:color w:val="000000"/>
          <w:sz w:val="24"/>
          <w:szCs w:val="24"/>
        </w:rPr>
      </w:pPr>
      <w:r>
        <w:rPr>
          <w:color w:val="000000"/>
          <w:sz w:val="24"/>
          <w:szCs w:val="24"/>
        </w:rPr>
        <w:t>我们认为，前期权益市场估值偏高，经济环比回落，叠加中美贸易不确定性的加强，债券市场存在结构性配置价值。在组合操作中，我们维持中短久期高等级信用品种作为底仓主要配置品种。权益方面，适当增配盈利较为稳定，估值接近历史底部的权益持仓，以期增厚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三季度，从高频数据看，我们认为经济基本面面临下行压力，因此对于债券市场我们维持中性偏乐观的看法，上行风险来自于中美关系进展好于预期，以及货币政策放松幅度不及预期。组合方面，信用底仓配置主要为中短久期高等级信用债。权益方面，我们将密切跟踪个股业绩和行业景气变化，通过行业轮动及个股精选，尽力控制组合回撤，努力为投资人取得稳定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w:t>
      </w:r>
      <w:r w:rsidRPr="00414345">
        <w:rPr>
          <w:color w:val="000000"/>
          <w:sz w:val="24"/>
          <w:szCs w:val="24"/>
        </w:rPr>
        <w:t>“3.2.2.1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lastRenderedPageBreak/>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81,810,756.01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20.13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81,810,756.01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20.13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215,912,548.20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53.11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215,912,548.20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53.11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37,300,000.00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37,908,189.25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33,580,072.38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8.26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406,511,565.84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15,300,212.84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6,009,900.00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60,500,643.17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81,810,756.01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24.04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530CA">
        <w:trPr>
          <w:jc w:val="center"/>
        </w:trPr>
        <w:tc>
          <w:tcPr>
            <w:tcW w:w="855" w:type="dxa"/>
            <w:vAlign w:val="center"/>
          </w:tcPr>
          <w:p w:rsidR="005530CA" w:rsidRDefault="003D5A6B">
            <w:pPr>
              <w:jc w:val="center"/>
            </w:pPr>
            <w:r>
              <w:rPr>
                <w:color w:val="000000"/>
                <w:sz w:val="24"/>
                <w:szCs w:val="24"/>
              </w:rPr>
              <w:t>1</w:t>
            </w:r>
          </w:p>
        </w:tc>
        <w:tc>
          <w:tcPr>
            <w:tcW w:w="1334" w:type="dxa"/>
            <w:vAlign w:val="center"/>
          </w:tcPr>
          <w:p w:rsidR="005530CA" w:rsidRDefault="003D5A6B">
            <w:pPr>
              <w:jc w:val="center"/>
            </w:pPr>
            <w:r>
              <w:rPr>
                <w:color w:val="000000"/>
                <w:sz w:val="24"/>
                <w:szCs w:val="24"/>
              </w:rPr>
              <w:t>601288</w:t>
            </w:r>
          </w:p>
        </w:tc>
        <w:tc>
          <w:tcPr>
            <w:tcW w:w="1777" w:type="dxa"/>
            <w:vAlign w:val="center"/>
          </w:tcPr>
          <w:p w:rsidR="005530CA" w:rsidRDefault="003D5A6B">
            <w:pPr>
              <w:jc w:val="center"/>
            </w:pPr>
            <w:r>
              <w:rPr>
                <w:color w:val="000000"/>
                <w:sz w:val="24"/>
                <w:szCs w:val="24"/>
              </w:rPr>
              <w:t>农业银行</w:t>
            </w:r>
          </w:p>
        </w:tc>
        <w:tc>
          <w:tcPr>
            <w:tcW w:w="1334" w:type="dxa"/>
            <w:vAlign w:val="center"/>
          </w:tcPr>
          <w:p w:rsidR="005530CA" w:rsidRDefault="003D5A6B">
            <w:pPr>
              <w:jc w:val="right"/>
            </w:pPr>
            <w:r>
              <w:rPr>
                <w:color w:val="000000"/>
                <w:sz w:val="24"/>
                <w:szCs w:val="24"/>
              </w:rPr>
              <w:t>6,300,000</w:t>
            </w:r>
          </w:p>
        </w:tc>
        <w:tc>
          <w:tcPr>
            <w:tcW w:w="1924" w:type="dxa"/>
            <w:vAlign w:val="center"/>
          </w:tcPr>
          <w:p w:rsidR="005530CA" w:rsidRDefault="003D5A6B">
            <w:pPr>
              <w:jc w:val="right"/>
            </w:pPr>
            <w:r>
              <w:rPr>
                <w:color w:val="000000"/>
                <w:sz w:val="24"/>
                <w:szCs w:val="24"/>
              </w:rPr>
              <w:t>22,680,000.00</w:t>
            </w:r>
          </w:p>
        </w:tc>
        <w:tc>
          <w:tcPr>
            <w:tcW w:w="1644" w:type="dxa"/>
            <w:vAlign w:val="center"/>
          </w:tcPr>
          <w:p w:rsidR="005530CA" w:rsidRDefault="003D5A6B">
            <w:pPr>
              <w:jc w:val="right"/>
            </w:pPr>
            <w:r>
              <w:rPr>
                <w:color w:val="000000"/>
                <w:sz w:val="24"/>
                <w:szCs w:val="24"/>
              </w:rPr>
              <w:t>6.66</w:t>
            </w:r>
          </w:p>
        </w:tc>
      </w:tr>
      <w:tr w:rsidR="005530CA">
        <w:trPr>
          <w:jc w:val="center"/>
        </w:trPr>
        <w:tc>
          <w:tcPr>
            <w:tcW w:w="855" w:type="dxa"/>
            <w:vAlign w:val="center"/>
          </w:tcPr>
          <w:p w:rsidR="005530CA" w:rsidRDefault="003D5A6B">
            <w:pPr>
              <w:jc w:val="center"/>
            </w:pPr>
            <w:r>
              <w:rPr>
                <w:color w:val="000000"/>
                <w:sz w:val="24"/>
                <w:szCs w:val="24"/>
              </w:rPr>
              <w:t>2</w:t>
            </w:r>
          </w:p>
        </w:tc>
        <w:tc>
          <w:tcPr>
            <w:tcW w:w="1334" w:type="dxa"/>
            <w:vAlign w:val="center"/>
          </w:tcPr>
          <w:p w:rsidR="005530CA" w:rsidRDefault="003D5A6B">
            <w:pPr>
              <w:jc w:val="center"/>
            </w:pPr>
            <w:r>
              <w:rPr>
                <w:color w:val="000000"/>
                <w:sz w:val="24"/>
                <w:szCs w:val="24"/>
              </w:rPr>
              <w:t>601336</w:t>
            </w:r>
          </w:p>
        </w:tc>
        <w:tc>
          <w:tcPr>
            <w:tcW w:w="1777" w:type="dxa"/>
            <w:vAlign w:val="center"/>
          </w:tcPr>
          <w:p w:rsidR="005530CA" w:rsidRDefault="003D5A6B">
            <w:pPr>
              <w:jc w:val="center"/>
            </w:pPr>
            <w:r>
              <w:rPr>
                <w:color w:val="000000"/>
                <w:sz w:val="24"/>
                <w:szCs w:val="24"/>
              </w:rPr>
              <w:t>新华保险</w:t>
            </w:r>
          </w:p>
        </w:tc>
        <w:tc>
          <w:tcPr>
            <w:tcW w:w="1334" w:type="dxa"/>
            <w:vAlign w:val="center"/>
          </w:tcPr>
          <w:p w:rsidR="005530CA" w:rsidRDefault="003D5A6B">
            <w:pPr>
              <w:jc w:val="right"/>
            </w:pPr>
            <w:r>
              <w:rPr>
                <w:color w:val="000000"/>
                <w:sz w:val="24"/>
                <w:szCs w:val="24"/>
              </w:rPr>
              <w:t>299,939</w:t>
            </w:r>
          </w:p>
        </w:tc>
        <w:tc>
          <w:tcPr>
            <w:tcW w:w="1924" w:type="dxa"/>
            <w:vAlign w:val="center"/>
          </w:tcPr>
          <w:p w:rsidR="005530CA" w:rsidRDefault="003D5A6B">
            <w:pPr>
              <w:jc w:val="right"/>
            </w:pPr>
            <w:r>
              <w:rPr>
                <w:color w:val="000000"/>
                <w:sz w:val="24"/>
                <w:szCs w:val="24"/>
              </w:rPr>
              <w:t>16,505,643.17</w:t>
            </w:r>
          </w:p>
        </w:tc>
        <w:tc>
          <w:tcPr>
            <w:tcW w:w="1644" w:type="dxa"/>
            <w:vAlign w:val="center"/>
          </w:tcPr>
          <w:p w:rsidR="005530CA" w:rsidRDefault="003D5A6B">
            <w:pPr>
              <w:jc w:val="right"/>
            </w:pPr>
            <w:r>
              <w:rPr>
                <w:color w:val="000000"/>
                <w:sz w:val="24"/>
                <w:szCs w:val="24"/>
              </w:rPr>
              <w:t>4.85</w:t>
            </w:r>
          </w:p>
        </w:tc>
      </w:tr>
      <w:tr w:rsidR="005530CA">
        <w:trPr>
          <w:jc w:val="center"/>
        </w:trPr>
        <w:tc>
          <w:tcPr>
            <w:tcW w:w="855" w:type="dxa"/>
            <w:vAlign w:val="center"/>
          </w:tcPr>
          <w:p w:rsidR="005530CA" w:rsidRDefault="003D5A6B">
            <w:pPr>
              <w:jc w:val="center"/>
            </w:pPr>
            <w:r>
              <w:rPr>
                <w:color w:val="000000"/>
                <w:sz w:val="24"/>
                <w:szCs w:val="24"/>
              </w:rPr>
              <w:t>3</w:t>
            </w:r>
          </w:p>
        </w:tc>
        <w:tc>
          <w:tcPr>
            <w:tcW w:w="1334" w:type="dxa"/>
            <w:vAlign w:val="center"/>
          </w:tcPr>
          <w:p w:rsidR="005530CA" w:rsidRDefault="003D5A6B">
            <w:pPr>
              <w:jc w:val="center"/>
            </w:pPr>
            <w:r>
              <w:rPr>
                <w:color w:val="000000"/>
                <w:sz w:val="24"/>
                <w:szCs w:val="24"/>
              </w:rPr>
              <w:t>601398</w:t>
            </w:r>
          </w:p>
        </w:tc>
        <w:tc>
          <w:tcPr>
            <w:tcW w:w="1777" w:type="dxa"/>
            <w:vAlign w:val="center"/>
          </w:tcPr>
          <w:p w:rsidR="005530CA" w:rsidRDefault="003D5A6B">
            <w:pPr>
              <w:jc w:val="center"/>
            </w:pPr>
            <w:r>
              <w:rPr>
                <w:color w:val="000000"/>
                <w:sz w:val="24"/>
                <w:szCs w:val="24"/>
              </w:rPr>
              <w:t>工商银行</w:t>
            </w:r>
          </w:p>
        </w:tc>
        <w:tc>
          <w:tcPr>
            <w:tcW w:w="1334" w:type="dxa"/>
            <w:vAlign w:val="center"/>
          </w:tcPr>
          <w:p w:rsidR="005530CA" w:rsidRDefault="003D5A6B">
            <w:pPr>
              <w:jc w:val="right"/>
            </w:pPr>
            <w:r>
              <w:rPr>
                <w:color w:val="000000"/>
                <w:sz w:val="24"/>
                <w:szCs w:val="24"/>
              </w:rPr>
              <w:t>2,800,000</w:t>
            </w:r>
          </w:p>
        </w:tc>
        <w:tc>
          <w:tcPr>
            <w:tcW w:w="1924" w:type="dxa"/>
            <w:vAlign w:val="center"/>
          </w:tcPr>
          <w:p w:rsidR="005530CA" w:rsidRDefault="003D5A6B">
            <w:pPr>
              <w:jc w:val="right"/>
            </w:pPr>
            <w:r>
              <w:rPr>
                <w:color w:val="000000"/>
                <w:sz w:val="24"/>
                <w:szCs w:val="24"/>
              </w:rPr>
              <w:t>16,492,000.00</w:t>
            </w:r>
          </w:p>
        </w:tc>
        <w:tc>
          <w:tcPr>
            <w:tcW w:w="1644" w:type="dxa"/>
            <w:vAlign w:val="center"/>
          </w:tcPr>
          <w:p w:rsidR="005530CA" w:rsidRDefault="003D5A6B">
            <w:pPr>
              <w:jc w:val="right"/>
            </w:pPr>
            <w:r>
              <w:rPr>
                <w:color w:val="000000"/>
                <w:sz w:val="24"/>
                <w:szCs w:val="24"/>
              </w:rPr>
              <w:t>4.85</w:t>
            </w:r>
          </w:p>
        </w:tc>
      </w:tr>
      <w:tr w:rsidR="005530CA">
        <w:trPr>
          <w:jc w:val="center"/>
        </w:trPr>
        <w:tc>
          <w:tcPr>
            <w:tcW w:w="855" w:type="dxa"/>
            <w:vAlign w:val="center"/>
          </w:tcPr>
          <w:p w:rsidR="005530CA" w:rsidRDefault="003D5A6B">
            <w:pPr>
              <w:jc w:val="center"/>
            </w:pPr>
            <w:r>
              <w:rPr>
                <w:color w:val="000000"/>
                <w:sz w:val="24"/>
                <w:szCs w:val="24"/>
              </w:rPr>
              <w:t>4</w:t>
            </w:r>
          </w:p>
        </w:tc>
        <w:tc>
          <w:tcPr>
            <w:tcW w:w="1334" w:type="dxa"/>
            <w:vAlign w:val="center"/>
          </w:tcPr>
          <w:p w:rsidR="005530CA" w:rsidRDefault="003D5A6B">
            <w:pPr>
              <w:jc w:val="center"/>
            </w:pPr>
            <w:r>
              <w:rPr>
                <w:color w:val="000000"/>
                <w:sz w:val="24"/>
                <w:szCs w:val="24"/>
              </w:rPr>
              <w:t>600104</w:t>
            </w:r>
          </w:p>
        </w:tc>
        <w:tc>
          <w:tcPr>
            <w:tcW w:w="1777" w:type="dxa"/>
            <w:vAlign w:val="center"/>
          </w:tcPr>
          <w:p w:rsidR="005530CA" w:rsidRDefault="003D5A6B">
            <w:pPr>
              <w:jc w:val="center"/>
            </w:pPr>
            <w:r>
              <w:rPr>
                <w:color w:val="000000"/>
                <w:sz w:val="24"/>
                <w:szCs w:val="24"/>
              </w:rPr>
              <w:t>上汽集团</w:t>
            </w:r>
          </w:p>
        </w:tc>
        <w:tc>
          <w:tcPr>
            <w:tcW w:w="1334" w:type="dxa"/>
            <w:vAlign w:val="center"/>
          </w:tcPr>
          <w:p w:rsidR="005530CA" w:rsidRDefault="003D5A6B">
            <w:pPr>
              <w:jc w:val="right"/>
            </w:pPr>
            <w:r>
              <w:rPr>
                <w:color w:val="000000"/>
                <w:sz w:val="24"/>
                <w:szCs w:val="24"/>
              </w:rPr>
              <w:t>599,995</w:t>
            </w:r>
          </w:p>
        </w:tc>
        <w:tc>
          <w:tcPr>
            <w:tcW w:w="1924" w:type="dxa"/>
            <w:vAlign w:val="center"/>
          </w:tcPr>
          <w:p w:rsidR="005530CA" w:rsidRDefault="003D5A6B">
            <w:pPr>
              <w:jc w:val="right"/>
            </w:pPr>
            <w:r>
              <w:rPr>
                <w:color w:val="000000"/>
                <w:sz w:val="24"/>
                <w:szCs w:val="24"/>
              </w:rPr>
              <w:t>15,299,872.50</w:t>
            </w:r>
          </w:p>
        </w:tc>
        <w:tc>
          <w:tcPr>
            <w:tcW w:w="1644" w:type="dxa"/>
            <w:vAlign w:val="center"/>
          </w:tcPr>
          <w:p w:rsidR="005530CA" w:rsidRDefault="003D5A6B">
            <w:pPr>
              <w:jc w:val="right"/>
            </w:pPr>
            <w:r>
              <w:rPr>
                <w:color w:val="000000"/>
                <w:sz w:val="24"/>
                <w:szCs w:val="24"/>
              </w:rPr>
              <w:t>4.50</w:t>
            </w:r>
          </w:p>
        </w:tc>
      </w:tr>
      <w:tr w:rsidR="005530CA">
        <w:trPr>
          <w:jc w:val="center"/>
        </w:trPr>
        <w:tc>
          <w:tcPr>
            <w:tcW w:w="855" w:type="dxa"/>
            <w:vAlign w:val="center"/>
          </w:tcPr>
          <w:p w:rsidR="005530CA" w:rsidRDefault="003D5A6B">
            <w:pPr>
              <w:jc w:val="center"/>
            </w:pPr>
            <w:r>
              <w:rPr>
                <w:color w:val="000000"/>
                <w:sz w:val="24"/>
                <w:szCs w:val="24"/>
              </w:rPr>
              <w:t>5</w:t>
            </w:r>
          </w:p>
        </w:tc>
        <w:tc>
          <w:tcPr>
            <w:tcW w:w="1334" w:type="dxa"/>
            <w:vAlign w:val="center"/>
          </w:tcPr>
          <w:p w:rsidR="005530CA" w:rsidRDefault="003D5A6B">
            <w:pPr>
              <w:jc w:val="center"/>
            </w:pPr>
            <w:r>
              <w:rPr>
                <w:color w:val="000000"/>
                <w:sz w:val="24"/>
                <w:szCs w:val="24"/>
              </w:rPr>
              <w:t>002120</w:t>
            </w:r>
          </w:p>
        </w:tc>
        <w:tc>
          <w:tcPr>
            <w:tcW w:w="1777" w:type="dxa"/>
            <w:vAlign w:val="center"/>
          </w:tcPr>
          <w:p w:rsidR="005530CA" w:rsidRDefault="003D5A6B">
            <w:pPr>
              <w:jc w:val="center"/>
            </w:pPr>
            <w:r>
              <w:rPr>
                <w:color w:val="000000"/>
                <w:sz w:val="24"/>
                <w:szCs w:val="24"/>
              </w:rPr>
              <w:t>韵达股份</w:t>
            </w:r>
          </w:p>
        </w:tc>
        <w:tc>
          <w:tcPr>
            <w:tcW w:w="1334" w:type="dxa"/>
            <w:vAlign w:val="center"/>
          </w:tcPr>
          <w:p w:rsidR="005530CA" w:rsidRDefault="003D5A6B">
            <w:pPr>
              <w:jc w:val="right"/>
            </w:pPr>
            <w:r>
              <w:rPr>
                <w:color w:val="000000"/>
                <w:sz w:val="24"/>
                <w:szCs w:val="24"/>
              </w:rPr>
              <w:t>195,000</w:t>
            </w:r>
          </w:p>
        </w:tc>
        <w:tc>
          <w:tcPr>
            <w:tcW w:w="1924" w:type="dxa"/>
            <w:vAlign w:val="center"/>
          </w:tcPr>
          <w:p w:rsidR="005530CA" w:rsidRDefault="003D5A6B">
            <w:pPr>
              <w:jc w:val="right"/>
            </w:pPr>
            <w:r>
              <w:rPr>
                <w:color w:val="000000"/>
                <w:sz w:val="24"/>
                <w:szCs w:val="24"/>
              </w:rPr>
              <w:t>6,009,900.00</w:t>
            </w:r>
          </w:p>
        </w:tc>
        <w:tc>
          <w:tcPr>
            <w:tcW w:w="1644" w:type="dxa"/>
            <w:vAlign w:val="center"/>
          </w:tcPr>
          <w:p w:rsidR="005530CA" w:rsidRDefault="003D5A6B">
            <w:pPr>
              <w:jc w:val="right"/>
            </w:pPr>
            <w:r>
              <w:rPr>
                <w:color w:val="000000"/>
                <w:sz w:val="24"/>
                <w:szCs w:val="24"/>
              </w:rPr>
              <w:t>1.77</w:t>
            </w:r>
          </w:p>
        </w:tc>
      </w:tr>
      <w:tr w:rsidR="005530CA">
        <w:trPr>
          <w:jc w:val="center"/>
        </w:trPr>
        <w:tc>
          <w:tcPr>
            <w:tcW w:w="855" w:type="dxa"/>
            <w:vAlign w:val="center"/>
          </w:tcPr>
          <w:p w:rsidR="005530CA" w:rsidRDefault="003D5A6B">
            <w:pPr>
              <w:jc w:val="center"/>
            </w:pPr>
            <w:r>
              <w:rPr>
                <w:color w:val="000000"/>
                <w:sz w:val="24"/>
                <w:szCs w:val="24"/>
              </w:rPr>
              <w:lastRenderedPageBreak/>
              <w:t>6</w:t>
            </w:r>
          </w:p>
        </w:tc>
        <w:tc>
          <w:tcPr>
            <w:tcW w:w="1334" w:type="dxa"/>
            <w:vAlign w:val="center"/>
          </w:tcPr>
          <w:p w:rsidR="005530CA" w:rsidRDefault="003D5A6B">
            <w:pPr>
              <w:jc w:val="center"/>
            </w:pPr>
            <w:r>
              <w:rPr>
                <w:color w:val="000000"/>
                <w:sz w:val="24"/>
                <w:szCs w:val="24"/>
              </w:rPr>
              <w:t>000001</w:t>
            </w:r>
          </w:p>
        </w:tc>
        <w:tc>
          <w:tcPr>
            <w:tcW w:w="1777" w:type="dxa"/>
            <w:vAlign w:val="center"/>
          </w:tcPr>
          <w:p w:rsidR="005530CA" w:rsidRDefault="003D5A6B">
            <w:pPr>
              <w:jc w:val="center"/>
            </w:pPr>
            <w:r>
              <w:rPr>
                <w:color w:val="000000"/>
                <w:sz w:val="24"/>
                <w:szCs w:val="24"/>
              </w:rPr>
              <w:t>平安银行</w:t>
            </w:r>
          </w:p>
        </w:tc>
        <w:tc>
          <w:tcPr>
            <w:tcW w:w="1334" w:type="dxa"/>
            <w:vAlign w:val="center"/>
          </w:tcPr>
          <w:p w:rsidR="005530CA" w:rsidRDefault="003D5A6B">
            <w:pPr>
              <w:jc w:val="right"/>
            </w:pPr>
            <w:r>
              <w:rPr>
                <w:color w:val="000000"/>
                <w:sz w:val="24"/>
                <w:szCs w:val="24"/>
              </w:rPr>
              <w:t>350,000</w:t>
            </w:r>
          </w:p>
        </w:tc>
        <w:tc>
          <w:tcPr>
            <w:tcW w:w="1924" w:type="dxa"/>
            <w:vAlign w:val="center"/>
          </w:tcPr>
          <w:p w:rsidR="005530CA" w:rsidRDefault="003D5A6B">
            <w:pPr>
              <w:jc w:val="right"/>
            </w:pPr>
            <w:r>
              <w:rPr>
                <w:color w:val="000000"/>
                <w:sz w:val="24"/>
                <w:szCs w:val="24"/>
              </w:rPr>
              <w:t>4,823,000.00</w:t>
            </w:r>
          </w:p>
        </w:tc>
        <w:tc>
          <w:tcPr>
            <w:tcW w:w="1644" w:type="dxa"/>
            <w:vAlign w:val="center"/>
          </w:tcPr>
          <w:p w:rsidR="005530CA" w:rsidRDefault="003D5A6B">
            <w:pPr>
              <w:jc w:val="right"/>
            </w:pPr>
            <w:r>
              <w:rPr>
                <w:color w:val="000000"/>
                <w:sz w:val="24"/>
                <w:szCs w:val="24"/>
              </w:rPr>
              <w:t>1.42</w:t>
            </w:r>
          </w:p>
        </w:tc>
      </w:tr>
      <w:tr w:rsidR="005530CA">
        <w:trPr>
          <w:jc w:val="center"/>
        </w:trPr>
        <w:tc>
          <w:tcPr>
            <w:tcW w:w="855" w:type="dxa"/>
            <w:vAlign w:val="center"/>
          </w:tcPr>
          <w:p w:rsidR="005530CA" w:rsidRDefault="003D5A6B">
            <w:pPr>
              <w:jc w:val="center"/>
            </w:pPr>
            <w:r>
              <w:rPr>
                <w:color w:val="000000"/>
                <w:sz w:val="24"/>
                <w:szCs w:val="24"/>
              </w:rPr>
              <w:t>7</w:t>
            </w:r>
          </w:p>
        </w:tc>
        <w:tc>
          <w:tcPr>
            <w:tcW w:w="1334" w:type="dxa"/>
            <w:vAlign w:val="center"/>
          </w:tcPr>
          <w:p w:rsidR="005530CA" w:rsidRDefault="003D5A6B">
            <w:pPr>
              <w:jc w:val="center"/>
            </w:pPr>
            <w:r>
              <w:rPr>
                <w:color w:val="000000"/>
                <w:sz w:val="24"/>
                <w:szCs w:val="24"/>
              </w:rPr>
              <w:t>600559</w:t>
            </w:r>
          </w:p>
        </w:tc>
        <w:tc>
          <w:tcPr>
            <w:tcW w:w="1777" w:type="dxa"/>
            <w:vAlign w:val="center"/>
          </w:tcPr>
          <w:p w:rsidR="005530CA" w:rsidRDefault="003D5A6B">
            <w:pPr>
              <w:jc w:val="center"/>
            </w:pPr>
            <w:r>
              <w:rPr>
                <w:color w:val="000000"/>
                <w:sz w:val="24"/>
                <w:szCs w:val="24"/>
              </w:rPr>
              <w:t>老白干酒</w:t>
            </w:r>
          </w:p>
        </w:tc>
        <w:tc>
          <w:tcPr>
            <w:tcW w:w="1334" w:type="dxa"/>
            <w:vAlign w:val="center"/>
          </w:tcPr>
          <w:p w:rsidR="005530CA" w:rsidRDefault="003D5A6B">
            <w:pPr>
              <w:jc w:val="right"/>
            </w:pPr>
            <w:r>
              <w:rPr>
                <w:color w:val="000000"/>
                <w:sz w:val="24"/>
                <w:szCs w:val="24"/>
              </w:rPr>
              <w:t>26</w:t>
            </w:r>
          </w:p>
        </w:tc>
        <w:tc>
          <w:tcPr>
            <w:tcW w:w="1924" w:type="dxa"/>
            <w:vAlign w:val="center"/>
          </w:tcPr>
          <w:p w:rsidR="005530CA" w:rsidRDefault="003D5A6B">
            <w:pPr>
              <w:jc w:val="right"/>
            </w:pPr>
            <w:r>
              <w:rPr>
                <w:color w:val="000000"/>
                <w:sz w:val="24"/>
                <w:szCs w:val="24"/>
              </w:rPr>
              <w:t>340.34</w:t>
            </w:r>
          </w:p>
        </w:tc>
        <w:tc>
          <w:tcPr>
            <w:tcW w:w="1644" w:type="dxa"/>
            <w:vAlign w:val="center"/>
          </w:tcPr>
          <w:p w:rsidR="005530CA" w:rsidRDefault="003D5A6B">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24,239,548.20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24,239,548.20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60,282,000.00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17.71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131,391,000.00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38.60</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215,912,548.20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63.44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530CA">
        <w:trPr>
          <w:jc w:val="center"/>
        </w:trPr>
        <w:tc>
          <w:tcPr>
            <w:tcW w:w="850" w:type="dxa"/>
            <w:vAlign w:val="center"/>
          </w:tcPr>
          <w:p w:rsidR="005530CA" w:rsidRDefault="003D5A6B">
            <w:pPr>
              <w:jc w:val="center"/>
            </w:pPr>
            <w:r>
              <w:rPr>
                <w:color w:val="000000"/>
                <w:sz w:val="24"/>
                <w:szCs w:val="24"/>
              </w:rPr>
              <w:t>1</w:t>
            </w:r>
          </w:p>
        </w:tc>
        <w:tc>
          <w:tcPr>
            <w:tcW w:w="1475" w:type="dxa"/>
            <w:vAlign w:val="center"/>
          </w:tcPr>
          <w:p w:rsidR="005530CA" w:rsidRDefault="003D5A6B">
            <w:pPr>
              <w:jc w:val="center"/>
            </w:pPr>
            <w:r>
              <w:rPr>
                <w:color w:val="000000"/>
                <w:sz w:val="24"/>
                <w:szCs w:val="24"/>
              </w:rPr>
              <w:t>190206</w:t>
            </w:r>
          </w:p>
        </w:tc>
        <w:tc>
          <w:tcPr>
            <w:tcW w:w="1769" w:type="dxa"/>
            <w:vAlign w:val="center"/>
          </w:tcPr>
          <w:p w:rsidR="005530CA" w:rsidRDefault="003D5A6B">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5530CA" w:rsidRDefault="003D5A6B">
            <w:pPr>
              <w:jc w:val="right"/>
            </w:pPr>
            <w:r>
              <w:rPr>
                <w:color w:val="000000"/>
                <w:sz w:val="24"/>
                <w:szCs w:val="24"/>
              </w:rPr>
              <w:t>200,000</w:t>
            </w:r>
          </w:p>
        </w:tc>
        <w:tc>
          <w:tcPr>
            <w:tcW w:w="2150" w:type="dxa"/>
            <w:vAlign w:val="center"/>
          </w:tcPr>
          <w:p w:rsidR="005530CA" w:rsidRDefault="003D5A6B">
            <w:pPr>
              <w:jc w:val="right"/>
            </w:pPr>
            <w:r>
              <w:rPr>
                <w:color w:val="000000"/>
                <w:sz w:val="24"/>
                <w:szCs w:val="24"/>
              </w:rPr>
              <w:t>19,990,000.00</w:t>
            </w:r>
          </w:p>
        </w:tc>
        <w:tc>
          <w:tcPr>
            <w:tcW w:w="1237" w:type="dxa"/>
            <w:vAlign w:val="center"/>
          </w:tcPr>
          <w:p w:rsidR="005530CA" w:rsidRDefault="003D5A6B">
            <w:pPr>
              <w:jc w:val="right"/>
            </w:pPr>
            <w:r>
              <w:rPr>
                <w:color w:val="000000"/>
                <w:sz w:val="24"/>
                <w:szCs w:val="24"/>
              </w:rPr>
              <w:t>5.87</w:t>
            </w:r>
          </w:p>
        </w:tc>
      </w:tr>
      <w:tr w:rsidR="005530CA">
        <w:trPr>
          <w:jc w:val="center"/>
        </w:trPr>
        <w:tc>
          <w:tcPr>
            <w:tcW w:w="850" w:type="dxa"/>
            <w:vAlign w:val="center"/>
          </w:tcPr>
          <w:p w:rsidR="005530CA" w:rsidRDefault="003D5A6B">
            <w:pPr>
              <w:jc w:val="center"/>
            </w:pPr>
            <w:r>
              <w:rPr>
                <w:color w:val="000000"/>
                <w:sz w:val="24"/>
                <w:szCs w:val="24"/>
              </w:rPr>
              <w:t>2</w:t>
            </w:r>
          </w:p>
        </w:tc>
        <w:tc>
          <w:tcPr>
            <w:tcW w:w="1475" w:type="dxa"/>
            <w:vAlign w:val="center"/>
          </w:tcPr>
          <w:p w:rsidR="005530CA" w:rsidRDefault="003D5A6B">
            <w:pPr>
              <w:jc w:val="center"/>
            </w:pPr>
            <w:r>
              <w:rPr>
                <w:color w:val="000000"/>
                <w:sz w:val="24"/>
                <w:szCs w:val="24"/>
              </w:rPr>
              <w:t>101800415</w:t>
            </w:r>
          </w:p>
        </w:tc>
        <w:tc>
          <w:tcPr>
            <w:tcW w:w="1769" w:type="dxa"/>
            <w:vAlign w:val="center"/>
          </w:tcPr>
          <w:p w:rsidR="005530CA" w:rsidRDefault="003D5A6B">
            <w:pPr>
              <w:jc w:val="center"/>
            </w:pPr>
            <w:r>
              <w:rPr>
                <w:color w:val="000000"/>
                <w:sz w:val="24"/>
                <w:szCs w:val="24"/>
              </w:rPr>
              <w:t>18</w:t>
            </w:r>
            <w:r>
              <w:rPr>
                <w:color w:val="000000"/>
                <w:sz w:val="24"/>
                <w:szCs w:val="24"/>
              </w:rPr>
              <w:t>兆润投资</w:t>
            </w:r>
            <w:r>
              <w:rPr>
                <w:color w:val="000000"/>
                <w:sz w:val="24"/>
                <w:szCs w:val="24"/>
              </w:rPr>
              <w:t>MTN001</w:t>
            </w:r>
          </w:p>
        </w:tc>
        <w:tc>
          <w:tcPr>
            <w:tcW w:w="1387" w:type="dxa"/>
            <w:vAlign w:val="center"/>
          </w:tcPr>
          <w:p w:rsidR="005530CA" w:rsidRDefault="003D5A6B">
            <w:pPr>
              <w:jc w:val="right"/>
            </w:pPr>
            <w:r>
              <w:rPr>
                <w:color w:val="000000"/>
                <w:sz w:val="24"/>
                <w:szCs w:val="24"/>
              </w:rPr>
              <w:t>100,000</w:t>
            </w:r>
          </w:p>
        </w:tc>
        <w:tc>
          <w:tcPr>
            <w:tcW w:w="2150" w:type="dxa"/>
            <w:vAlign w:val="center"/>
          </w:tcPr>
          <w:p w:rsidR="005530CA" w:rsidRDefault="003D5A6B">
            <w:pPr>
              <w:jc w:val="right"/>
            </w:pPr>
            <w:r>
              <w:rPr>
                <w:color w:val="000000"/>
                <w:sz w:val="24"/>
                <w:szCs w:val="24"/>
              </w:rPr>
              <w:t>10,226,000.00</w:t>
            </w:r>
          </w:p>
        </w:tc>
        <w:tc>
          <w:tcPr>
            <w:tcW w:w="1237" w:type="dxa"/>
            <w:vAlign w:val="center"/>
          </w:tcPr>
          <w:p w:rsidR="005530CA" w:rsidRDefault="003D5A6B">
            <w:pPr>
              <w:jc w:val="right"/>
            </w:pPr>
            <w:r>
              <w:rPr>
                <w:color w:val="000000"/>
                <w:sz w:val="24"/>
                <w:szCs w:val="24"/>
              </w:rPr>
              <w:t>3.00</w:t>
            </w:r>
          </w:p>
        </w:tc>
      </w:tr>
      <w:tr w:rsidR="005530CA">
        <w:trPr>
          <w:jc w:val="center"/>
        </w:trPr>
        <w:tc>
          <w:tcPr>
            <w:tcW w:w="850" w:type="dxa"/>
            <w:vAlign w:val="center"/>
          </w:tcPr>
          <w:p w:rsidR="005530CA" w:rsidRDefault="003D5A6B">
            <w:pPr>
              <w:jc w:val="center"/>
            </w:pPr>
            <w:r>
              <w:rPr>
                <w:color w:val="000000"/>
                <w:sz w:val="24"/>
                <w:szCs w:val="24"/>
              </w:rPr>
              <w:t>3</w:t>
            </w:r>
          </w:p>
        </w:tc>
        <w:tc>
          <w:tcPr>
            <w:tcW w:w="1475" w:type="dxa"/>
            <w:vAlign w:val="center"/>
          </w:tcPr>
          <w:p w:rsidR="005530CA" w:rsidRDefault="003D5A6B">
            <w:pPr>
              <w:jc w:val="center"/>
            </w:pPr>
            <w:r>
              <w:rPr>
                <w:color w:val="000000"/>
                <w:sz w:val="24"/>
                <w:szCs w:val="24"/>
              </w:rPr>
              <w:t>101758016</w:t>
            </w:r>
          </w:p>
        </w:tc>
        <w:tc>
          <w:tcPr>
            <w:tcW w:w="1769" w:type="dxa"/>
            <w:vAlign w:val="center"/>
          </w:tcPr>
          <w:p w:rsidR="005530CA" w:rsidRDefault="003D5A6B">
            <w:pPr>
              <w:jc w:val="center"/>
            </w:pPr>
            <w:r>
              <w:rPr>
                <w:color w:val="000000"/>
                <w:sz w:val="24"/>
                <w:szCs w:val="24"/>
              </w:rPr>
              <w:t>17</w:t>
            </w:r>
            <w:r>
              <w:rPr>
                <w:color w:val="000000"/>
                <w:sz w:val="24"/>
                <w:szCs w:val="24"/>
              </w:rPr>
              <w:t>豫高管</w:t>
            </w:r>
            <w:r>
              <w:rPr>
                <w:color w:val="000000"/>
                <w:sz w:val="24"/>
                <w:szCs w:val="24"/>
              </w:rPr>
              <w:t>MTN001</w:t>
            </w:r>
          </w:p>
        </w:tc>
        <w:tc>
          <w:tcPr>
            <w:tcW w:w="1387" w:type="dxa"/>
            <w:vAlign w:val="center"/>
          </w:tcPr>
          <w:p w:rsidR="005530CA" w:rsidRDefault="003D5A6B">
            <w:pPr>
              <w:jc w:val="right"/>
            </w:pPr>
            <w:r>
              <w:rPr>
                <w:color w:val="000000"/>
                <w:sz w:val="24"/>
                <w:szCs w:val="24"/>
              </w:rPr>
              <w:t>100,000</w:t>
            </w:r>
          </w:p>
        </w:tc>
        <w:tc>
          <w:tcPr>
            <w:tcW w:w="2150" w:type="dxa"/>
            <w:vAlign w:val="center"/>
          </w:tcPr>
          <w:p w:rsidR="005530CA" w:rsidRDefault="003D5A6B">
            <w:pPr>
              <w:jc w:val="right"/>
            </w:pPr>
            <w:r>
              <w:rPr>
                <w:color w:val="000000"/>
                <w:sz w:val="24"/>
                <w:szCs w:val="24"/>
              </w:rPr>
              <w:t>10,219,000.00</w:t>
            </w:r>
          </w:p>
        </w:tc>
        <w:tc>
          <w:tcPr>
            <w:tcW w:w="1237" w:type="dxa"/>
            <w:vAlign w:val="center"/>
          </w:tcPr>
          <w:p w:rsidR="005530CA" w:rsidRDefault="003D5A6B">
            <w:pPr>
              <w:jc w:val="right"/>
            </w:pPr>
            <w:r>
              <w:rPr>
                <w:color w:val="000000"/>
                <w:sz w:val="24"/>
                <w:szCs w:val="24"/>
              </w:rPr>
              <w:t>3.00</w:t>
            </w:r>
          </w:p>
        </w:tc>
      </w:tr>
      <w:tr w:rsidR="005530CA">
        <w:trPr>
          <w:jc w:val="center"/>
        </w:trPr>
        <w:tc>
          <w:tcPr>
            <w:tcW w:w="850" w:type="dxa"/>
            <w:vAlign w:val="center"/>
          </w:tcPr>
          <w:p w:rsidR="005530CA" w:rsidRDefault="003D5A6B">
            <w:pPr>
              <w:jc w:val="center"/>
            </w:pPr>
            <w:r>
              <w:rPr>
                <w:color w:val="000000"/>
                <w:sz w:val="24"/>
                <w:szCs w:val="24"/>
              </w:rPr>
              <w:t>4</w:t>
            </w:r>
          </w:p>
        </w:tc>
        <w:tc>
          <w:tcPr>
            <w:tcW w:w="1475" w:type="dxa"/>
            <w:vAlign w:val="center"/>
          </w:tcPr>
          <w:p w:rsidR="005530CA" w:rsidRDefault="003D5A6B">
            <w:pPr>
              <w:jc w:val="center"/>
            </w:pPr>
            <w:r>
              <w:rPr>
                <w:color w:val="000000"/>
                <w:sz w:val="24"/>
                <w:szCs w:val="24"/>
              </w:rPr>
              <w:t>101569022</w:t>
            </w:r>
          </w:p>
        </w:tc>
        <w:tc>
          <w:tcPr>
            <w:tcW w:w="1769" w:type="dxa"/>
            <w:vAlign w:val="center"/>
          </w:tcPr>
          <w:p w:rsidR="005530CA" w:rsidRDefault="003D5A6B">
            <w:pPr>
              <w:jc w:val="center"/>
            </w:pPr>
            <w:r>
              <w:rPr>
                <w:color w:val="000000"/>
                <w:sz w:val="24"/>
                <w:szCs w:val="24"/>
              </w:rPr>
              <w:t>15</w:t>
            </w:r>
            <w:r>
              <w:rPr>
                <w:color w:val="000000"/>
                <w:sz w:val="24"/>
                <w:szCs w:val="24"/>
              </w:rPr>
              <w:t>中材</w:t>
            </w:r>
            <w:r>
              <w:rPr>
                <w:color w:val="000000"/>
                <w:sz w:val="24"/>
                <w:szCs w:val="24"/>
              </w:rPr>
              <w:t>MTN001</w:t>
            </w:r>
          </w:p>
        </w:tc>
        <w:tc>
          <w:tcPr>
            <w:tcW w:w="1387" w:type="dxa"/>
            <w:vAlign w:val="center"/>
          </w:tcPr>
          <w:p w:rsidR="005530CA" w:rsidRDefault="003D5A6B">
            <w:pPr>
              <w:jc w:val="right"/>
            </w:pPr>
            <w:r>
              <w:rPr>
                <w:color w:val="000000"/>
                <w:sz w:val="24"/>
                <w:szCs w:val="24"/>
              </w:rPr>
              <w:t>100,000</w:t>
            </w:r>
          </w:p>
        </w:tc>
        <w:tc>
          <w:tcPr>
            <w:tcW w:w="2150" w:type="dxa"/>
            <w:vAlign w:val="center"/>
          </w:tcPr>
          <w:p w:rsidR="005530CA" w:rsidRDefault="003D5A6B">
            <w:pPr>
              <w:jc w:val="right"/>
            </w:pPr>
            <w:r>
              <w:rPr>
                <w:color w:val="000000"/>
                <w:sz w:val="24"/>
                <w:szCs w:val="24"/>
              </w:rPr>
              <w:t>10,214,000.00</w:t>
            </w:r>
          </w:p>
        </w:tc>
        <w:tc>
          <w:tcPr>
            <w:tcW w:w="1237" w:type="dxa"/>
            <w:vAlign w:val="center"/>
          </w:tcPr>
          <w:p w:rsidR="005530CA" w:rsidRDefault="003D5A6B">
            <w:pPr>
              <w:jc w:val="right"/>
            </w:pPr>
            <w:r>
              <w:rPr>
                <w:color w:val="000000"/>
                <w:sz w:val="24"/>
                <w:szCs w:val="24"/>
              </w:rPr>
              <w:t>3.00</w:t>
            </w:r>
          </w:p>
        </w:tc>
      </w:tr>
      <w:tr w:rsidR="005530CA">
        <w:trPr>
          <w:jc w:val="center"/>
        </w:trPr>
        <w:tc>
          <w:tcPr>
            <w:tcW w:w="850" w:type="dxa"/>
            <w:vAlign w:val="center"/>
          </w:tcPr>
          <w:p w:rsidR="005530CA" w:rsidRDefault="003D5A6B">
            <w:pPr>
              <w:jc w:val="center"/>
            </w:pPr>
            <w:r>
              <w:rPr>
                <w:color w:val="000000"/>
                <w:sz w:val="24"/>
                <w:szCs w:val="24"/>
              </w:rPr>
              <w:t>5</w:t>
            </w:r>
          </w:p>
        </w:tc>
        <w:tc>
          <w:tcPr>
            <w:tcW w:w="1475" w:type="dxa"/>
            <w:vAlign w:val="center"/>
          </w:tcPr>
          <w:p w:rsidR="005530CA" w:rsidRDefault="003D5A6B">
            <w:pPr>
              <w:jc w:val="center"/>
            </w:pPr>
            <w:r>
              <w:rPr>
                <w:color w:val="000000"/>
                <w:sz w:val="24"/>
                <w:szCs w:val="24"/>
              </w:rPr>
              <w:t>101558032</w:t>
            </w:r>
          </w:p>
        </w:tc>
        <w:tc>
          <w:tcPr>
            <w:tcW w:w="1769" w:type="dxa"/>
            <w:vAlign w:val="center"/>
          </w:tcPr>
          <w:p w:rsidR="005530CA" w:rsidRDefault="003D5A6B">
            <w:pPr>
              <w:jc w:val="center"/>
            </w:pPr>
            <w:r>
              <w:rPr>
                <w:color w:val="000000"/>
                <w:sz w:val="24"/>
                <w:szCs w:val="24"/>
              </w:rPr>
              <w:t>15</w:t>
            </w:r>
            <w:r>
              <w:rPr>
                <w:color w:val="000000"/>
                <w:sz w:val="24"/>
                <w:szCs w:val="24"/>
              </w:rPr>
              <w:t>宁沪高</w:t>
            </w:r>
            <w:r>
              <w:rPr>
                <w:color w:val="000000"/>
                <w:sz w:val="24"/>
                <w:szCs w:val="24"/>
              </w:rPr>
              <w:t>MTN001</w:t>
            </w:r>
          </w:p>
        </w:tc>
        <w:tc>
          <w:tcPr>
            <w:tcW w:w="1387" w:type="dxa"/>
            <w:vAlign w:val="center"/>
          </w:tcPr>
          <w:p w:rsidR="005530CA" w:rsidRDefault="003D5A6B">
            <w:pPr>
              <w:jc w:val="right"/>
            </w:pPr>
            <w:r>
              <w:rPr>
                <w:color w:val="000000"/>
                <w:sz w:val="24"/>
                <w:szCs w:val="24"/>
              </w:rPr>
              <w:t>100,000</w:t>
            </w:r>
          </w:p>
        </w:tc>
        <w:tc>
          <w:tcPr>
            <w:tcW w:w="2150" w:type="dxa"/>
            <w:vAlign w:val="center"/>
          </w:tcPr>
          <w:p w:rsidR="005530CA" w:rsidRDefault="003D5A6B">
            <w:pPr>
              <w:jc w:val="right"/>
            </w:pPr>
            <w:r>
              <w:rPr>
                <w:color w:val="000000"/>
                <w:sz w:val="24"/>
                <w:szCs w:val="24"/>
              </w:rPr>
              <w:t>10,181,000.00</w:t>
            </w:r>
          </w:p>
        </w:tc>
        <w:tc>
          <w:tcPr>
            <w:tcW w:w="1237" w:type="dxa"/>
            <w:vAlign w:val="center"/>
          </w:tcPr>
          <w:p w:rsidR="005530CA" w:rsidRDefault="003D5A6B">
            <w:pPr>
              <w:jc w:val="right"/>
            </w:pPr>
            <w:r>
              <w:rPr>
                <w:color w:val="000000"/>
                <w:sz w:val="24"/>
                <w:szCs w:val="24"/>
              </w:rPr>
              <w:t>2.99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18</w:t>
      </w:r>
      <w:r w:rsidRPr="00BE5388">
        <w:rPr>
          <w:bCs/>
          <w:color w:val="000000"/>
          <w:kern w:val="0"/>
          <w:sz w:val="24"/>
          <w:szCs w:val="24"/>
        </w:rPr>
        <w:t>招商</w:t>
      </w:r>
      <w:r w:rsidRPr="00BE5388">
        <w:rPr>
          <w:bCs/>
          <w:color w:val="000000"/>
          <w:kern w:val="0"/>
          <w:sz w:val="24"/>
          <w:szCs w:val="24"/>
        </w:rPr>
        <w:t>G8</w:t>
      </w:r>
      <w:r w:rsidRPr="00BE5388">
        <w:rPr>
          <w:bCs/>
          <w:color w:val="000000"/>
          <w:kern w:val="0"/>
          <w:sz w:val="24"/>
          <w:szCs w:val="24"/>
        </w:rPr>
        <w:t>（证券代码：</w:t>
      </w:r>
      <w:r w:rsidRPr="00BE5388">
        <w:rPr>
          <w:bCs/>
          <w:color w:val="000000"/>
          <w:kern w:val="0"/>
          <w:sz w:val="24"/>
          <w:szCs w:val="24"/>
        </w:rPr>
        <w:t>143762</w:t>
      </w:r>
      <w:r w:rsidRPr="00BE5388">
        <w:rPr>
          <w:bCs/>
          <w:color w:val="000000"/>
          <w:kern w:val="0"/>
          <w:sz w:val="24"/>
          <w:szCs w:val="24"/>
        </w:rPr>
        <w:t>）外，未出现被监管部门立案调查，或在报告编制日前一年内受到公开谴责、处罚的情形。</w:t>
      </w:r>
    </w:p>
    <w:p w:rsidR="005530CA" w:rsidRDefault="003D5A6B">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18</w:t>
      </w:r>
      <w:r>
        <w:rPr>
          <w:bCs/>
          <w:color w:val="000000"/>
          <w:kern w:val="0"/>
          <w:sz w:val="24"/>
          <w:szCs w:val="24"/>
        </w:rPr>
        <w:t>招商</w:t>
      </w:r>
      <w:r>
        <w:rPr>
          <w:bCs/>
          <w:color w:val="000000"/>
          <w:kern w:val="0"/>
          <w:sz w:val="24"/>
          <w:szCs w:val="24"/>
        </w:rPr>
        <w:t>G8</w:t>
      </w:r>
      <w:r>
        <w:rPr>
          <w:bCs/>
          <w:color w:val="000000"/>
          <w:kern w:val="0"/>
          <w:sz w:val="24"/>
          <w:szCs w:val="24"/>
        </w:rPr>
        <w:t>（证券代码：</w:t>
      </w:r>
      <w:r>
        <w:rPr>
          <w:bCs/>
          <w:color w:val="000000"/>
          <w:kern w:val="0"/>
          <w:sz w:val="24"/>
          <w:szCs w:val="24"/>
        </w:rPr>
        <w:t>143762</w:t>
      </w:r>
      <w:r>
        <w:rPr>
          <w:bCs/>
          <w:color w:val="000000"/>
          <w:kern w:val="0"/>
          <w:sz w:val="24"/>
          <w:szCs w:val="24"/>
        </w:rPr>
        <w:t>）的发行主体招商证券于</w:t>
      </w:r>
      <w:r>
        <w:rPr>
          <w:bCs/>
          <w:color w:val="000000"/>
          <w:kern w:val="0"/>
          <w:sz w:val="24"/>
          <w:szCs w:val="24"/>
        </w:rPr>
        <w:t>2019</w:t>
      </w:r>
      <w:r>
        <w:rPr>
          <w:bCs/>
          <w:color w:val="000000"/>
          <w:kern w:val="0"/>
          <w:sz w:val="24"/>
          <w:szCs w:val="24"/>
        </w:rPr>
        <w:t>年</w:t>
      </w:r>
      <w:r>
        <w:rPr>
          <w:bCs/>
          <w:color w:val="000000"/>
          <w:kern w:val="0"/>
          <w:sz w:val="24"/>
          <w:szCs w:val="24"/>
        </w:rPr>
        <w:t>5</w:t>
      </w:r>
      <w:r>
        <w:rPr>
          <w:bCs/>
          <w:color w:val="000000"/>
          <w:kern w:val="0"/>
          <w:sz w:val="24"/>
          <w:szCs w:val="24"/>
        </w:rPr>
        <w:t>月</w:t>
      </w:r>
      <w:r>
        <w:rPr>
          <w:bCs/>
          <w:color w:val="000000"/>
          <w:kern w:val="0"/>
          <w:sz w:val="24"/>
          <w:szCs w:val="24"/>
        </w:rPr>
        <w:t>29</w:t>
      </w:r>
      <w:r>
        <w:rPr>
          <w:bCs/>
          <w:color w:val="000000"/>
          <w:kern w:val="0"/>
          <w:sz w:val="24"/>
          <w:szCs w:val="24"/>
        </w:rPr>
        <w:t>日公告，因全资子公司招商证券（香港）有限公司在担任中国金属再生资源（控股）有限公司上市申请的联席保荐人时（</w:t>
      </w:r>
      <w:r>
        <w:rPr>
          <w:bCs/>
          <w:color w:val="000000"/>
          <w:kern w:val="0"/>
          <w:sz w:val="24"/>
          <w:szCs w:val="24"/>
        </w:rPr>
        <w:t>2008</w:t>
      </w:r>
      <w:r>
        <w:rPr>
          <w:bCs/>
          <w:color w:val="000000"/>
          <w:kern w:val="0"/>
          <w:sz w:val="24"/>
          <w:szCs w:val="24"/>
        </w:rPr>
        <w:t>年</w:t>
      </w:r>
      <w:r>
        <w:rPr>
          <w:bCs/>
          <w:color w:val="000000"/>
          <w:kern w:val="0"/>
          <w:sz w:val="24"/>
          <w:szCs w:val="24"/>
        </w:rPr>
        <w:t>11</w:t>
      </w:r>
      <w:r>
        <w:rPr>
          <w:bCs/>
          <w:color w:val="000000"/>
          <w:kern w:val="0"/>
          <w:sz w:val="24"/>
          <w:szCs w:val="24"/>
        </w:rPr>
        <w:t>月至</w:t>
      </w:r>
      <w:r>
        <w:rPr>
          <w:bCs/>
          <w:color w:val="000000"/>
          <w:kern w:val="0"/>
          <w:sz w:val="24"/>
          <w:szCs w:val="24"/>
        </w:rPr>
        <w:t>2009</w:t>
      </w:r>
      <w:r>
        <w:rPr>
          <w:bCs/>
          <w:color w:val="000000"/>
          <w:kern w:val="0"/>
          <w:sz w:val="24"/>
          <w:szCs w:val="24"/>
        </w:rPr>
        <w:t>年</w:t>
      </w:r>
      <w:r>
        <w:rPr>
          <w:bCs/>
          <w:color w:val="000000"/>
          <w:kern w:val="0"/>
          <w:sz w:val="24"/>
          <w:szCs w:val="24"/>
        </w:rPr>
        <w:t>6</w:t>
      </w:r>
      <w:r>
        <w:rPr>
          <w:bCs/>
          <w:color w:val="000000"/>
          <w:kern w:val="0"/>
          <w:sz w:val="24"/>
          <w:szCs w:val="24"/>
        </w:rPr>
        <w:t>月）没有履行其应尽的尽职审查责任，近日香港证券及期货事务监察委员会对招商证券（香港）有限公司采取纪律行动，包括处以罚款</w:t>
      </w:r>
      <w:r>
        <w:rPr>
          <w:bCs/>
          <w:color w:val="000000"/>
          <w:kern w:val="0"/>
          <w:sz w:val="24"/>
          <w:szCs w:val="24"/>
        </w:rPr>
        <w:t>2700</w:t>
      </w:r>
      <w:r>
        <w:rPr>
          <w:bCs/>
          <w:color w:val="000000"/>
          <w:kern w:val="0"/>
          <w:sz w:val="24"/>
          <w:szCs w:val="24"/>
        </w:rPr>
        <w:t>万元港币；公司于</w:t>
      </w:r>
      <w:r>
        <w:rPr>
          <w:bCs/>
          <w:color w:val="000000"/>
          <w:kern w:val="0"/>
          <w:sz w:val="24"/>
          <w:szCs w:val="24"/>
        </w:rPr>
        <w:t>2019</w:t>
      </w:r>
      <w:r>
        <w:rPr>
          <w:bCs/>
          <w:color w:val="000000"/>
          <w:kern w:val="0"/>
          <w:sz w:val="24"/>
          <w:szCs w:val="24"/>
        </w:rPr>
        <w:t>年</w:t>
      </w:r>
      <w:r>
        <w:rPr>
          <w:bCs/>
          <w:color w:val="000000"/>
          <w:kern w:val="0"/>
          <w:sz w:val="24"/>
          <w:szCs w:val="24"/>
        </w:rPr>
        <w:t>6</w:t>
      </w:r>
      <w:r>
        <w:rPr>
          <w:bCs/>
          <w:color w:val="000000"/>
          <w:kern w:val="0"/>
          <w:sz w:val="24"/>
          <w:szCs w:val="24"/>
        </w:rPr>
        <w:t>月</w:t>
      </w:r>
      <w:r>
        <w:rPr>
          <w:bCs/>
          <w:color w:val="000000"/>
          <w:kern w:val="0"/>
          <w:sz w:val="24"/>
          <w:szCs w:val="24"/>
        </w:rPr>
        <w:t>1</w:t>
      </w:r>
      <w:r>
        <w:rPr>
          <w:bCs/>
          <w:color w:val="000000"/>
          <w:kern w:val="0"/>
          <w:sz w:val="24"/>
          <w:szCs w:val="24"/>
        </w:rPr>
        <w:t>日公告，因全资子公司招商证券（香港）有限公司错误处理客户款项</w:t>
      </w:r>
      <w:r>
        <w:rPr>
          <w:bCs/>
          <w:color w:val="000000"/>
          <w:kern w:val="0"/>
          <w:sz w:val="24"/>
          <w:szCs w:val="24"/>
        </w:rPr>
        <w:t>(</w:t>
      </w:r>
      <w:r>
        <w:rPr>
          <w:bCs/>
          <w:color w:val="000000"/>
          <w:kern w:val="0"/>
          <w:sz w:val="24"/>
          <w:szCs w:val="24"/>
        </w:rPr>
        <w:t>发生于</w:t>
      </w:r>
      <w:r>
        <w:rPr>
          <w:bCs/>
          <w:color w:val="000000"/>
          <w:kern w:val="0"/>
          <w:sz w:val="24"/>
          <w:szCs w:val="24"/>
        </w:rPr>
        <w:t>2011</w:t>
      </w:r>
      <w:r>
        <w:rPr>
          <w:bCs/>
          <w:color w:val="000000"/>
          <w:kern w:val="0"/>
          <w:sz w:val="24"/>
          <w:szCs w:val="24"/>
        </w:rPr>
        <w:t>年</w:t>
      </w:r>
      <w:r>
        <w:rPr>
          <w:bCs/>
          <w:color w:val="000000"/>
          <w:kern w:val="0"/>
          <w:sz w:val="24"/>
          <w:szCs w:val="24"/>
        </w:rPr>
        <w:t>10</w:t>
      </w:r>
      <w:r>
        <w:rPr>
          <w:bCs/>
          <w:color w:val="000000"/>
          <w:kern w:val="0"/>
          <w:sz w:val="24"/>
          <w:szCs w:val="24"/>
        </w:rPr>
        <w:t>月至</w:t>
      </w:r>
      <w:r>
        <w:rPr>
          <w:bCs/>
          <w:color w:val="000000"/>
          <w:kern w:val="0"/>
          <w:sz w:val="24"/>
          <w:szCs w:val="24"/>
        </w:rPr>
        <w:t>2014</w:t>
      </w:r>
      <w:r>
        <w:rPr>
          <w:bCs/>
          <w:color w:val="000000"/>
          <w:kern w:val="0"/>
          <w:sz w:val="24"/>
          <w:szCs w:val="24"/>
        </w:rPr>
        <w:t>年</w:t>
      </w:r>
      <w:r>
        <w:rPr>
          <w:bCs/>
          <w:color w:val="000000"/>
          <w:kern w:val="0"/>
          <w:sz w:val="24"/>
          <w:szCs w:val="24"/>
        </w:rPr>
        <w:t>9</w:t>
      </w:r>
      <w:r>
        <w:rPr>
          <w:bCs/>
          <w:color w:val="000000"/>
          <w:kern w:val="0"/>
          <w:sz w:val="24"/>
          <w:szCs w:val="24"/>
        </w:rPr>
        <w:t>月期间</w:t>
      </w:r>
      <w:r>
        <w:rPr>
          <w:bCs/>
          <w:color w:val="000000"/>
          <w:kern w:val="0"/>
          <w:sz w:val="24"/>
          <w:szCs w:val="24"/>
        </w:rPr>
        <w:t>)</w:t>
      </w:r>
      <w:r>
        <w:rPr>
          <w:bCs/>
          <w:color w:val="000000"/>
          <w:kern w:val="0"/>
          <w:sz w:val="24"/>
          <w:szCs w:val="24"/>
        </w:rPr>
        <w:t>，</w:t>
      </w:r>
      <w:r>
        <w:rPr>
          <w:bCs/>
          <w:color w:val="000000"/>
          <w:kern w:val="0"/>
          <w:sz w:val="24"/>
          <w:szCs w:val="24"/>
        </w:rPr>
        <w:t>近日香港证券及期货事务监察委员会对招商证券（香港）有限公司采取纪律行动，包括处以罚款</w:t>
      </w:r>
      <w:r>
        <w:rPr>
          <w:bCs/>
          <w:color w:val="000000"/>
          <w:kern w:val="0"/>
          <w:sz w:val="24"/>
          <w:szCs w:val="24"/>
        </w:rPr>
        <w:t>500</w:t>
      </w:r>
      <w:r>
        <w:rPr>
          <w:bCs/>
          <w:color w:val="000000"/>
          <w:kern w:val="0"/>
          <w:sz w:val="24"/>
          <w:szCs w:val="24"/>
        </w:rPr>
        <w:t>万元港币。</w:t>
      </w:r>
    </w:p>
    <w:p w:rsidR="005530CA" w:rsidRDefault="003D5A6B">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w:t>
      </w:r>
      <w:r>
        <w:rPr>
          <w:bCs/>
          <w:color w:val="000000"/>
          <w:kern w:val="0"/>
          <w:sz w:val="24"/>
          <w:szCs w:val="24"/>
        </w:rPr>
        <w:t>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65,247.99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3,254,336.29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30,259,488.10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33,580,072.38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99,142,061.78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305,641,287.30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81,776,350.65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323,006,998.43</w:t>
            </w:r>
          </w:p>
        </w:tc>
      </w:tr>
    </w:tbl>
    <w:p w:rsidR="005530CA" w:rsidRDefault="003D5A6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530CA">
        <w:tc>
          <w:tcPr>
            <w:tcW w:w="993" w:type="dxa"/>
            <w:vMerge w:val="restart"/>
          </w:tcPr>
          <w:p w:rsidR="005530CA" w:rsidRDefault="005530CA"/>
          <w:p w:rsidR="005530CA" w:rsidRDefault="003D5A6B">
            <w:r>
              <w:rPr>
                <w:rFonts w:ascii="宋体" w:hAnsi="宋体" w:hint="eastAsia"/>
                <w:bCs/>
                <w:color w:val="000000"/>
                <w:kern w:val="0"/>
              </w:rPr>
              <w:t>机构</w:t>
            </w:r>
          </w:p>
        </w:tc>
        <w:tc>
          <w:tcPr>
            <w:tcW w:w="992" w:type="dxa"/>
            <w:vAlign w:val="center"/>
          </w:tcPr>
          <w:p w:rsidR="005530CA" w:rsidRDefault="003D5A6B">
            <w:pPr>
              <w:jc w:val="center"/>
            </w:pPr>
            <w:r>
              <w:rPr>
                <w:rFonts w:ascii="宋体" w:hAnsi="宋体"/>
                <w:color w:val="000000"/>
                <w:kern w:val="0"/>
              </w:rPr>
              <w:t>1</w:t>
            </w:r>
          </w:p>
        </w:tc>
        <w:tc>
          <w:tcPr>
            <w:tcW w:w="1843" w:type="dxa"/>
            <w:vAlign w:val="center"/>
          </w:tcPr>
          <w:p w:rsidR="005530CA" w:rsidRDefault="003D5A6B">
            <w:pPr>
              <w:jc w:val="center"/>
            </w:pPr>
            <w:r>
              <w:rPr>
                <w:rFonts w:ascii="宋体" w:hAnsi="宋体"/>
                <w:color w:val="000000"/>
                <w:kern w:val="0"/>
              </w:rPr>
              <w:t>2019/4/1-2019/6/30</w:t>
            </w:r>
          </w:p>
        </w:tc>
        <w:tc>
          <w:tcPr>
            <w:tcW w:w="851" w:type="dxa"/>
            <w:vAlign w:val="center"/>
          </w:tcPr>
          <w:p w:rsidR="005530CA" w:rsidRDefault="003D5A6B">
            <w:pPr>
              <w:jc w:val="center"/>
            </w:pPr>
            <w:r>
              <w:rPr>
                <w:rFonts w:ascii="宋体" w:hAnsi="宋体"/>
                <w:color w:val="000000"/>
                <w:kern w:val="0"/>
              </w:rPr>
              <w:t>-</w:t>
            </w:r>
          </w:p>
        </w:tc>
        <w:tc>
          <w:tcPr>
            <w:tcW w:w="850" w:type="dxa"/>
            <w:vAlign w:val="center"/>
          </w:tcPr>
          <w:p w:rsidR="005530CA" w:rsidRDefault="003D5A6B">
            <w:pPr>
              <w:jc w:val="center"/>
            </w:pPr>
            <w:r>
              <w:rPr>
                <w:rFonts w:ascii="宋体" w:hAnsi="宋体"/>
                <w:color w:val="000000"/>
                <w:kern w:val="0"/>
              </w:rPr>
              <w:t>95,968,330.13</w:t>
            </w:r>
          </w:p>
        </w:tc>
        <w:tc>
          <w:tcPr>
            <w:tcW w:w="1134" w:type="dxa"/>
            <w:vAlign w:val="center"/>
          </w:tcPr>
          <w:p w:rsidR="005530CA" w:rsidRDefault="003D5A6B">
            <w:pPr>
              <w:jc w:val="center"/>
            </w:pPr>
            <w:r>
              <w:rPr>
                <w:rFonts w:ascii="宋体" w:hAnsi="宋体"/>
                <w:color w:val="000000"/>
                <w:kern w:val="0"/>
              </w:rPr>
              <w:t>-</w:t>
            </w:r>
          </w:p>
        </w:tc>
        <w:tc>
          <w:tcPr>
            <w:tcW w:w="1419" w:type="dxa"/>
            <w:vAlign w:val="center"/>
          </w:tcPr>
          <w:p w:rsidR="005530CA" w:rsidRDefault="003D5A6B">
            <w:pPr>
              <w:jc w:val="center"/>
            </w:pPr>
            <w:r>
              <w:rPr>
                <w:rFonts w:ascii="宋体" w:hAnsi="宋体"/>
                <w:color w:val="000000"/>
                <w:kern w:val="0"/>
              </w:rPr>
              <w:t>95,968,330.13</w:t>
            </w:r>
          </w:p>
        </w:tc>
        <w:tc>
          <w:tcPr>
            <w:tcW w:w="1130" w:type="dxa"/>
            <w:vAlign w:val="center"/>
          </w:tcPr>
          <w:p w:rsidR="005530CA" w:rsidRDefault="003D5A6B">
            <w:pPr>
              <w:jc w:val="center"/>
            </w:pPr>
            <w:r>
              <w:rPr>
                <w:rFonts w:ascii="宋体" w:hAnsi="宋体"/>
                <w:color w:val="000000"/>
                <w:kern w:val="0"/>
              </w:rPr>
              <w:t>29.71%</w:t>
            </w:r>
          </w:p>
        </w:tc>
      </w:tr>
      <w:tr w:rsidR="005530CA">
        <w:tc>
          <w:tcPr>
            <w:tcW w:w="993" w:type="dxa"/>
            <w:vMerge/>
          </w:tcPr>
          <w:p w:rsidR="005530CA" w:rsidRDefault="005530CA"/>
        </w:tc>
        <w:tc>
          <w:tcPr>
            <w:tcW w:w="992" w:type="dxa"/>
            <w:vAlign w:val="center"/>
          </w:tcPr>
          <w:p w:rsidR="005530CA" w:rsidRDefault="003D5A6B">
            <w:pPr>
              <w:jc w:val="center"/>
            </w:pPr>
            <w:r>
              <w:rPr>
                <w:rFonts w:ascii="宋体" w:hAnsi="宋体"/>
                <w:color w:val="000000"/>
                <w:kern w:val="0"/>
              </w:rPr>
              <w:t>2</w:t>
            </w:r>
          </w:p>
        </w:tc>
        <w:tc>
          <w:tcPr>
            <w:tcW w:w="1843" w:type="dxa"/>
            <w:vAlign w:val="center"/>
          </w:tcPr>
          <w:p w:rsidR="005530CA" w:rsidRDefault="003D5A6B">
            <w:pPr>
              <w:jc w:val="center"/>
            </w:pPr>
            <w:r>
              <w:rPr>
                <w:rFonts w:ascii="宋体" w:hAnsi="宋体"/>
                <w:color w:val="000000"/>
                <w:kern w:val="0"/>
              </w:rPr>
              <w:t>2019/4/1-2019/6/30</w:t>
            </w:r>
          </w:p>
        </w:tc>
        <w:tc>
          <w:tcPr>
            <w:tcW w:w="851" w:type="dxa"/>
            <w:vAlign w:val="center"/>
          </w:tcPr>
          <w:p w:rsidR="005530CA" w:rsidRDefault="003D5A6B">
            <w:pPr>
              <w:jc w:val="center"/>
            </w:pPr>
            <w:r>
              <w:rPr>
                <w:rFonts w:ascii="宋体" w:hAnsi="宋体"/>
                <w:color w:val="000000"/>
                <w:kern w:val="0"/>
              </w:rPr>
              <w:t>-</w:t>
            </w:r>
          </w:p>
        </w:tc>
        <w:tc>
          <w:tcPr>
            <w:tcW w:w="850" w:type="dxa"/>
            <w:vAlign w:val="center"/>
          </w:tcPr>
          <w:p w:rsidR="005530CA" w:rsidRDefault="003D5A6B">
            <w:pPr>
              <w:jc w:val="center"/>
            </w:pPr>
            <w:r>
              <w:rPr>
                <w:rFonts w:ascii="宋体" w:hAnsi="宋体"/>
                <w:color w:val="000000"/>
                <w:kern w:val="0"/>
              </w:rPr>
              <w:t>95,968,330.13</w:t>
            </w:r>
          </w:p>
        </w:tc>
        <w:tc>
          <w:tcPr>
            <w:tcW w:w="1134" w:type="dxa"/>
            <w:vAlign w:val="center"/>
          </w:tcPr>
          <w:p w:rsidR="005530CA" w:rsidRDefault="003D5A6B">
            <w:pPr>
              <w:jc w:val="center"/>
            </w:pPr>
            <w:r>
              <w:rPr>
                <w:rFonts w:ascii="宋体" w:hAnsi="宋体"/>
                <w:color w:val="000000"/>
                <w:kern w:val="0"/>
              </w:rPr>
              <w:t>-</w:t>
            </w:r>
          </w:p>
        </w:tc>
        <w:tc>
          <w:tcPr>
            <w:tcW w:w="1419" w:type="dxa"/>
            <w:vAlign w:val="center"/>
          </w:tcPr>
          <w:p w:rsidR="005530CA" w:rsidRDefault="003D5A6B">
            <w:pPr>
              <w:jc w:val="center"/>
            </w:pPr>
            <w:r>
              <w:rPr>
                <w:rFonts w:ascii="宋体" w:hAnsi="宋体"/>
                <w:color w:val="000000"/>
                <w:kern w:val="0"/>
              </w:rPr>
              <w:t>95,968,330.13</w:t>
            </w:r>
          </w:p>
        </w:tc>
        <w:tc>
          <w:tcPr>
            <w:tcW w:w="1130" w:type="dxa"/>
            <w:vAlign w:val="center"/>
          </w:tcPr>
          <w:p w:rsidR="005530CA" w:rsidRDefault="003D5A6B">
            <w:pPr>
              <w:jc w:val="center"/>
            </w:pPr>
            <w:r>
              <w:rPr>
                <w:rFonts w:ascii="宋体" w:hAnsi="宋体"/>
                <w:color w:val="000000"/>
                <w:kern w:val="0"/>
              </w:rPr>
              <w:t>29.71%</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8.2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530CA" w:rsidRDefault="003D5A6B">
      <w:pPr>
        <w:spacing w:before="29" w:line="288" w:lineRule="auto"/>
        <w:ind w:firstLineChars="200" w:firstLine="480"/>
        <w:rPr>
          <w:color w:val="000000"/>
          <w:sz w:val="24"/>
          <w:szCs w:val="24"/>
        </w:rPr>
      </w:pPr>
      <w:r>
        <w:rPr>
          <w:color w:val="000000"/>
          <w:sz w:val="24"/>
          <w:szCs w:val="24"/>
        </w:rPr>
        <w:lastRenderedPageBreak/>
        <w:t>1</w:t>
      </w:r>
      <w:r>
        <w:rPr>
          <w:color w:val="000000"/>
          <w:sz w:val="24"/>
          <w:szCs w:val="24"/>
        </w:rPr>
        <w:t>、中国证监会准予交银施罗德荣鑫保本混合型证券投资基金募集注册的文件；</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、《交银施罗德荣鑫灵活配置混合型证券投资基金基金合同》；</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、《交银施罗德荣鑫灵活配置混合型证券投资基金招募说明书》；</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、《交银施罗德荣鑫灵活配置混合型证券投资基金托管协议》；</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、《交银施罗德荣鑫保本混合型证券投资基金基金合同》；</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、《交银施罗德荣鑫保本混合型证券投资基金招募说明书》；</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、《交银施罗德荣鑫保本混合型证券投资基金托管协议》；</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5530CA" w:rsidRDefault="003D5A6B">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11</w:t>
      </w:r>
      <w:r>
        <w:rPr>
          <w:color w:val="000000"/>
          <w:sz w:val="24"/>
          <w:szCs w:val="24"/>
        </w:rPr>
        <w:t>、</w:t>
      </w:r>
      <w:r>
        <w:rPr>
          <w:color w:val="000000"/>
          <w:sz w:val="24"/>
          <w:szCs w:val="24"/>
        </w:rPr>
        <w:t>关于申请募集注册交银施罗德荣鑫保本混合型证券投资基金的法律意见书；</w:t>
      </w:r>
      <w:r>
        <w:rPr>
          <w:color w:val="000000"/>
          <w:sz w:val="24"/>
          <w:szCs w:val="24"/>
        </w:rPr>
        <w:t xml:space="preserve"> </w:t>
      </w:r>
    </w:p>
    <w:p w:rsidR="005530CA" w:rsidRDefault="003D5A6B">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、关于修改《交银施罗德荣鑫保本混合型证券投资基金基金合同》的法律意见书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、报告期内交银施罗德荣鑫保本混合型证券投资基金、交银施罗德荣鑫灵活配置混合型证券投资基金在指定报刊上各项公告的原稿。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530CA" w:rsidRDefault="003D5A6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A6B" w:rsidRDefault="003D5A6B" w:rsidP="00876D65">
      <w:r>
        <w:separator/>
      </w:r>
    </w:p>
  </w:endnote>
  <w:endnote w:type="continuationSeparator" w:id="0">
    <w:p w:rsidR="003D5A6B" w:rsidRDefault="003D5A6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67FE7">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67FE7">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A6B" w:rsidRDefault="003D5A6B" w:rsidP="00876D65">
      <w:r>
        <w:separator/>
      </w:r>
    </w:p>
  </w:footnote>
  <w:footnote w:type="continuationSeparator" w:id="0">
    <w:p w:rsidR="003D5A6B" w:rsidRDefault="003D5A6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交银施罗德荣鑫灵活配置混合型证券投资基金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67FE7"/>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5A6B"/>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530CA"/>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CB31-F27F-44F9-B39A-C84F9D69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13</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汤程翔</cp:lastModifiedBy>
  <cp:revision>591</cp:revision>
  <dcterms:created xsi:type="dcterms:W3CDTF">2012-10-16T06:07:00Z</dcterms:created>
  <dcterms:modified xsi:type="dcterms:W3CDTF">2019-08-07T02:39:00Z</dcterms:modified>
</cp:coreProperties>
</file>