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交银施罗德周期回报灵活配置混合型证券投资基金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2019</w:t>
      </w:r>
      <w:r w:rsidRPr="005858C2">
        <w:rPr>
          <w:rFonts w:eastAsiaTheme="minorEastAsia"/>
          <w:b/>
          <w:sz w:val="36"/>
          <w:szCs w:val="36"/>
        </w:rPr>
        <w:t>年第</w:t>
      </w:r>
      <w:r w:rsidRPr="005858C2">
        <w:rPr>
          <w:rFonts w:eastAsiaTheme="minorEastAsia"/>
          <w:b/>
          <w:sz w:val="36"/>
          <w:szCs w:val="36"/>
        </w:rPr>
        <w:t>2</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2019</w:t>
      </w:r>
      <w:r w:rsidRPr="005858C2">
        <w:rPr>
          <w:b/>
          <w:sz w:val="36"/>
          <w:szCs w:val="36"/>
        </w:rPr>
        <w:t>年</w:t>
      </w:r>
      <w:r w:rsidRPr="005858C2">
        <w:rPr>
          <w:b/>
          <w:sz w:val="36"/>
          <w:szCs w:val="36"/>
        </w:rPr>
        <w:t>6</w:t>
      </w:r>
      <w:r w:rsidRPr="005858C2">
        <w:rPr>
          <w:b/>
          <w:sz w:val="36"/>
          <w:szCs w:val="36"/>
        </w:rPr>
        <w:t>月</w:t>
      </w:r>
      <w:r w:rsidRPr="005858C2">
        <w:rPr>
          <w:b/>
          <w:sz w:val="36"/>
          <w:szCs w:val="36"/>
        </w:rPr>
        <w:t>30</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中国农业银行股份有限公司</w:t>
      </w:r>
    </w:p>
    <w:p w:rsidR="009A2283" w:rsidRPr="005858C2" w:rsidRDefault="009A2283" w:rsidP="007C14DF">
      <w:pPr>
        <w:spacing w:before="29" w:line="288" w:lineRule="auto"/>
        <w:ind w:firstLineChars="900" w:firstLine="2168"/>
        <w:rPr>
          <w:b/>
          <w:sz w:val="24"/>
        </w:rPr>
        <w:sectPr w:rsidR="009A2283" w:rsidRPr="005858C2" w:rsidSect="00D3445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R="009238DB" w:rsidRPr="007F52FA" w:rsidRDefault="009238DB" w:rsidP="000A2988">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基金托管人中国农业银行股份有限公司根据本基金合同规定，于</w:t>
      </w:r>
      <w:r>
        <w:rPr>
          <w:rFonts w:eastAsiaTheme="minorEastAsia"/>
          <w:color w:val="000000"/>
          <w:sz w:val="24"/>
        </w:rPr>
        <w:t>2019</w:t>
      </w:r>
      <w:r>
        <w:rPr>
          <w:rFonts w:eastAsiaTheme="minorEastAsia"/>
          <w:color w:val="000000"/>
          <w:sz w:val="24"/>
        </w:rPr>
        <w:t>年</w:t>
      </w:r>
      <w:r>
        <w:rPr>
          <w:rFonts w:eastAsiaTheme="minorEastAsia"/>
          <w:color w:val="000000"/>
          <w:sz w:val="24"/>
        </w:rPr>
        <w:t>7</w:t>
      </w:r>
      <w:r>
        <w:rPr>
          <w:rFonts w:eastAsiaTheme="minorEastAsia"/>
          <w:color w:val="000000"/>
          <w:sz w:val="24"/>
        </w:rPr>
        <w:t>月</w:t>
      </w:r>
      <w:r>
        <w:rPr>
          <w:rFonts w:eastAsiaTheme="minorEastAsia"/>
          <w:color w:val="000000"/>
          <w:sz w:val="24"/>
        </w:rPr>
        <w:t>16</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2019</w:t>
      </w:r>
      <w:r w:rsidRPr="007F52FA">
        <w:rPr>
          <w:rFonts w:eastAsiaTheme="minorEastAsia"/>
          <w:color w:val="000000"/>
          <w:sz w:val="24"/>
        </w:rPr>
        <w:t>年</w:t>
      </w:r>
      <w:r w:rsidRPr="007F52FA">
        <w:rPr>
          <w:rFonts w:eastAsiaTheme="minorEastAsia"/>
          <w:color w:val="000000"/>
          <w:sz w:val="24"/>
        </w:rPr>
        <w:t>4</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6</w:t>
      </w:r>
      <w:r w:rsidRPr="007F52FA">
        <w:rPr>
          <w:rFonts w:eastAsiaTheme="minorEastAsia"/>
          <w:color w:val="000000"/>
          <w:sz w:val="24"/>
        </w:rPr>
        <w:t>月</w:t>
      </w:r>
      <w:r w:rsidRPr="007F52FA">
        <w:rPr>
          <w:rFonts w:eastAsiaTheme="minorEastAsia"/>
          <w:color w:val="000000"/>
          <w:sz w:val="24"/>
        </w:rPr>
        <w:t>30</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交银周期回报灵活配置混合</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519738</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2014</w:t>
            </w:r>
            <w:r w:rsidRPr="007F52FA">
              <w:rPr>
                <w:color w:val="000000"/>
                <w:kern w:val="0"/>
                <w:sz w:val="24"/>
              </w:rPr>
              <w:t>年</w:t>
            </w:r>
            <w:r w:rsidRPr="007F52FA">
              <w:rPr>
                <w:color w:val="000000"/>
                <w:kern w:val="0"/>
                <w:sz w:val="24"/>
              </w:rPr>
              <w:t>5</w:t>
            </w:r>
            <w:r w:rsidRPr="007F52FA">
              <w:rPr>
                <w:color w:val="000000"/>
                <w:kern w:val="0"/>
                <w:sz w:val="24"/>
              </w:rPr>
              <w:t>月</w:t>
            </w:r>
            <w:r w:rsidRPr="007F52FA">
              <w:rPr>
                <w:color w:val="000000"/>
                <w:kern w:val="0"/>
                <w:sz w:val="24"/>
              </w:rPr>
              <w:t>22</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219,151,745.14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以交银施罗德投资时钟分析框架为基础，结合基金管理人对宏观经济周期和金融市场运行趋势的判断，通过灵活的资产配置策略和积极主动的投资管理，在控制下行风险的前提下，力争为投资者提供长期稳健的投资回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资产管理人的研究优势，在分析和判断宏观经济周期和金融市场运行趋势的基础上，运用交银施罗德投资时钟分析框架，自上而下调整基金大类资产配置比例和股票行业配置比例，确定债券组合久期和债券类别配置；在严谨深入的股票和债券研究分析基础上，自下而上精选股票和债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50%×</w:t>
            </w:r>
            <w:r w:rsidRPr="007F52FA">
              <w:rPr>
                <w:color w:val="000000"/>
                <w:kern w:val="0"/>
                <w:sz w:val="24"/>
              </w:rPr>
              <w:t>沪深</w:t>
            </w:r>
            <w:r w:rsidRPr="007F52FA">
              <w:rPr>
                <w:color w:val="000000"/>
                <w:kern w:val="0"/>
                <w:sz w:val="24"/>
              </w:rPr>
              <w:t>300</w:t>
            </w:r>
            <w:r w:rsidRPr="007F52FA">
              <w:rPr>
                <w:color w:val="000000"/>
                <w:kern w:val="0"/>
                <w:sz w:val="24"/>
              </w:rPr>
              <w:t>指数收益率</w:t>
            </w:r>
            <w:r w:rsidRPr="007F52FA">
              <w:rPr>
                <w:color w:val="000000"/>
                <w:kern w:val="0"/>
                <w:sz w:val="24"/>
              </w:rPr>
              <w:t>+50%×</w:t>
            </w:r>
            <w:r w:rsidRPr="007F52FA">
              <w:rPr>
                <w:color w:val="000000"/>
                <w:kern w:val="0"/>
                <w:sz w:val="24"/>
              </w:rPr>
              <w:t>中债综合全价指数收益率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本基金是一只混合型基金，其长期平均风险和预期收益高于债券型基金和货币市场基金，低于股票型基金。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中国农业银行股份有限公司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交银周期回报灵活配置混合</w:t>
            </w:r>
            <w:r w:rsidRPr="007F52FA">
              <w:rPr>
                <w:sz w:val="24"/>
              </w:rPr>
              <w:t>C</w:t>
            </w:r>
          </w:p>
        </w:tc>
      </w:tr>
      <w:tr w:rsidR="00C23B30" w:rsidRPr="007F52FA" w:rsidTr="009416C9">
        <w:trPr>
          <w:jc w:val="center"/>
        </w:trPr>
        <w:tc>
          <w:tcPr>
            <w:tcW w:w="3023" w:type="dxa"/>
            <w:vAlign w:val="center"/>
          </w:tcPr>
          <w:p w:rsidR="00C23B30" w:rsidRDefault="007C3DC6" w:rsidP="007C14DF">
            <w:pPr>
              <w:adjustRightInd w:val="0"/>
              <w:spacing w:before="29" w:line="288" w:lineRule="auto"/>
              <w:ind w:left="17"/>
              <w:jc w:val="left"/>
              <w:rPr>
                <w:color w:val="000000"/>
                <w:sz w:val="24"/>
              </w:rPr>
            </w:pPr>
            <w:r w:rsidRPr="007F52FA">
              <w:rPr>
                <w:color w:val="000000"/>
                <w:sz w:val="24"/>
              </w:rPr>
              <w:t>下属两级基金的交易代码</w:t>
            </w:r>
          </w:p>
          <w:p w:rsidR="00C01EF2" w:rsidRPr="007F52FA" w:rsidRDefault="00C01EF2" w:rsidP="00C01EF2">
            <w:pPr>
              <w:adjustRightInd w:val="0"/>
              <w:spacing w:before="29" w:line="288" w:lineRule="auto"/>
              <w:ind w:left="17"/>
              <w:jc w:val="left"/>
              <w:rPr>
                <w:color w:val="000000"/>
                <w:sz w:val="24"/>
              </w:rPr>
            </w:pPr>
          </w:p>
        </w:tc>
        <w:tc>
          <w:tcPr>
            <w:tcW w:w="2922" w:type="dxa"/>
            <w:vAlign w:val="center"/>
          </w:tcPr>
          <w:p w:rsidR="00C23B30" w:rsidRPr="000E4C40" w:rsidRDefault="00C23B30" w:rsidP="007F50FB">
            <w:pPr>
              <w:spacing w:before="29" w:line="288" w:lineRule="auto"/>
              <w:jc w:val="left"/>
              <w:rPr>
                <w:sz w:val="24"/>
              </w:rPr>
            </w:pPr>
            <w:r w:rsidRPr="000E4C40">
              <w:rPr>
                <w:sz w:val="24"/>
              </w:rPr>
              <w:t>519738</w:t>
            </w:r>
          </w:p>
        </w:tc>
        <w:tc>
          <w:tcPr>
            <w:tcW w:w="3048" w:type="dxa"/>
            <w:vAlign w:val="center"/>
          </w:tcPr>
          <w:p w:rsidR="00C23B30" w:rsidRPr="000E4C40" w:rsidRDefault="00C23B30" w:rsidP="00A52A9E">
            <w:pPr>
              <w:spacing w:before="29" w:line="288" w:lineRule="auto"/>
              <w:jc w:val="left"/>
              <w:rPr>
                <w:sz w:val="24"/>
              </w:rPr>
            </w:pPr>
            <w:r w:rsidRPr="000E4C40">
              <w:rPr>
                <w:sz w:val="24"/>
              </w:rPr>
              <w:t>519759</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172,627,897.15</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46,523,847.99</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(2019</w:t>
            </w:r>
            <w:r w:rsidRPr="00414345">
              <w:rPr>
                <w:color w:val="000000"/>
                <w:sz w:val="24"/>
              </w:rPr>
              <w:t>年</w:t>
            </w:r>
            <w:r w:rsidRPr="00414345">
              <w:rPr>
                <w:color w:val="000000"/>
                <w:sz w:val="24"/>
              </w:rPr>
              <w:t>4</w:t>
            </w:r>
            <w:r w:rsidRPr="00414345">
              <w:rPr>
                <w:color w:val="000000"/>
                <w:sz w:val="24"/>
              </w:rPr>
              <w:t>月</w:t>
            </w:r>
            <w:r w:rsidRPr="00414345">
              <w:rPr>
                <w:color w:val="000000"/>
                <w:sz w:val="24"/>
              </w:rPr>
              <w:t>1</w:t>
            </w:r>
            <w:r w:rsidRPr="00414345">
              <w:rPr>
                <w:color w:val="000000"/>
                <w:sz w:val="24"/>
              </w:rPr>
              <w:t>日</w:t>
            </w:r>
            <w:r w:rsidRPr="00414345">
              <w:rPr>
                <w:color w:val="000000"/>
                <w:sz w:val="24"/>
              </w:rPr>
              <w:t>-2019</w:t>
            </w:r>
            <w:r w:rsidRPr="00414345">
              <w:rPr>
                <w:color w:val="000000"/>
                <w:sz w:val="24"/>
              </w:rPr>
              <w:t>年</w:t>
            </w:r>
            <w:r w:rsidRPr="00414345">
              <w:rPr>
                <w:color w:val="000000"/>
                <w:sz w:val="24"/>
              </w:rPr>
              <w:t>6</w:t>
            </w:r>
            <w:r w:rsidRPr="00414345">
              <w:rPr>
                <w:color w:val="000000"/>
                <w:sz w:val="24"/>
              </w:rPr>
              <w:t>月</w:t>
            </w:r>
            <w:r w:rsidRPr="00414345">
              <w:rPr>
                <w:color w:val="000000"/>
                <w:sz w:val="24"/>
              </w:rPr>
              <w:t>30</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交银周期回报灵活配置混合</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338,911.14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192,084.71</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3,293,059.22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1,179,059.85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0.0318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0.0245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198,534,372.67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53,300,067.82</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1.150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1.146</w:t>
            </w:r>
          </w:p>
        </w:tc>
      </w:tr>
    </w:tbl>
    <w:p w:rsidR="003F09F9" w:rsidRDefault="00C804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交银周期回报灵活配置混合</w:t>
      </w:r>
      <w:r w:rsidR="00A5643A" w:rsidRPr="007F52FA">
        <w:rPr>
          <w:b/>
          <w:color w:val="000000"/>
          <w:kern w:val="0"/>
          <w:sz w:val="24"/>
        </w:rPr>
        <w:t>A</w:t>
      </w:r>
      <w:r w:rsidRPr="007F52FA">
        <w:rPr>
          <w:b/>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lastRenderedPageBreak/>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09F9">
        <w:trPr>
          <w:jc w:val="center"/>
        </w:trPr>
        <w:tc>
          <w:tcPr>
            <w:tcW w:w="1266" w:type="dxa"/>
            <w:vAlign w:val="center"/>
          </w:tcPr>
          <w:p w:rsidR="003F09F9" w:rsidRDefault="00C80452">
            <w:pPr>
              <w:jc w:val="left"/>
            </w:pPr>
            <w:r>
              <w:rPr>
                <w:color w:val="000000"/>
                <w:sz w:val="24"/>
              </w:rPr>
              <w:t>过去三个月</w:t>
            </w:r>
          </w:p>
        </w:tc>
        <w:tc>
          <w:tcPr>
            <w:tcW w:w="1267" w:type="dxa"/>
            <w:vAlign w:val="center"/>
          </w:tcPr>
          <w:p w:rsidR="003F09F9" w:rsidRDefault="00C80452">
            <w:pPr>
              <w:jc w:val="center"/>
            </w:pPr>
            <w:r>
              <w:rPr>
                <w:color w:val="000000"/>
                <w:sz w:val="24"/>
              </w:rPr>
              <w:t>1.68%</w:t>
            </w:r>
          </w:p>
        </w:tc>
        <w:tc>
          <w:tcPr>
            <w:tcW w:w="1267" w:type="dxa"/>
            <w:vAlign w:val="center"/>
          </w:tcPr>
          <w:p w:rsidR="003F09F9" w:rsidRDefault="00C80452">
            <w:pPr>
              <w:jc w:val="center"/>
            </w:pPr>
            <w:r>
              <w:rPr>
                <w:color w:val="000000"/>
                <w:sz w:val="24"/>
              </w:rPr>
              <w:t>0.18%</w:t>
            </w:r>
          </w:p>
        </w:tc>
        <w:tc>
          <w:tcPr>
            <w:tcW w:w="1267" w:type="dxa"/>
            <w:vAlign w:val="center"/>
          </w:tcPr>
          <w:p w:rsidR="003F09F9" w:rsidRDefault="00C80452">
            <w:pPr>
              <w:jc w:val="center"/>
            </w:pPr>
            <w:r>
              <w:rPr>
                <w:color w:val="000000"/>
                <w:sz w:val="24"/>
              </w:rPr>
              <w:t>-0.54%</w:t>
            </w:r>
          </w:p>
        </w:tc>
        <w:tc>
          <w:tcPr>
            <w:tcW w:w="1267" w:type="dxa"/>
            <w:vAlign w:val="center"/>
          </w:tcPr>
          <w:p w:rsidR="003F09F9" w:rsidRDefault="00C80452">
            <w:pPr>
              <w:jc w:val="center"/>
            </w:pPr>
            <w:r>
              <w:rPr>
                <w:color w:val="000000"/>
                <w:sz w:val="24"/>
              </w:rPr>
              <w:t>0.75%</w:t>
            </w:r>
          </w:p>
        </w:tc>
        <w:tc>
          <w:tcPr>
            <w:tcW w:w="1267" w:type="dxa"/>
            <w:vAlign w:val="center"/>
          </w:tcPr>
          <w:p w:rsidR="003F09F9" w:rsidRDefault="00C80452">
            <w:pPr>
              <w:jc w:val="center"/>
            </w:pPr>
            <w:r>
              <w:rPr>
                <w:color w:val="000000"/>
                <w:sz w:val="24"/>
              </w:rPr>
              <w:t>2.22%</w:t>
            </w:r>
          </w:p>
        </w:tc>
        <w:tc>
          <w:tcPr>
            <w:tcW w:w="1267" w:type="dxa"/>
            <w:vAlign w:val="center"/>
          </w:tcPr>
          <w:p w:rsidR="003F09F9" w:rsidRDefault="00C80452">
            <w:pPr>
              <w:jc w:val="center"/>
            </w:pPr>
            <w:r>
              <w:rPr>
                <w:color w:val="000000"/>
                <w:sz w:val="24"/>
              </w:rPr>
              <w:t>-0.57%</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交银周期回报灵活配置混合</w:t>
      </w:r>
      <w:r w:rsidR="00FE7FBD" w:rsidRPr="007F52FA">
        <w:rPr>
          <w:b/>
          <w:color w:val="000000"/>
          <w:kern w:val="0"/>
          <w:sz w:val="24"/>
        </w:rPr>
        <w:t>C</w:t>
      </w:r>
      <w:r w:rsidRPr="007F52FA">
        <w:rPr>
          <w:b/>
          <w:color w:val="000000"/>
          <w:kern w:val="0"/>
          <w:sz w:val="24"/>
        </w:rPr>
        <w:t>：</w:t>
      </w:r>
    </w:p>
    <w:tbl>
      <w:tblPr>
        <w:tblStyle w:val="af6"/>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F09F9">
        <w:trPr>
          <w:jc w:val="center"/>
        </w:trPr>
        <w:tc>
          <w:tcPr>
            <w:tcW w:w="1266" w:type="dxa"/>
            <w:vAlign w:val="center"/>
          </w:tcPr>
          <w:p w:rsidR="003F09F9" w:rsidRDefault="00C80452">
            <w:pPr>
              <w:jc w:val="left"/>
            </w:pPr>
            <w:r>
              <w:rPr>
                <w:color w:val="000000"/>
                <w:sz w:val="24"/>
              </w:rPr>
              <w:t>过去三个月</w:t>
            </w:r>
          </w:p>
        </w:tc>
        <w:tc>
          <w:tcPr>
            <w:tcW w:w="1267" w:type="dxa"/>
            <w:vAlign w:val="center"/>
          </w:tcPr>
          <w:p w:rsidR="003F09F9" w:rsidRDefault="00C80452">
            <w:pPr>
              <w:jc w:val="center"/>
            </w:pPr>
            <w:r>
              <w:rPr>
                <w:color w:val="000000"/>
                <w:sz w:val="24"/>
              </w:rPr>
              <w:t>1.60%</w:t>
            </w:r>
          </w:p>
        </w:tc>
        <w:tc>
          <w:tcPr>
            <w:tcW w:w="1267" w:type="dxa"/>
            <w:vAlign w:val="center"/>
          </w:tcPr>
          <w:p w:rsidR="003F09F9" w:rsidRDefault="00C80452">
            <w:pPr>
              <w:jc w:val="center"/>
            </w:pPr>
            <w:r>
              <w:rPr>
                <w:color w:val="000000"/>
                <w:sz w:val="24"/>
              </w:rPr>
              <w:t>0.17%</w:t>
            </w:r>
          </w:p>
        </w:tc>
        <w:tc>
          <w:tcPr>
            <w:tcW w:w="1267" w:type="dxa"/>
            <w:vAlign w:val="center"/>
          </w:tcPr>
          <w:p w:rsidR="003F09F9" w:rsidRDefault="00C80452">
            <w:pPr>
              <w:jc w:val="center"/>
            </w:pPr>
            <w:r>
              <w:rPr>
                <w:color w:val="000000"/>
                <w:sz w:val="24"/>
              </w:rPr>
              <w:t>-0.54%</w:t>
            </w:r>
          </w:p>
        </w:tc>
        <w:tc>
          <w:tcPr>
            <w:tcW w:w="1267" w:type="dxa"/>
            <w:vAlign w:val="center"/>
          </w:tcPr>
          <w:p w:rsidR="003F09F9" w:rsidRDefault="00C80452">
            <w:pPr>
              <w:jc w:val="center"/>
            </w:pPr>
            <w:r>
              <w:rPr>
                <w:color w:val="000000"/>
                <w:sz w:val="24"/>
              </w:rPr>
              <w:t>0.75%</w:t>
            </w:r>
          </w:p>
        </w:tc>
        <w:tc>
          <w:tcPr>
            <w:tcW w:w="1267" w:type="dxa"/>
            <w:vAlign w:val="center"/>
          </w:tcPr>
          <w:p w:rsidR="003F09F9" w:rsidRDefault="00C80452">
            <w:pPr>
              <w:jc w:val="center"/>
            </w:pPr>
            <w:r>
              <w:rPr>
                <w:color w:val="000000"/>
                <w:sz w:val="24"/>
              </w:rPr>
              <w:t>2.14%</w:t>
            </w:r>
          </w:p>
        </w:tc>
        <w:tc>
          <w:tcPr>
            <w:tcW w:w="1267" w:type="dxa"/>
            <w:vAlign w:val="center"/>
          </w:tcPr>
          <w:p w:rsidR="003F09F9" w:rsidRDefault="00C80452">
            <w:pPr>
              <w:jc w:val="center"/>
            </w:pPr>
            <w:r>
              <w:rPr>
                <w:color w:val="000000"/>
                <w:sz w:val="24"/>
              </w:rPr>
              <w:t>-0.58%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交银施罗德周期回报灵活配置混合型证券投资基金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w:t>
      </w:r>
      <w:r w:rsidR="00D04410" w:rsidRPr="007F52FA">
        <w:rPr>
          <w:rFonts w:ascii="Times New Roman" w:hAnsi="Times New Roman"/>
          <w:sz w:val="24"/>
          <w:szCs w:val="24"/>
        </w:rPr>
        <w:t>年</w:t>
      </w:r>
      <w:r w:rsidR="00D04410" w:rsidRPr="007F52FA">
        <w:rPr>
          <w:rFonts w:ascii="Times New Roman" w:hAnsi="Times New Roman"/>
          <w:sz w:val="24"/>
          <w:szCs w:val="24"/>
        </w:rPr>
        <w:t>5</w:t>
      </w:r>
      <w:r w:rsidR="00D04410" w:rsidRPr="007F52FA">
        <w:rPr>
          <w:rFonts w:ascii="Times New Roman" w:hAnsi="Times New Roman"/>
          <w:sz w:val="24"/>
          <w:szCs w:val="24"/>
        </w:rPr>
        <w:t>月</w:t>
      </w:r>
      <w:r w:rsidR="00D04410" w:rsidRPr="007F52FA">
        <w:rPr>
          <w:rFonts w:ascii="Times New Roman" w:hAnsi="Times New Roman"/>
          <w:sz w:val="24"/>
          <w:szCs w:val="24"/>
        </w:rPr>
        <w:t>22</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6</w:t>
      </w:r>
      <w:r w:rsidRPr="007F52FA">
        <w:rPr>
          <w:rFonts w:ascii="Times New Roman" w:hAnsi="Times New Roman"/>
          <w:sz w:val="24"/>
          <w:szCs w:val="24"/>
        </w:rPr>
        <w:t>月</w:t>
      </w:r>
      <w:r w:rsidRPr="007F52FA">
        <w:rPr>
          <w:rFonts w:ascii="Times New Roman" w:hAnsi="Times New Roman"/>
          <w:sz w:val="24"/>
          <w:szCs w:val="24"/>
        </w:rPr>
        <w:t>30</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交银周期回报灵活配置混合</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lastRenderedPageBreak/>
        <w:t>注：图示日期为</w:t>
      </w:r>
      <w:r w:rsidRPr="007F52FA">
        <w:rPr>
          <w:color w:val="000000"/>
          <w:sz w:val="24"/>
        </w:rPr>
        <w:t>2014</w:t>
      </w:r>
      <w:r w:rsidRPr="007F52FA">
        <w:rPr>
          <w:color w:val="000000"/>
          <w:sz w:val="24"/>
        </w:rPr>
        <w:t>年</w:t>
      </w:r>
      <w:r w:rsidRPr="007F52FA">
        <w:rPr>
          <w:color w:val="000000"/>
          <w:sz w:val="24"/>
        </w:rPr>
        <w:t>5</w:t>
      </w:r>
      <w:r w:rsidRPr="007F52FA">
        <w:rPr>
          <w:color w:val="000000"/>
          <w:sz w:val="24"/>
        </w:rPr>
        <w:t>月</w:t>
      </w:r>
      <w:r w:rsidRPr="007F52FA">
        <w:rPr>
          <w:color w:val="000000"/>
          <w:sz w:val="24"/>
        </w:rPr>
        <w:t>22</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交银周期回报灵活配置混合</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注：本基金自</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19</w:t>
      </w:r>
      <w:r w:rsidRPr="007F52FA">
        <w:rPr>
          <w:color w:val="000000"/>
          <w:sz w:val="24"/>
        </w:rPr>
        <w:t>日起，开始销售</w:t>
      </w:r>
      <w:r w:rsidRPr="007F52FA">
        <w:rPr>
          <w:color w:val="000000"/>
          <w:sz w:val="24"/>
        </w:rPr>
        <w:t>C</w:t>
      </w:r>
      <w:r w:rsidRPr="007F52FA">
        <w:rPr>
          <w:color w:val="000000"/>
          <w:sz w:val="24"/>
        </w:rPr>
        <w:t>类份额，投资者提交的申购申请于</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日被确认并将有效份额登记在册。图示日期为</w:t>
      </w:r>
      <w:r w:rsidRPr="007F52FA">
        <w:rPr>
          <w:color w:val="000000"/>
          <w:sz w:val="24"/>
        </w:rPr>
        <w:t>2015</w:t>
      </w:r>
      <w:r w:rsidRPr="007F52FA">
        <w:rPr>
          <w:color w:val="000000"/>
          <w:sz w:val="24"/>
        </w:rPr>
        <w:t>年</w:t>
      </w:r>
      <w:r w:rsidRPr="007F52FA">
        <w:rPr>
          <w:color w:val="000000"/>
          <w:sz w:val="24"/>
        </w:rPr>
        <w:t>11</w:t>
      </w:r>
      <w:r w:rsidRPr="007F52FA">
        <w:rPr>
          <w:color w:val="000000"/>
          <w:sz w:val="24"/>
        </w:rPr>
        <w:t>月</w:t>
      </w:r>
      <w:r w:rsidRPr="007F52FA">
        <w:rPr>
          <w:color w:val="000000"/>
          <w:sz w:val="24"/>
        </w:rPr>
        <w:t>20</w:t>
      </w:r>
      <w:r w:rsidRPr="007F52FA">
        <w:rPr>
          <w:color w:val="000000"/>
          <w:sz w:val="24"/>
        </w:rPr>
        <w:t>日至</w:t>
      </w:r>
      <w:r w:rsidRPr="007F52FA">
        <w:rPr>
          <w:color w:val="000000"/>
          <w:sz w:val="24"/>
        </w:rPr>
        <w:t>2019</w:t>
      </w:r>
      <w:r w:rsidRPr="007F52FA">
        <w:rPr>
          <w:color w:val="000000"/>
          <w:sz w:val="24"/>
        </w:rPr>
        <w:t>年</w:t>
      </w:r>
      <w:r w:rsidRPr="007F52FA">
        <w:rPr>
          <w:color w:val="000000"/>
          <w:sz w:val="24"/>
        </w:rPr>
        <w:t>6</w:t>
      </w:r>
      <w:r w:rsidRPr="007F52FA">
        <w:rPr>
          <w:color w:val="000000"/>
          <w:sz w:val="24"/>
        </w:rPr>
        <w:t>月</w:t>
      </w:r>
      <w:r w:rsidRPr="007F52FA">
        <w:rPr>
          <w:color w:val="000000"/>
          <w:sz w:val="24"/>
        </w:rPr>
        <w:t>30</w:t>
      </w:r>
      <w:r w:rsidRPr="007F52FA">
        <w:rPr>
          <w:color w:val="000000"/>
          <w:sz w:val="24"/>
        </w:rPr>
        <w:t>日。</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F09F9">
        <w:trPr>
          <w:jc w:val="center"/>
        </w:trPr>
        <w:tc>
          <w:tcPr>
            <w:tcW w:w="946" w:type="dxa"/>
            <w:vAlign w:val="center"/>
          </w:tcPr>
          <w:p w:rsidR="003F09F9" w:rsidRDefault="00C80452">
            <w:pPr>
              <w:jc w:val="center"/>
            </w:pPr>
            <w:r>
              <w:rPr>
                <w:color w:val="000000"/>
                <w:sz w:val="24"/>
              </w:rPr>
              <w:t>李娜</w:t>
            </w:r>
          </w:p>
        </w:tc>
        <w:tc>
          <w:tcPr>
            <w:tcW w:w="924" w:type="dxa"/>
            <w:vAlign w:val="center"/>
          </w:tcPr>
          <w:p w:rsidR="003F09F9" w:rsidRDefault="00C80452">
            <w:pPr>
              <w:jc w:val="center"/>
            </w:pPr>
            <w:r>
              <w:rPr>
                <w:color w:val="000000"/>
                <w:sz w:val="24"/>
              </w:rPr>
              <w:t>交银周期回报灵活</w:t>
            </w:r>
            <w:r>
              <w:rPr>
                <w:color w:val="000000"/>
                <w:sz w:val="24"/>
              </w:rPr>
              <w:lastRenderedPageBreak/>
              <w:t>配置混合、交银新回报灵活配置混合、交银多策略回报灵活配置混合、交银优选回报灵活配置混合、交银优择回报灵活配置混合、交银瑞鑫定期开放灵活配置混合、交银裕祥纯债债券、交银恒益灵活配置混合的基金经</w:t>
            </w:r>
            <w:r>
              <w:rPr>
                <w:color w:val="000000"/>
                <w:sz w:val="24"/>
              </w:rPr>
              <w:lastRenderedPageBreak/>
              <w:t>理</w:t>
            </w:r>
          </w:p>
        </w:tc>
        <w:tc>
          <w:tcPr>
            <w:tcW w:w="1202" w:type="dxa"/>
            <w:vAlign w:val="center"/>
          </w:tcPr>
          <w:p w:rsidR="003F09F9" w:rsidRDefault="00C80452">
            <w:pPr>
              <w:jc w:val="center"/>
            </w:pPr>
            <w:r>
              <w:rPr>
                <w:color w:val="000000"/>
                <w:sz w:val="24"/>
              </w:rPr>
              <w:lastRenderedPageBreak/>
              <w:t>2015-08-04</w:t>
            </w:r>
          </w:p>
        </w:tc>
        <w:tc>
          <w:tcPr>
            <w:tcW w:w="1300" w:type="dxa"/>
            <w:vAlign w:val="center"/>
          </w:tcPr>
          <w:p w:rsidR="003F09F9" w:rsidRDefault="00C80452">
            <w:pPr>
              <w:jc w:val="center"/>
            </w:pPr>
            <w:r>
              <w:rPr>
                <w:color w:val="000000"/>
                <w:sz w:val="24"/>
              </w:rPr>
              <w:t>-</w:t>
            </w:r>
          </w:p>
        </w:tc>
        <w:tc>
          <w:tcPr>
            <w:tcW w:w="1245" w:type="dxa"/>
            <w:vAlign w:val="center"/>
          </w:tcPr>
          <w:p w:rsidR="003F09F9" w:rsidRDefault="00C80452">
            <w:pPr>
              <w:jc w:val="center"/>
            </w:pPr>
            <w:r>
              <w:rPr>
                <w:color w:val="000000"/>
                <w:sz w:val="24"/>
              </w:rPr>
              <w:t>9</w:t>
            </w:r>
            <w:r>
              <w:rPr>
                <w:color w:val="000000"/>
                <w:sz w:val="24"/>
              </w:rPr>
              <w:t>年</w:t>
            </w:r>
          </w:p>
        </w:tc>
        <w:tc>
          <w:tcPr>
            <w:tcW w:w="3251" w:type="dxa"/>
            <w:vAlign w:val="center"/>
          </w:tcPr>
          <w:p w:rsidR="003F09F9" w:rsidRDefault="00C80452">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w:t>
            </w:r>
            <w:r>
              <w:rPr>
                <w:color w:val="000000"/>
                <w:sz w:val="24"/>
              </w:rPr>
              <w:lastRenderedPageBreak/>
              <w:t>罗德基金管理有限公司，历任债券分析师、基金经理助理。</w:t>
            </w:r>
            <w:r>
              <w:rPr>
                <w:color w:val="000000"/>
                <w:sz w:val="24"/>
              </w:rPr>
              <w:t>2017</w:t>
            </w:r>
            <w:r>
              <w:rPr>
                <w:color w:val="000000"/>
                <w:sz w:val="24"/>
              </w:rPr>
              <w:t>年</w:t>
            </w:r>
            <w:r>
              <w:rPr>
                <w:color w:val="000000"/>
                <w:sz w:val="24"/>
              </w:rPr>
              <w:t>3</w:t>
            </w:r>
            <w:r>
              <w:rPr>
                <w:color w:val="000000"/>
                <w:sz w:val="24"/>
              </w:rPr>
              <w:t>月</w:t>
            </w:r>
            <w:r>
              <w:rPr>
                <w:color w:val="000000"/>
                <w:sz w:val="24"/>
              </w:rPr>
              <w:t>2</w:t>
            </w:r>
            <w:r>
              <w:rPr>
                <w:color w:val="000000"/>
                <w:sz w:val="24"/>
              </w:rPr>
              <w:t>日至</w:t>
            </w:r>
            <w:r>
              <w:rPr>
                <w:color w:val="000000"/>
                <w:sz w:val="24"/>
              </w:rPr>
              <w:t>2018</w:t>
            </w:r>
            <w:r>
              <w:rPr>
                <w:color w:val="000000"/>
                <w:sz w:val="24"/>
              </w:rPr>
              <w:t>年</w:t>
            </w:r>
            <w:r>
              <w:rPr>
                <w:color w:val="000000"/>
                <w:sz w:val="24"/>
              </w:rPr>
              <w:t>4</w:t>
            </w:r>
            <w:r>
              <w:rPr>
                <w:color w:val="000000"/>
                <w:sz w:val="24"/>
              </w:rPr>
              <w:t>月</w:t>
            </w:r>
            <w:r>
              <w:rPr>
                <w:color w:val="000000"/>
                <w:sz w:val="24"/>
              </w:rPr>
              <w:t>10</w:t>
            </w:r>
            <w:r>
              <w:rPr>
                <w:color w:val="000000"/>
                <w:sz w:val="24"/>
              </w:rPr>
              <w:t>日担任交银施罗德瑞安定期开放灵活配置混合型证券投资基金基金经理。</w:t>
            </w:r>
            <w:r>
              <w:rPr>
                <w:color w:val="000000"/>
                <w:sz w:val="24"/>
              </w:rPr>
              <w:t>2017</w:t>
            </w:r>
            <w:r>
              <w:rPr>
                <w:color w:val="000000"/>
                <w:sz w:val="24"/>
              </w:rPr>
              <w:t>年</w:t>
            </w:r>
            <w:r>
              <w:rPr>
                <w:color w:val="000000"/>
                <w:sz w:val="24"/>
              </w:rPr>
              <w:t>2</w:t>
            </w:r>
            <w:r>
              <w:rPr>
                <w:color w:val="000000"/>
                <w:sz w:val="24"/>
              </w:rPr>
              <w:t>月</w:t>
            </w:r>
            <w:r>
              <w:rPr>
                <w:color w:val="000000"/>
                <w:sz w:val="24"/>
              </w:rPr>
              <w:t>24</w:t>
            </w:r>
            <w:r>
              <w:rPr>
                <w:color w:val="000000"/>
                <w:sz w:val="24"/>
              </w:rPr>
              <w:t>日至</w:t>
            </w:r>
            <w:r>
              <w:rPr>
                <w:color w:val="000000"/>
                <w:sz w:val="24"/>
              </w:rPr>
              <w:t>2018</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日担任交银施罗德瑞利定期开放灵活配置混合型证券投资基金的基金经理。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日担任交银施罗德启通灵活配置混合型证券投资基金的基金经理。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日至</w:t>
            </w:r>
            <w:r>
              <w:rPr>
                <w:color w:val="000000"/>
                <w:sz w:val="24"/>
              </w:rPr>
              <w:t>2018</w:t>
            </w:r>
            <w:r>
              <w:rPr>
                <w:color w:val="000000"/>
                <w:sz w:val="24"/>
              </w:rPr>
              <w:t>年</w:t>
            </w:r>
            <w:r>
              <w:rPr>
                <w:color w:val="000000"/>
                <w:sz w:val="24"/>
              </w:rPr>
              <w:t>11</w:t>
            </w:r>
            <w:r>
              <w:rPr>
                <w:color w:val="000000"/>
                <w:sz w:val="24"/>
              </w:rPr>
              <w:t>月</w:t>
            </w:r>
            <w:r>
              <w:rPr>
                <w:color w:val="000000"/>
                <w:sz w:val="24"/>
              </w:rPr>
              <w:t>16</w:t>
            </w:r>
            <w:r>
              <w:rPr>
                <w:color w:val="000000"/>
                <w:sz w:val="24"/>
              </w:rPr>
              <w:t>日担任交银施罗德瑞景定期开放灵活配置混合型证券投资基金的基金经理。</w:t>
            </w:r>
            <w:r>
              <w:rPr>
                <w:color w:val="000000"/>
                <w:sz w:val="24"/>
              </w:rPr>
              <w:t>2016</w:t>
            </w:r>
            <w:r>
              <w:rPr>
                <w:color w:val="000000"/>
                <w:sz w:val="24"/>
              </w:rPr>
              <w:t>年</w:t>
            </w:r>
            <w:r>
              <w:rPr>
                <w:color w:val="000000"/>
                <w:sz w:val="24"/>
              </w:rPr>
              <w:t>2</w:t>
            </w:r>
            <w:r>
              <w:rPr>
                <w:color w:val="000000"/>
                <w:sz w:val="24"/>
              </w:rPr>
              <w:t>月</w:t>
            </w:r>
            <w:r>
              <w:rPr>
                <w:color w:val="000000"/>
                <w:sz w:val="24"/>
              </w:rPr>
              <w:t>17</w:t>
            </w:r>
            <w:r>
              <w:rPr>
                <w:color w:val="000000"/>
                <w:sz w:val="24"/>
              </w:rPr>
              <w:t>日至</w:t>
            </w:r>
            <w:r>
              <w:rPr>
                <w:color w:val="000000"/>
                <w:sz w:val="24"/>
              </w:rPr>
              <w:t>2018</w:t>
            </w:r>
            <w:r>
              <w:rPr>
                <w:color w:val="000000"/>
                <w:sz w:val="24"/>
              </w:rPr>
              <w:t>年</w:t>
            </w:r>
            <w:r>
              <w:rPr>
                <w:color w:val="000000"/>
                <w:sz w:val="24"/>
              </w:rPr>
              <w:t>12</w:t>
            </w:r>
            <w:r>
              <w:rPr>
                <w:color w:val="000000"/>
                <w:sz w:val="24"/>
              </w:rPr>
              <w:t>月</w:t>
            </w:r>
            <w:r>
              <w:rPr>
                <w:color w:val="000000"/>
                <w:sz w:val="24"/>
              </w:rPr>
              <w:t>7</w:t>
            </w:r>
            <w:r>
              <w:rPr>
                <w:color w:val="000000"/>
                <w:sz w:val="24"/>
              </w:rPr>
              <w:t>日担任交银施罗德卓越回报灵活配置混合型证券投资基金的基金经理。</w:t>
            </w:r>
            <w:r>
              <w:rPr>
                <w:color w:val="000000"/>
                <w:sz w:val="24"/>
              </w:rPr>
              <w:t>2016</w:t>
            </w:r>
            <w:r>
              <w:rPr>
                <w:color w:val="000000"/>
                <w:sz w:val="24"/>
              </w:rPr>
              <w:t>年</w:t>
            </w:r>
            <w:r>
              <w:rPr>
                <w:color w:val="000000"/>
                <w:sz w:val="24"/>
              </w:rPr>
              <w:t>9</w:t>
            </w:r>
            <w:r>
              <w:rPr>
                <w:color w:val="000000"/>
                <w:sz w:val="24"/>
              </w:rPr>
              <w:t>月</w:t>
            </w:r>
            <w:r>
              <w:rPr>
                <w:color w:val="000000"/>
                <w:sz w:val="24"/>
              </w:rPr>
              <w:t>13</w:t>
            </w:r>
            <w:r>
              <w:rPr>
                <w:color w:val="000000"/>
                <w:sz w:val="24"/>
              </w:rPr>
              <w:t>日至</w:t>
            </w:r>
            <w:r>
              <w:rPr>
                <w:color w:val="000000"/>
                <w:sz w:val="24"/>
              </w:rPr>
              <w:t>2019</w:t>
            </w:r>
            <w:r>
              <w:rPr>
                <w:color w:val="000000"/>
                <w:sz w:val="24"/>
              </w:rPr>
              <w:t>年</w:t>
            </w:r>
            <w:r>
              <w:rPr>
                <w:color w:val="000000"/>
                <w:sz w:val="24"/>
              </w:rPr>
              <w:t>1</w:t>
            </w:r>
            <w:r>
              <w:rPr>
                <w:color w:val="000000"/>
                <w:sz w:val="24"/>
              </w:rPr>
              <w:t>月</w:t>
            </w:r>
            <w:r>
              <w:rPr>
                <w:color w:val="000000"/>
                <w:sz w:val="24"/>
              </w:rPr>
              <w:t>21</w:t>
            </w:r>
            <w:r>
              <w:rPr>
                <w:color w:val="000000"/>
                <w:sz w:val="24"/>
              </w:rPr>
              <w:t>日担任交银施罗德领先回报灵活配置混合型证券投资基金的基金经理。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lastRenderedPageBreak/>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F09F9" w:rsidRDefault="00C80452">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F09F9" w:rsidRDefault="00C80452">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F09F9" w:rsidRDefault="00C80452">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w:t>
      </w:r>
      <w:r w:rsidRPr="007F52FA">
        <w:rPr>
          <w:color w:val="000000"/>
          <w:sz w:val="24"/>
        </w:rPr>
        <w:t>5%</w:t>
      </w:r>
      <w:r w:rsidRPr="007F52FA">
        <w:rPr>
          <w:color w:val="000000"/>
          <w:sz w:val="24"/>
        </w:rPr>
        <w:t>的情况有</w:t>
      </w:r>
      <w:r w:rsidRPr="007F52FA">
        <w:rPr>
          <w:color w:val="000000"/>
          <w:sz w:val="24"/>
        </w:rPr>
        <w:t>1</w:t>
      </w:r>
      <w:r w:rsidRPr="007F52FA">
        <w:rPr>
          <w:color w:val="000000"/>
          <w:sz w:val="24"/>
        </w:rPr>
        <w:t>次，是投资组合因投资策略需要而发生同日反向交易，未发现不公平交易和利益输送的情况。本基金与本公司管理的其他投资组合在不同时间窗下（如日内、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日内）同向交易的交易价差未发现异常。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rsidR="003F09F9" w:rsidRDefault="00C80452">
      <w:pPr>
        <w:spacing w:before="29" w:line="288" w:lineRule="auto"/>
        <w:ind w:firstLineChars="200" w:firstLine="480"/>
        <w:rPr>
          <w:color w:val="000000"/>
          <w:sz w:val="24"/>
        </w:rPr>
      </w:pPr>
      <w:r>
        <w:rPr>
          <w:color w:val="000000"/>
          <w:sz w:val="24"/>
        </w:rPr>
        <w:t>本报告期内，在经济增长、海外风险以及资金面三个因素共同影响下，债市短端收</w:t>
      </w:r>
      <w:r>
        <w:rPr>
          <w:color w:val="000000"/>
          <w:sz w:val="24"/>
        </w:rPr>
        <w:lastRenderedPageBreak/>
        <w:t>益率基本回到三月底低位，长端呈现上行后震荡走平的格局。具体地，受地产销量向好、基建发力、春节错位等多方面影响，四月公布的三月经济数据和金融数据环比明显提速，令市场对增长预期过热，十年活跃国开收益率一度接近</w:t>
      </w:r>
      <w:r>
        <w:rPr>
          <w:color w:val="000000"/>
          <w:sz w:val="24"/>
        </w:rPr>
        <w:t>3.90%</w:t>
      </w:r>
      <w:r>
        <w:rPr>
          <w:color w:val="000000"/>
          <w:sz w:val="24"/>
        </w:rPr>
        <w:t>。随后，海外风险事件再度发酵，中观部分行业订单季节性下降，地产销量逐步走低，经济预期回落，十年活跃国开下行至</w:t>
      </w:r>
      <w:r>
        <w:rPr>
          <w:color w:val="000000"/>
          <w:sz w:val="24"/>
        </w:rPr>
        <w:t>3.75%</w:t>
      </w:r>
      <w:r>
        <w:rPr>
          <w:color w:val="000000"/>
          <w:sz w:val="24"/>
        </w:rPr>
        <w:t>位置，并在该中枢上下震荡。五月随着季末来临，银行间流动性中性分化，短久期债券收益率上行，信用利差明显走廓。随着跨季资金流动性走宽，短端收益率下行，中高等级信用债收益率也出现回落，但中低等级信用债成交依然不多。</w:t>
      </w:r>
    </w:p>
    <w:p w:rsidR="003F09F9" w:rsidRDefault="00C80452">
      <w:pPr>
        <w:spacing w:before="29" w:line="288" w:lineRule="auto"/>
        <w:ind w:firstLineChars="200" w:firstLine="480"/>
        <w:rPr>
          <w:color w:val="000000"/>
          <w:sz w:val="24"/>
        </w:rPr>
      </w:pPr>
      <w:r>
        <w:rPr>
          <w:color w:val="000000"/>
          <w:sz w:val="24"/>
        </w:rPr>
        <w:t>权益市场经历了一季度的上行后，多数板块估值相对偏高。在经济增速环比回落，中美贸易争端再度演绎等事件影响下，大盘自四月中下旬震荡下行。行业层面看，部分消费及金融有一定绝对收益，</w:t>
      </w:r>
      <w:r>
        <w:rPr>
          <w:color w:val="000000"/>
          <w:sz w:val="24"/>
        </w:rPr>
        <w:t>TMT</w:t>
      </w:r>
      <w:r>
        <w:rPr>
          <w:color w:val="000000"/>
          <w:sz w:val="24"/>
        </w:rPr>
        <w:t>及强周期等板块均有</w:t>
      </w:r>
      <w:r>
        <w:rPr>
          <w:color w:val="000000"/>
          <w:sz w:val="24"/>
        </w:rPr>
        <w:t>10%</w:t>
      </w:r>
      <w:r>
        <w:rPr>
          <w:color w:val="000000"/>
          <w:sz w:val="24"/>
        </w:rPr>
        <w:t>以上跌幅。</w:t>
      </w:r>
    </w:p>
    <w:p w:rsidR="003F09F9" w:rsidRDefault="00C80452">
      <w:pPr>
        <w:spacing w:before="29" w:line="288" w:lineRule="auto"/>
        <w:ind w:firstLineChars="200" w:firstLine="480"/>
        <w:rPr>
          <w:color w:val="000000"/>
          <w:sz w:val="24"/>
        </w:rPr>
      </w:pPr>
      <w:r>
        <w:rPr>
          <w:color w:val="000000"/>
          <w:sz w:val="24"/>
        </w:rPr>
        <w:t>我们认为，前期权益市场估值偏高，经济环比回落，叠加中美贸易不确定性的加强，债券市场存在结构性配置价值。在组合操作中，我们主要以中性久期高等级信用品种作为底仓配置品种。权益方面，积极关注新股发行动态，进行权益一级市场投资，同时也关注二级市场的投资机会，五月适当增配盈利较为稳定，估值接近历史底部的权益持仓，以期增厚组合收益。</w:t>
      </w:r>
    </w:p>
    <w:p w:rsidR="00952A72" w:rsidRPr="007F52FA" w:rsidRDefault="00323F25" w:rsidP="007C14DF">
      <w:pPr>
        <w:spacing w:before="29" w:line="288" w:lineRule="auto"/>
        <w:ind w:firstLineChars="200" w:firstLine="480"/>
        <w:rPr>
          <w:color w:val="000000"/>
          <w:sz w:val="24"/>
        </w:rPr>
      </w:pPr>
      <w:r w:rsidRPr="007F52FA">
        <w:rPr>
          <w:color w:val="000000"/>
          <w:sz w:val="24"/>
        </w:rPr>
        <w:t>展望</w:t>
      </w:r>
      <w:r w:rsidRPr="007F52FA">
        <w:rPr>
          <w:color w:val="000000"/>
          <w:sz w:val="24"/>
        </w:rPr>
        <w:t>2019</w:t>
      </w:r>
      <w:r w:rsidRPr="007F52FA">
        <w:rPr>
          <w:color w:val="000000"/>
          <w:sz w:val="24"/>
        </w:rPr>
        <w:t>年三季度，从高频数据看，我们认为经济基本面面临下行压力，因此对于债券市场我们维持中性偏乐观的看法，债市收益率的上行风险来自于中美关系进展好于预期，以及货币政策放松幅度不及预期。组合方面，我们计划底仓主要增配中短久期高等级信用品种，长端利率择机做波段操作。权益方面，我们将继续积极关注权益市场一级投资机会，同时密切跟踪个股业绩和行业景气变化，通过行业轮动及个股精选，力求控制组合回撤，努力为投资人取得稳定业绩回报。</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本基金（各类）份额净值及业绩表现请见</w:t>
      </w:r>
      <w:r w:rsidRPr="007F52FA">
        <w:rPr>
          <w:color w:val="000000"/>
          <w:sz w:val="24"/>
        </w:rPr>
        <w:t xml:space="preserve">“3.1 </w:t>
      </w:r>
      <w:r w:rsidRPr="007F52FA">
        <w:rPr>
          <w:color w:val="000000"/>
          <w:sz w:val="24"/>
        </w:rPr>
        <w:t>主要财务指标</w:t>
      </w:r>
      <w:r w:rsidRPr="007F52FA">
        <w:rPr>
          <w:color w:val="000000"/>
          <w:sz w:val="24"/>
        </w:rPr>
        <w:t xml:space="preserve">” </w:t>
      </w:r>
      <w:r w:rsidRPr="007F52FA">
        <w:rPr>
          <w:color w:val="000000"/>
          <w:sz w:val="24"/>
        </w:rPr>
        <w:t>及</w:t>
      </w:r>
      <w:r w:rsidRPr="007F52FA">
        <w:rPr>
          <w:color w:val="000000"/>
          <w:sz w:val="24"/>
        </w:rPr>
        <w:t>“3.2.1</w:t>
      </w:r>
      <w:r w:rsidRPr="007F52FA">
        <w:rPr>
          <w:color w:val="000000"/>
          <w:sz w:val="24"/>
        </w:rPr>
        <w:t>本报告期基金份额净值增长率及其与同期业绩比较基准收益率的比较</w:t>
      </w:r>
      <w:r w:rsidRPr="007F52FA">
        <w:rPr>
          <w:color w:val="000000"/>
          <w:sz w:val="24"/>
        </w:rPr>
        <w:t>”</w:t>
      </w:r>
      <w:r w:rsidRPr="007F52FA">
        <w:rPr>
          <w:color w:val="000000"/>
          <w:sz w:val="24"/>
        </w:rPr>
        <w:t>部分披露。</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C6127" w:rsidRDefault="009238DB" w:rsidP="000A2988">
      <w:pPr>
        <w:pStyle w:val="1"/>
        <w:spacing w:beforeLines="100" w:before="312" w:afterLines="100" w:after="312" w:line="288" w:lineRule="auto"/>
        <w:jc w:val="center"/>
        <w:rPr>
          <w:rFonts w:eastAsiaTheme="minorEastAsia"/>
          <w:color w:val="000000"/>
          <w:kern w:val="0"/>
          <w:sz w:val="24"/>
          <w:szCs w:val="24"/>
        </w:rPr>
      </w:pPr>
      <w:r w:rsidRPr="007C6127">
        <w:rPr>
          <w:rFonts w:eastAsiaTheme="minorEastAsia"/>
          <w:color w:val="000000"/>
          <w:kern w:val="0"/>
          <w:sz w:val="24"/>
          <w:szCs w:val="24"/>
        </w:rPr>
        <w:t xml:space="preserve">§5  </w:t>
      </w:r>
      <w:r w:rsidRPr="007C6127">
        <w:rPr>
          <w:rFonts w:eastAsiaTheme="minorEastAsia"/>
          <w:color w:val="000000"/>
          <w:kern w:val="0"/>
          <w:sz w:val="24"/>
          <w:szCs w:val="24"/>
        </w:rPr>
        <w:t>投资组合报告</w:t>
      </w:r>
    </w:p>
    <w:p w:rsidR="00C51B4E" w:rsidRDefault="00C51B4E" w:rsidP="00C51B4E">
      <w:pPr>
        <w:autoSpaceDE w:val="0"/>
        <w:autoSpaceDN w:val="0"/>
        <w:adjustRightInd w:val="0"/>
        <w:spacing w:line="360" w:lineRule="auto"/>
        <w:jc w:val="left"/>
        <w:rPr>
          <w:rFonts w:eastAsiaTheme="minorEastAsia"/>
          <w:b/>
          <w:color w:val="000000" w:themeColor="text1"/>
          <w:kern w:val="0"/>
          <w:sz w:val="24"/>
        </w:rPr>
      </w:pPr>
      <w:r w:rsidRPr="0028293E">
        <w:rPr>
          <w:rFonts w:eastAsiaTheme="minorEastAsia"/>
          <w:b/>
          <w:color w:val="000000" w:themeColor="text1"/>
          <w:kern w:val="0"/>
          <w:sz w:val="24"/>
        </w:rPr>
        <w:t xml:space="preserve">5.1 </w:t>
      </w:r>
      <w:r w:rsidRPr="0028293E">
        <w:rPr>
          <w:rFonts w:eastAsiaTheme="minorEastAsia"/>
          <w:b/>
          <w:color w:val="000000" w:themeColor="text1"/>
          <w:kern w:val="0"/>
          <w:sz w:val="24"/>
        </w:rPr>
        <w:t>报告期末基金资产组合情况</w:t>
      </w:r>
    </w:p>
    <w:p w:rsidR="00610880" w:rsidRPr="0028293E" w:rsidRDefault="001A5E45" w:rsidP="001A5E45">
      <w:pPr>
        <w:autoSpaceDE w:val="0"/>
        <w:autoSpaceDN w:val="0"/>
        <w:adjustRightInd w:val="0"/>
        <w:spacing w:line="360" w:lineRule="auto"/>
        <w:jc w:val="right"/>
        <w:rPr>
          <w:rFonts w:eastAsiaTheme="minorEastAsia"/>
          <w:b/>
          <w:color w:val="000000" w:themeColor="text1"/>
          <w:kern w:val="0"/>
          <w:sz w:val="24"/>
        </w:rPr>
      </w:pPr>
      <w:r w:rsidRPr="001A5E45">
        <w:rPr>
          <w:rFonts w:hint="eastAsia"/>
          <w:color w:val="000000"/>
          <w:kern w:val="0"/>
        </w:rPr>
        <w:t>金额单位：人民币元</w:t>
      </w:r>
    </w:p>
    <w:tbl>
      <w:tblPr>
        <w:tblStyle w:val="af6"/>
        <w:tblW w:w="8897" w:type="dxa"/>
        <w:tblInd w:w="108" w:type="dxa"/>
        <w:tblLayout w:type="fixed"/>
        <w:tblLook w:val="04A0" w:firstRow="1" w:lastRow="0" w:firstColumn="1" w:lastColumn="0" w:noHBand="0" w:noVBand="1"/>
      </w:tblPr>
      <w:tblGrid>
        <w:gridCol w:w="720"/>
        <w:gridCol w:w="2824"/>
        <w:gridCol w:w="2552"/>
        <w:gridCol w:w="2801"/>
      </w:tblGrid>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序号</w:t>
            </w:r>
          </w:p>
        </w:tc>
        <w:tc>
          <w:tcPr>
            <w:tcW w:w="2824"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项目</w:t>
            </w:r>
          </w:p>
        </w:tc>
        <w:tc>
          <w:tcPr>
            <w:tcW w:w="2552"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金额</w:t>
            </w:r>
          </w:p>
        </w:tc>
        <w:tc>
          <w:tcPr>
            <w:tcW w:w="2801"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占基金总资产的比例</w:t>
            </w:r>
            <w:r w:rsidR="005D2D89">
              <w:rPr>
                <w:rFonts w:eastAsiaTheme="minorEastAsia" w:hint="eastAsia"/>
                <w:color w:val="000000" w:themeColor="text1"/>
                <w:sz w:val="24"/>
              </w:rPr>
              <w:lastRenderedPageBreak/>
              <w:t>（</w:t>
            </w:r>
            <w:r w:rsidR="005D2D89">
              <w:rPr>
                <w:rFonts w:eastAsiaTheme="minorEastAsia" w:hint="eastAsia"/>
                <w:color w:val="000000" w:themeColor="text1"/>
                <w:sz w:val="24"/>
              </w:rPr>
              <w:t>%</w:t>
            </w:r>
            <w:r w:rsidR="005D2D89">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lastRenderedPageBreak/>
              <w:t>1</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权益投资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84,661,390.02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其中：股票</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84,661,390.02</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33.55</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2</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ascii="宋体" w:hAnsi="宋体" w:hint="eastAsia"/>
                <w:sz w:val="24"/>
              </w:rPr>
              <w:t>基金投资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hint="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3</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固定收益投资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146,688,718.00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其中：债券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146,688,718.00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58.13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8293E">
            <w:pPr>
              <w:autoSpaceDE w:val="0"/>
              <w:autoSpaceDN w:val="0"/>
              <w:adjustRightInd w:val="0"/>
              <w:spacing w:before="29" w:line="360" w:lineRule="auto"/>
              <w:ind w:left="17" w:firstLineChars="300" w:firstLine="720"/>
              <w:jc w:val="left"/>
              <w:rPr>
                <w:rFonts w:eastAsiaTheme="minorEastAsia"/>
                <w:color w:val="000000" w:themeColor="text1"/>
                <w:sz w:val="24"/>
              </w:rPr>
            </w:pPr>
            <w:r w:rsidRPr="0028293E">
              <w:rPr>
                <w:rFonts w:eastAsiaTheme="minorEastAsia"/>
                <w:color w:val="000000" w:themeColor="text1"/>
                <w:sz w:val="24"/>
              </w:rPr>
              <w:t>资产支持证券</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4</w:t>
            </w:r>
          </w:p>
        </w:tc>
        <w:tc>
          <w:tcPr>
            <w:tcW w:w="2824" w:type="dxa"/>
            <w:vAlign w:val="center"/>
          </w:tcPr>
          <w:p w:rsidR="00C51B4E" w:rsidRPr="0028293E" w:rsidRDefault="00C51B4E" w:rsidP="002D2971">
            <w:pPr>
              <w:spacing w:before="29" w:line="360" w:lineRule="auto"/>
              <w:ind w:leftChars="50" w:left="105"/>
              <w:rPr>
                <w:rFonts w:eastAsiaTheme="minorEastAsia"/>
                <w:color w:val="000000" w:themeColor="text1"/>
                <w:sz w:val="24"/>
              </w:rPr>
            </w:pPr>
            <w:r w:rsidRPr="0028293E">
              <w:rPr>
                <w:rFonts w:eastAsiaTheme="minorEastAsia"/>
                <w:color w:val="000000" w:themeColor="text1"/>
                <w:sz w:val="24"/>
              </w:rPr>
              <w:t>贵金属投资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5</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金融衍生品投资</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6</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15,700,000.00</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6.22</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其中：买断式回购的买入返售金融资产</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hint="eastAsia"/>
                <w:color w:val="000000" w:themeColor="text1"/>
                <w:sz w:val="24"/>
              </w:rPr>
              <w:t>7</w:t>
            </w:r>
          </w:p>
        </w:tc>
        <w:tc>
          <w:tcPr>
            <w:tcW w:w="2824" w:type="dxa"/>
            <w:vAlign w:val="center"/>
          </w:tcPr>
          <w:p w:rsidR="00C51B4E" w:rsidRPr="0028293E" w:rsidRDefault="00C51B4E" w:rsidP="002D2971">
            <w:pPr>
              <w:spacing w:before="29" w:line="360" w:lineRule="auto"/>
              <w:ind w:left="17"/>
              <w:jc w:val="left"/>
              <w:rPr>
                <w:rFonts w:eastAsiaTheme="minorEastAsia"/>
                <w:color w:val="000000" w:themeColor="text1"/>
                <w:sz w:val="24"/>
              </w:rPr>
            </w:pPr>
            <w:r w:rsidRPr="0028293E">
              <w:rPr>
                <w:rFonts w:eastAsiaTheme="minorEastAsia"/>
                <w:color w:val="000000" w:themeColor="text1"/>
                <w:sz w:val="24"/>
              </w:rPr>
              <w:t>银行存款和结算备付金合计</w:t>
            </w:r>
          </w:p>
        </w:tc>
        <w:tc>
          <w:tcPr>
            <w:tcW w:w="2552"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2,970,185.23</w:t>
            </w:r>
          </w:p>
        </w:tc>
        <w:tc>
          <w:tcPr>
            <w:tcW w:w="2801" w:type="dxa"/>
            <w:vAlign w:val="center"/>
          </w:tcPr>
          <w:p w:rsidR="00C51B4E" w:rsidRPr="0028293E" w:rsidRDefault="00C51B4E" w:rsidP="002D2971">
            <w:pPr>
              <w:spacing w:before="29" w:line="360" w:lineRule="auto"/>
              <w:ind w:left="17"/>
              <w:jc w:val="right"/>
              <w:rPr>
                <w:rFonts w:eastAsiaTheme="minorEastAsia"/>
                <w:color w:val="000000" w:themeColor="text1"/>
                <w:sz w:val="24"/>
              </w:rPr>
            </w:pPr>
            <w:r w:rsidRPr="0028293E">
              <w:rPr>
                <w:rFonts w:eastAsiaTheme="minorEastAsia"/>
                <w:color w:val="000000" w:themeColor="text1"/>
                <w:sz w:val="24"/>
              </w:rPr>
              <w:t>1.18</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8</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其他各项资产</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2,337,708.95</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0.93</w:t>
            </w:r>
          </w:p>
        </w:tc>
      </w:tr>
      <w:tr w:rsidR="00C51B4E" w:rsidRPr="0028293E" w:rsidTr="002D2971">
        <w:tc>
          <w:tcPr>
            <w:tcW w:w="720" w:type="dxa"/>
            <w:vAlign w:val="center"/>
          </w:tcPr>
          <w:p w:rsidR="00C51B4E" w:rsidRPr="0028293E" w:rsidRDefault="00C51B4E" w:rsidP="002D2971">
            <w:pPr>
              <w:spacing w:before="29" w:line="360" w:lineRule="auto"/>
              <w:ind w:left="17"/>
              <w:jc w:val="center"/>
              <w:rPr>
                <w:rFonts w:eastAsiaTheme="minorEastAsia"/>
                <w:color w:val="000000" w:themeColor="text1"/>
                <w:sz w:val="24"/>
              </w:rPr>
            </w:pPr>
            <w:r w:rsidRPr="0028293E">
              <w:rPr>
                <w:rFonts w:eastAsiaTheme="minorEastAsia"/>
                <w:color w:val="000000" w:themeColor="text1"/>
                <w:sz w:val="24"/>
              </w:rPr>
              <w:t>9</w:t>
            </w:r>
          </w:p>
        </w:tc>
        <w:tc>
          <w:tcPr>
            <w:tcW w:w="2824" w:type="dxa"/>
            <w:vAlign w:val="center"/>
          </w:tcPr>
          <w:p w:rsidR="00C51B4E" w:rsidRPr="0028293E" w:rsidRDefault="00C51B4E" w:rsidP="002D2971">
            <w:pPr>
              <w:spacing w:line="360" w:lineRule="auto"/>
              <w:rPr>
                <w:rFonts w:eastAsiaTheme="minorEastAsia"/>
                <w:color w:val="000000" w:themeColor="text1"/>
                <w:sz w:val="24"/>
              </w:rPr>
            </w:pPr>
            <w:r w:rsidRPr="0028293E">
              <w:rPr>
                <w:rFonts w:eastAsiaTheme="minorEastAsia"/>
                <w:color w:val="000000" w:themeColor="text1"/>
                <w:sz w:val="24"/>
              </w:rPr>
              <w:t>合计</w:t>
            </w:r>
          </w:p>
        </w:tc>
        <w:tc>
          <w:tcPr>
            <w:tcW w:w="2552"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252,358,002.20</w:t>
            </w:r>
          </w:p>
        </w:tc>
        <w:tc>
          <w:tcPr>
            <w:tcW w:w="2801" w:type="dxa"/>
            <w:vAlign w:val="center"/>
          </w:tcPr>
          <w:p w:rsidR="00C51B4E" w:rsidRPr="0028293E" w:rsidRDefault="00C51B4E" w:rsidP="002D2971">
            <w:pPr>
              <w:spacing w:line="360" w:lineRule="auto"/>
              <w:jc w:val="right"/>
              <w:rPr>
                <w:rFonts w:eastAsiaTheme="minorEastAsia"/>
                <w:color w:val="000000" w:themeColor="text1"/>
                <w:sz w:val="24"/>
              </w:rPr>
            </w:pPr>
            <w:r w:rsidRPr="0028293E">
              <w:rPr>
                <w:rFonts w:eastAsiaTheme="minorEastAsia"/>
                <w:color w:val="000000" w:themeColor="text1"/>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Default="001A5D39" w:rsidP="001A5D39">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5F69E7" w:rsidRPr="005F69E7" w:rsidRDefault="001A5E45" w:rsidP="001A5E45">
      <w:pPr>
        <w:jc w:val="right"/>
        <w:rPr>
          <w:sz w:val="24"/>
        </w:rPr>
      </w:pPr>
      <w:r w:rsidRPr="001A5E45">
        <w:rPr>
          <w:rFonts w:hint="eastAsia"/>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1A5E45" w:rsidP="007C14DF">
            <w:pPr>
              <w:adjustRightInd w:val="0"/>
              <w:snapToGrid w:val="0"/>
              <w:spacing w:before="29" w:line="288" w:lineRule="auto"/>
              <w:jc w:val="center"/>
              <w:rPr>
                <w:sz w:val="24"/>
              </w:rPr>
            </w:pPr>
            <w:r>
              <w:rPr>
                <w:sz w:val="24"/>
              </w:rPr>
              <w:t>公允价值</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22,509,700.00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8.94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836,600.00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0.33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6,702,400.00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2.66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lastRenderedPageBreak/>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41,702,214.02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16.56</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9,826,476.00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3.90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3,084,000.00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1.22</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84,661,390.02</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33.62</w:t>
            </w:r>
          </w:p>
        </w:tc>
      </w:tr>
    </w:tbl>
    <w:p w:rsidR="001A5D39" w:rsidRPr="008A409E" w:rsidRDefault="001A5D39" w:rsidP="001A5D39">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BE251D">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本基金本报告期末未持有通过港股通投资的股票。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F09F9">
        <w:trPr>
          <w:jc w:val="center"/>
        </w:trPr>
        <w:tc>
          <w:tcPr>
            <w:tcW w:w="850" w:type="dxa"/>
            <w:vAlign w:val="center"/>
          </w:tcPr>
          <w:p w:rsidR="003F09F9" w:rsidRDefault="00C80452">
            <w:pPr>
              <w:jc w:val="center"/>
            </w:pPr>
            <w:r>
              <w:rPr>
                <w:color w:val="000000"/>
                <w:sz w:val="24"/>
              </w:rPr>
              <w:t>1</w:t>
            </w:r>
          </w:p>
        </w:tc>
        <w:tc>
          <w:tcPr>
            <w:tcW w:w="1327" w:type="dxa"/>
            <w:vAlign w:val="center"/>
          </w:tcPr>
          <w:p w:rsidR="003F09F9" w:rsidRDefault="00C80452">
            <w:pPr>
              <w:jc w:val="center"/>
            </w:pPr>
            <w:r>
              <w:rPr>
                <w:color w:val="000000"/>
                <w:sz w:val="24"/>
              </w:rPr>
              <w:t>601398</w:t>
            </w:r>
          </w:p>
        </w:tc>
        <w:tc>
          <w:tcPr>
            <w:tcW w:w="1769" w:type="dxa"/>
            <w:vAlign w:val="center"/>
          </w:tcPr>
          <w:p w:rsidR="003F09F9" w:rsidRDefault="00C80452">
            <w:pPr>
              <w:jc w:val="center"/>
            </w:pPr>
            <w:r>
              <w:rPr>
                <w:color w:val="000000"/>
                <w:sz w:val="24"/>
              </w:rPr>
              <w:t>工商银行</w:t>
            </w:r>
          </w:p>
        </w:tc>
        <w:tc>
          <w:tcPr>
            <w:tcW w:w="1327" w:type="dxa"/>
            <w:vAlign w:val="center"/>
          </w:tcPr>
          <w:p w:rsidR="003F09F9" w:rsidRDefault="00C80452">
            <w:pPr>
              <w:jc w:val="right"/>
            </w:pPr>
            <w:r>
              <w:rPr>
                <w:color w:val="000000"/>
                <w:sz w:val="24"/>
              </w:rPr>
              <w:t>3,000,000</w:t>
            </w:r>
          </w:p>
        </w:tc>
        <w:tc>
          <w:tcPr>
            <w:tcW w:w="1915" w:type="dxa"/>
            <w:vAlign w:val="center"/>
          </w:tcPr>
          <w:p w:rsidR="003F09F9" w:rsidRDefault="00C80452">
            <w:pPr>
              <w:jc w:val="right"/>
            </w:pPr>
            <w:r>
              <w:rPr>
                <w:color w:val="000000"/>
                <w:sz w:val="24"/>
              </w:rPr>
              <w:t>17,670,000.00</w:t>
            </w:r>
          </w:p>
        </w:tc>
        <w:tc>
          <w:tcPr>
            <w:tcW w:w="1680" w:type="dxa"/>
            <w:vAlign w:val="center"/>
          </w:tcPr>
          <w:p w:rsidR="003F09F9" w:rsidRDefault="00C80452">
            <w:pPr>
              <w:jc w:val="right"/>
            </w:pPr>
            <w:r>
              <w:rPr>
                <w:color w:val="000000"/>
                <w:sz w:val="24"/>
              </w:rPr>
              <w:t>7.02</w:t>
            </w:r>
          </w:p>
        </w:tc>
      </w:tr>
      <w:tr w:rsidR="003F09F9">
        <w:trPr>
          <w:jc w:val="center"/>
        </w:trPr>
        <w:tc>
          <w:tcPr>
            <w:tcW w:w="850" w:type="dxa"/>
            <w:vAlign w:val="center"/>
          </w:tcPr>
          <w:p w:rsidR="003F09F9" w:rsidRDefault="00C80452">
            <w:pPr>
              <w:jc w:val="center"/>
            </w:pPr>
            <w:r>
              <w:rPr>
                <w:color w:val="000000"/>
                <w:sz w:val="24"/>
              </w:rPr>
              <w:t>2</w:t>
            </w:r>
          </w:p>
        </w:tc>
        <w:tc>
          <w:tcPr>
            <w:tcW w:w="1327" w:type="dxa"/>
            <w:vAlign w:val="center"/>
          </w:tcPr>
          <w:p w:rsidR="003F09F9" w:rsidRDefault="00C80452">
            <w:pPr>
              <w:jc w:val="center"/>
            </w:pPr>
            <w:r>
              <w:rPr>
                <w:color w:val="000000"/>
                <w:sz w:val="24"/>
              </w:rPr>
              <w:t>601336</w:t>
            </w:r>
          </w:p>
        </w:tc>
        <w:tc>
          <w:tcPr>
            <w:tcW w:w="1769" w:type="dxa"/>
            <w:vAlign w:val="center"/>
          </w:tcPr>
          <w:p w:rsidR="003F09F9" w:rsidRDefault="00C80452">
            <w:pPr>
              <w:jc w:val="center"/>
            </w:pPr>
            <w:r>
              <w:rPr>
                <w:color w:val="000000"/>
                <w:sz w:val="24"/>
              </w:rPr>
              <w:t>新华保险</w:t>
            </w:r>
          </w:p>
        </w:tc>
        <w:tc>
          <w:tcPr>
            <w:tcW w:w="1327" w:type="dxa"/>
            <w:vAlign w:val="center"/>
          </w:tcPr>
          <w:p w:rsidR="003F09F9" w:rsidRDefault="00C80452">
            <w:pPr>
              <w:jc w:val="right"/>
            </w:pPr>
            <w:r>
              <w:rPr>
                <w:color w:val="000000"/>
                <w:sz w:val="24"/>
              </w:rPr>
              <w:t>182,513</w:t>
            </w:r>
          </w:p>
        </w:tc>
        <w:tc>
          <w:tcPr>
            <w:tcW w:w="1915" w:type="dxa"/>
            <w:vAlign w:val="center"/>
          </w:tcPr>
          <w:p w:rsidR="003F09F9" w:rsidRDefault="00C80452">
            <w:pPr>
              <w:jc w:val="right"/>
            </w:pPr>
            <w:r>
              <w:rPr>
                <w:color w:val="000000"/>
                <w:sz w:val="24"/>
              </w:rPr>
              <w:t>10,043,690.39</w:t>
            </w:r>
          </w:p>
        </w:tc>
        <w:tc>
          <w:tcPr>
            <w:tcW w:w="1680" w:type="dxa"/>
            <w:vAlign w:val="center"/>
          </w:tcPr>
          <w:p w:rsidR="003F09F9" w:rsidRDefault="00C80452">
            <w:pPr>
              <w:jc w:val="right"/>
            </w:pPr>
            <w:r>
              <w:rPr>
                <w:color w:val="000000"/>
                <w:sz w:val="24"/>
              </w:rPr>
              <w:t>3.99</w:t>
            </w:r>
          </w:p>
        </w:tc>
      </w:tr>
      <w:tr w:rsidR="003F09F9">
        <w:trPr>
          <w:jc w:val="center"/>
        </w:trPr>
        <w:tc>
          <w:tcPr>
            <w:tcW w:w="850" w:type="dxa"/>
            <w:vAlign w:val="center"/>
          </w:tcPr>
          <w:p w:rsidR="003F09F9" w:rsidRDefault="00C80452">
            <w:pPr>
              <w:jc w:val="center"/>
            </w:pPr>
            <w:r>
              <w:rPr>
                <w:color w:val="000000"/>
                <w:sz w:val="24"/>
              </w:rPr>
              <w:t>3</w:t>
            </w:r>
          </w:p>
        </w:tc>
        <w:tc>
          <w:tcPr>
            <w:tcW w:w="1327" w:type="dxa"/>
            <w:vAlign w:val="center"/>
          </w:tcPr>
          <w:p w:rsidR="003F09F9" w:rsidRDefault="00C80452">
            <w:pPr>
              <w:jc w:val="center"/>
            </w:pPr>
            <w:r>
              <w:rPr>
                <w:color w:val="000000"/>
                <w:sz w:val="24"/>
              </w:rPr>
              <w:t>601601</w:t>
            </w:r>
          </w:p>
        </w:tc>
        <w:tc>
          <w:tcPr>
            <w:tcW w:w="1769" w:type="dxa"/>
            <w:vAlign w:val="center"/>
          </w:tcPr>
          <w:p w:rsidR="003F09F9" w:rsidRDefault="00C80452">
            <w:pPr>
              <w:jc w:val="center"/>
            </w:pPr>
            <w:r>
              <w:rPr>
                <w:color w:val="000000"/>
                <w:sz w:val="24"/>
              </w:rPr>
              <w:t>中国太保</w:t>
            </w:r>
          </w:p>
        </w:tc>
        <w:tc>
          <w:tcPr>
            <w:tcW w:w="1327" w:type="dxa"/>
            <w:vAlign w:val="center"/>
          </w:tcPr>
          <w:p w:rsidR="003F09F9" w:rsidRDefault="00C80452">
            <w:pPr>
              <w:jc w:val="right"/>
            </w:pPr>
            <w:r>
              <w:rPr>
                <w:color w:val="000000"/>
                <w:sz w:val="24"/>
              </w:rPr>
              <w:t>269,913</w:t>
            </w:r>
          </w:p>
        </w:tc>
        <w:tc>
          <w:tcPr>
            <w:tcW w:w="1915" w:type="dxa"/>
            <w:vAlign w:val="center"/>
          </w:tcPr>
          <w:p w:rsidR="003F09F9" w:rsidRDefault="00C80452">
            <w:pPr>
              <w:jc w:val="right"/>
            </w:pPr>
            <w:r>
              <w:rPr>
                <w:color w:val="000000"/>
                <w:sz w:val="24"/>
              </w:rPr>
              <w:t>9,854,523.63</w:t>
            </w:r>
          </w:p>
        </w:tc>
        <w:tc>
          <w:tcPr>
            <w:tcW w:w="1680" w:type="dxa"/>
            <w:vAlign w:val="center"/>
          </w:tcPr>
          <w:p w:rsidR="003F09F9" w:rsidRDefault="00C80452">
            <w:pPr>
              <w:jc w:val="right"/>
            </w:pPr>
            <w:r>
              <w:rPr>
                <w:color w:val="000000"/>
                <w:sz w:val="24"/>
              </w:rPr>
              <w:t>3.91</w:t>
            </w:r>
          </w:p>
        </w:tc>
      </w:tr>
      <w:tr w:rsidR="003F09F9">
        <w:trPr>
          <w:jc w:val="center"/>
        </w:trPr>
        <w:tc>
          <w:tcPr>
            <w:tcW w:w="850" w:type="dxa"/>
            <w:vAlign w:val="center"/>
          </w:tcPr>
          <w:p w:rsidR="003F09F9" w:rsidRDefault="00C80452">
            <w:pPr>
              <w:jc w:val="center"/>
            </w:pPr>
            <w:r>
              <w:rPr>
                <w:color w:val="000000"/>
                <w:sz w:val="24"/>
              </w:rPr>
              <w:t>4</w:t>
            </w:r>
          </w:p>
        </w:tc>
        <w:tc>
          <w:tcPr>
            <w:tcW w:w="1327" w:type="dxa"/>
            <w:vAlign w:val="center"/>
          </w:tcPr>
          <w:p w:rsidR="003F09F9" w:rsidRDefault="00C80452">
            <w:pPr>
              <w:jc w:val="center"/>
            </w:pPr>
            <w:r>
              <w:rPr>
                <w:color w:val="000000"/>
                <w:sz w:val="24"/>
              </w:rPr>
              <w:t>600048</w:t>
            </w:r>
          </w:p>
        </w:tc>
        <w:tc>
          <w:tcPr>
            <w:tcW w:w="1769" w:type="dxa"/>
            <w:vAlign w:val="center"/>
          </w:tcPr>
          <w:p w:rsidR="003F09F9" w:rsidRDefault="00C80452">
            <w:pPr>
              <w:jc w:val="center"/>
            </w:pPr>
            <w:r>
              <w:rPr>
                <w:color w:val="000000"/>
                <w:sz w:val="24"/>
              </w:rPr>
              <w:t>保利地产</w:t>
            </w:r>
          </w:p>
        </w:tc>
        <w:tc>
          <w:tcPr>
            <w:tcW w:w="1327" w:type="dxa"/>
            <w:vAlign w:val="center"/>
          </w:tcPr>
          <w:p w:rsidR="003F09F9" w:rsidRDefault="00C80452">
            <w:pPr>
              <w:jc w:val="right"/>
            </w:pPr>
            <w:r>
              <w:rPr>
                <w:color w:val="000000"/>
                <w:sz w:val="24"/>
              </w:rPr>
              <w:t>770,100</w:t>
            </w:r>
          </w:p>
        </w:tc>
        <w:tc>
          <w:tcPr>
            <w:tcW w:w="1915" w:type="dxa"/>
            <w:vAlign w:val="center"/>
          </w:tcPr>
          <w:p w:rsidR="003F09F9" w:rsidRDefault="00C80452">
            <w:pPr>
              <w:jc w:val="right"/>
            </w:pPr>
            <w:r>
              <w:rPr>
                <w:color w:val="000000"/>
                <w:sz w:val="24"/>
              </w:rPr>
              <w:t>9,826,476.00</w:t>
            </w:r>
          </w:p>
        </w:tc>
        <w:tc>
          <w:tcPr>
            <w:tcW w:w="1680" w:type="dxa"/>
            <w:vAlign w:val="center"/>
          </w:tcPr>
          <w:p w:rsidR="003F09F9" w:rsidRDefault="00C80452">
            <w:pPr>
              <w:jc w:val="right"/>
            </w:pPr>
            <w:r>
              <w:rPr>
                <w:color w:val="000000"/>
                <w:sz w:val="24"/>
              </w:rPr>
              <w:t>3.90</w:t>
            </w:r>
          </w:p>
        </w:tc>
      </w:tr>
      <w:tr w:rsidR="003F09F9">
        <w:trPr>
          <w:jc w:val="center"/>
        </w:trPr>
        <w:tc>
          <w:tcPr>
            <w:tcW w:w="850" w:type="dxa"/>
            <w:vAlign w:val="center"/>
          </w:tcPr>
          <w:p w:rsidR="003F09F9" w:rsidRDefault="00C80452">
            <w:pPr>
              <w:jc w:val="center"/>
            </w:pPr>
            <w:r>
              <w:rPr>
                <w:color w:val="000000"/>
                <w:sz w:val="24"/>
              </w:rPr>
              <w:t>5</w:t>
            </w:r>
          </w:p>
        </w:tc>
        <w:tc>
          <w:tcPr>
            <w:tcW w:w="1327" w:type="dxa"/>
            <w:vAlign w:val="center"/>
          </w:tcPr>
          <w:p w:rsidR="003F09F9" w:rsidRDefault="00C80452">
            <w:pPr>
              <w:jc w:val="center"/>
            </w:pPr>
            <w:r>
              <w:rPr>
                <w:color w:val="000000"/>
                <w:sz w:val="24"/>
              </w:rPr>
              <w:t>600104</w:t>
            </w:r>
          </w:p>
        </w:tc>
        <w:tc>
          <w:tcPr>
            <w:tcW w:w="1769" w:type="dxa"/>
            <w:vAlign w:val="center"/>
          </w:tcPr>
          <w:p w:rsidR="003F09F9" w:rsidRDefault="00C80452">
            <w:pPr>
              <w:jc w:val="center"/>
            </w:pPr>
            <w:r>
              <w:rPr>
                <w:color w:val="000000"/>
                <w:sz w:val="24"/>
              </w:rPr>
              <w:t>上汽集团</w:t>
            </w:r>
          </w:p>
        </w:tc>
        <w:tc>
          <w:tcPr>
            <w:tcW w:w="1327" w:type="dxa"/>
            <w:vAlign w:val="center"/>
          </w:tcPr>
          <w:p w:rsidR="003F09F9" w:rsidRDefault="00C80452">
            <w:pPr>
              <w:jc w:val="right"/>
            </w:pPr>
            <w:r>
              <w:rPr>
                <w:color w:val="000000"/>
                <w:sz w:val="24"/>
              </w:rPr>
              <w:t>359,400</w:t>
            </w:r>
          </w:p>
        </w:tc>
        <w:tc>
          <w:tcPr>
            <w:tcW w:w="1915" w:type="dxa"/>
            <w:vAlign w:val="center"/>
          </w:tcPr>
          <w:p w:rsidR="003F09F9" w:rsidRDefault="00C80452">
            <w:pPr>
              <w:jc w:val="right"/>
            </w:pPr>
            <w:r>
              <w:rPr>
                <w:color w:val="000000"/>
                <w:sz w:val="24"/>
              </w:rPr>
              <w:t>9,164,700.00</w:t>
            </w:r>
          </w:p>
        </w:tc>
        <w:tc>
          <w:tcPr>
            <w:tcW w:w="1680" w:type="dxa"/>
            <w:vAlign w:val="center"/>
          </w:tcPr>
          <w:p w:rsidR="003F09F9" w:rsidRDefault="00C80452">
            <w:pPr>
              <w:jc w:val="right"/>
            </w:pPr>
            <w:r>
              <w:rPr>
                <w:color w:val="000000"/>
                <w:sz w:val="24"/>
              </w:rPr>
              <w:t>3.64</w:t>
            </w:r>
          </w:p>
        </w:tc>
      </w:tr>
      <w:tr w:rsidR="003F09F9">
        <w:trPr>
          <w:jc w:val="center"/>
        </w:trPr>
        <w:tc>
          <w:tcPr>
            <w:tcW w:w="850" w:type="dxa"/>
            <w:vAlign w:val="center"/>
          </w:tcPr>
          <w:p w:rsidR="003F09F9" w:rsidRDefault="00C80452">
            <w:pPr>
              <w:jc w:val="center"/>
            </w:pPr>
            <w:r>
              <w:rPr>
                <w:color w:val="000000"/>
                <w:sz w:val="24"/>
              </w:rPr>
              <w:t>6</w:t>
            </w:r>
          </w:p>
        </w:tc>
        <w:tc>
          <w:tcPr>
            <w:tcW w:w="1327" w:type="dxa"/>
            <w:vAlign w:val="center"/>
          </w:tcPr>
          <w:p w:rsidR="003F09F9" w:rsidRDefault="00C80452">
            <w:pPr>
              <w:jc w:val="center"/>
            </w:pPr>
            <w:r>
              <w:rPr>
                <w:color w:val="000000"/>
                <w:sz w:val="24"/>
              </w:rPr>
              <w:t>600009</w:t>
            </w:r>
          </w:p>
        </w:tc>
        <w:tc>
          <w:tcPr>
            <w:tcW w:w="1769" w:type="dxa"/>
            <w:vAlign w:val="center"/>
          </w:tcPr>
          <w:p w:rsidR="003F09F9" w:rsidRDefault="00C80452">
            <w:pPr>
              <w:jc w:val="center"/>
            </w:pPr>
            <w:r>
              <w:rPr>
                <w:color w:val="000000"/>
                <w:sz w:val="24"/>
              </w:rPr>
              <w:t>上海机场</w:t>
            </w:r>
          </w:p>
        </w:tc>
        <w:tc>
          <w:tcPr>
            <w:tcW w:w="1327" w:type="dxa"/>
            <w:vAlign w:val="center"/>
          </w:tcPr>
          <w:p w:rsidR="003F09F9" w:rsidRDefault="00C80452">
            <w:pPr>
              <w:jc w:val="right"/>
            </w:pPr>
            <w:r>
              <w:rPr>
                <w:color w:val="000000"/>
                <w:sz w:val="24"/>
              </w:rPr>
              <w:t>80,000</w:t>
            </w:r>
          </w:p>
        </w:tc>
        <w:tc>
          <w:tcPr>
            <w:tcW w:w="1915" w:type="dxa"/>
            <w:vAlign w:val="center"/>
          </w:tcPr>
          <w:p w:rsidR="003F09F9" w:rsidRDefault="00C80452">
            <w:pPr>
              <w:jc w:val="right"/>
            </w:pPr>
            <w:r>
              <w:rPr>
                <w:color w:val="000000"/>
                <w:sz w:val="24"/>
              </w:rPr>
              <w:t>6,702,400.00</w:t>
            </w:r>
          </w:p>
        </w:tc>
        <w:tc>
          <w:tcPr>
            <w:tcW w:w="1680" w:type="dxa"/>
            <w:vAlign w:val="center"/>
          </w:tcPr>
          <w:p w:rsidR="003F09F9" w:rsidRDefault="00C80452">
            <w:pPr>
              <w:jc w:val="right"/>
            </w:pPr>
            <w:r>
              <w:rPr>
                <w:color w:val="000000"/>
                <w:sz w:val="24"/>
              </w:rPr>
              <w:t>2.66</w:t>
            </w:r>
          </w:p>
        </w:tc>
      </w:tr>
      <w:tr w:rsidR="003F09F9">
        <w:trPr>
          <w:jc w:val="center"/>
        </w:trPr>
        <w:tc>
          <w:tcPr>
            <w:tcW w:w="850" w:type="dxa"/>
            <w:vAlign w:val="center"/>
          </w:tcPr>
          <w:p w:rsidR="003F09F9" w:rsidRDefault="00C80452">
            <w:pPr>
              <w:jc w:val="center"/>
            </w:pPr>
            <w:r>
              <w:rPr>
                <w:color w:val="000000"/>
                <w:sz w:val="24"/>
              </w:rPr>
              <w:t>7</w:t>
            </w:r>
          </w:p>
        </w:tc>
        <w:tc>
          <w:tcPr>
            <w:tcW w:w="1327" w:type="dxa"/>
            <w:vAlign w:val="center"/>
          </w:tcPr>
          <w:p w:rsidR="003F09F9" w:rsidRDefault="00C80452">
            <w:pPr>
              <w:jc w:val="center"/>
            </w:pPr>
            <w:r>
              <w:rPr>
                <w:color w:val="000000"/>
                <w:sz w:val="24"/>
              </w:rPr>
              <w:t>002271</w:t>
            </w:r>
          </w:p>
        </w:tc>
        <w:tc>
          <w:tcPr>
            <w:tcW w:w="1769" w:type="dxa"/>
            <w:vAlign w:val="center"/>
          </w:tcPr>
          <w:p w:rsidR="003F09F9" w:rsidRDefault="00C80452">
            <w:pPr>
              <w:jc w:val="center"/>
            </w:pPr>
            <w:r>
              <w:rPr>
                <w:color w:val="000000"/>
                <w:sz w:val="24"/>
              </w:rPr>
              <w:t>东方雨虹</w:t>
            </w:r>
          </w:p>
        </w:tc>
        <w:tc>
          <w:tcPr>
            <w:tcW w:w="1327" w:type="dxa"/>
            <w:vAlign w:val="center"/>
          </w:tcPr>
          <w:p w:rsidR="003F09F9" w:rsidRDefault="00C80452">
            <w:pPr>
              <w:jc w:val="right"/>
            </w:pPr>
            <w:r>
              <w:rPr>
                <w:color w:val="000000"/>
                <w:sz w:val="24"/>
              </w:rPr>
              <w:t>200,000</w:t>
            </w:r>
          </w:p>
        </w:tc>
        <w:tc>
          <w:tcPr>
            <w:tcW w:w="1915" w:type="dxa"/>
            <w:vAlign w:val="center"/>
          </w:tcPr>
          <w:p w:rsidR="003F09F9" w:rsidRDefault="00C80452">
            <w:pPr>
              <w:jc w:val="right"/>
            </w:pPr>
            <w:r>
              <w:rPr>
                <w:color w:val="000000"/>
                <w:sz w:val="24"/>
              </w:rPr>
              <w:t>4,532,000.00</w:t>
            </w:r>
          </w:p>
        </w:tc>
        <w:tc>
          <w:tcPr>
            <w:tcW w:w="1680" w:type="dxa"/>
            <w:vAlign w:val="center"/>
          </w:tcPr>
          <w:p w:rsidR="003F09F9" w:rsidRDefault="00C80452">
            <w:pPr>
              <w:jc w:val="right"/>
            </w:pPr>
            <w:r>
              <w:rPr>
                <w:color w:val="000000"/>
                <w:sz w:val="24"/>
              </w:rPr>
              <w:t>1.80</w:t>
            </w:r>
          </w:p>
        </w:tc>
      </w:tr>
      <w:tr w:rsidR="003F09F9">
        <w:trPr>
          <w:jc w:val="center"/>
        </w:trPr>
        <w:tc>
          <w:tcPr>
            <w:tcW w:w="850" w:type="dxa"/>
            <w:vAlign w:val="center"/>
          </w:tcPr>
          <w:p w:rsidR="003F09F9" w:rsidRDefault="00C80452">
            <w:pPr>
              <w:jc w:val="center"/>
            </w:pPr>
            <w:r>
              <w:rPr>
                <w:color w:val="000000"/>
                <w:sz w:val="24"/>
              </w:rPr>
              <w:t>8</w:t>
            </w:r>
          </w:p>
        </w:tc>
        <w:tc>
          <w:tcPr>
            <w:tcW w:w="1327" w:type="dxa"/>
            <w:vAlign w:val="center"/>
          </w:tcPr>
          <w:p w:rsidR="003F09F9" w:rsidRDefault="00C80452">
            <w:pPr>
              <w:jc w:val="center"/>
            </w:pPr>
            <w:r>
              <w:rPr>
                <w:color w:val="000000"/>
                <w:sz w:val="24"/>
              </w:rPr>
              <w:t>600741</w:t>
            </w:r>
          </w:p>
        </w:tc>
        <w:tc>
          <w:tcPr>
            <w:tcW w:w="1769" w:type="dxa"/>
            <w:vAlign w:val="center"/>
          </w:tcPr>
          <w:p w:rsidR="003F09F9" w:rsidRDefault="00C80452">
            <w:pPr>
              <w:jc w:val="center"/>
            </w:pPr>
            <w:r>
              <w:rPr>
                <w:color w:val="000000"/>
                <w:sz w:val="24"/>
              </w:rPr>
              <w:t>华域汽车</w:t>
            </w:r>
          </w:p>
        </w:tc>
        <w:tc>
          <w:tcPr>
            <w:tcW w:w="1327" w:type="dxa"/>
            <w:vAlign w:val="center"/>
          </w:tcPr>
          <w:p w:rsidR="003F09F9" w:rsidRDefault="00C80452">
            <w:pPr>
              <w:jc w:val="right"/>
            </w:pPr>
            <w:r>
              <w:rPr>
                <w:color w:val="000000"/>
                <w:sz w:val="24"/>
              </w:rPr>
              <w:t>200,000</w:t>
            </w:r>
          </w:p>
        </w:tc>
        <w:tc>
          <w:tcPr>
            <w:tcW w:w="1915" w:type="dxa"/>
            <w:vAlign w:val="center"/>
          </w:tcPr>
          <w:p w:rsidR="003F09F9" w:rsidRDefault="00C80452">
            <w:pPr>
              <w:jc w:val="right"/>
            </w:pPr>
            <w:r>
              <w:rPr>
                <w:color w:val="000000"/>
                <w:sz w:val="24"/>
              </w:rPr>
              <w:t>4,320,000.00</w:t>
            </w:r>
          </w:p>
        </w:tc>
        <w:tc>
          <w:tcPr>
            <w:tcW w:w="1680" w:type="dxa"/>
            <w:vAlign w:val="center"/>
          </w:tcPr>
          <w:p w:rsidR="003F09F9" w:rsidRDefault="00C80452">
            <w:pPr>
              <w:jc w:val="right"/>
            </w:pPr>
            <w:r>
              <w:rPr>
                <w:color w:val="000000"/>
                <w:sz w:val="24"/>
              </w:rPr>
              <w:t>1.72</w:t>
            </w:r>
          </w:p>
        </w:tc>
      </w:tr>
      <w:tr w:rsidR="003F09F9">
        <w:trPr>
          <w:jc w:val="center"/>
        </w:trPr>
        <w:tc>
          <w:tcPr>
            <w:tcW w:w="850" w:type="dxa"/>
            <w:vAlign w:val="center"/>
          </w:tcPr>
          <w:p w:rsidR="003F09F9" w:rsidRDefault="00C80452">
            <w:pPr>
              <w:jc w:val="center"/>
            </w:pPr>
            <w:r>
              <w:rPr>
                <w:color w:val="000000"/>
                <w:sz w:val="24"/>
              </w:rPr>
              <w:t>9</w:t>
            </w:r>
          </w:p>
        </w:tc>
        <w:tc>
          <w:tcPr>
            <w:tcW w:w="1327" w:type="dxa"/>
            <w:vAlign w:val="center"/>
          </w:tcPr>
          <w:p w:rsidR="003F09F9" w:rsidRDefault="00C80452">
            <w:pPr>
              <w:jc w:val="center"/>
            </w:pPr>
            <w:r>
              <w:rPr>
                <w:color w:val="000000"/>
                <w:sz w:val="24"/>
              </w:rPr>
              <w:t>000001</w:t>
            </w:r>
          </w:p>
        </w:tc>
        <w:tc>
          <w:tcPr>
            <w:tcW w:w="1769" w:type="dxa"/>
            <w:vAlign w:val="center"/>
          </w:tcPr>
          <w:p w:rsidR="003F09F9" w:rsidRDefault="00C80452">
            <w:pPr>
              <w:jc w:val="center"/>
            </w:pPr>
            <w:r>
              <w:rPr>
                <w:color w:val="000000"/>
                <w:sz w:val="24"/>
              </w:rPr>
              <w:t>平安银行</w:t>
            </w:r>
          </w:p>
        </w:tc>
        <w:tc>
          <w:tcPr>
            <w:tcW w:w="1327" w:type="dxa"/>
            <w:vAlign w:val="center"/>
          </w:tcPr>
          <w:p w:rsidR="003F09F9" w:rsidRDefault="00C80452">
            <w:pPr>
              <w:jc w:val="right"/>
            </w:pPr>
            <w:r>
              <w:rPr>
                <w:color w:val="000000"/>
                <w:sz w:val="24"/>
              </w:rPr>
              <w:t>300,000</w:t>
            </w:r>
          </w:p>
        </w:tc>
        <w:tc>
          <w:tcPr>
            <w:tcW w:w="1915" w:type="dxa"/>
            <w:vAlign w:val="center"/>
          </w:tcPr>
          <w:p w:rsidR="003F09F9" w:rsidRDefault="00C80452">
            <w:pPr>
              <w:jc w:val="right"/>
            </w:pPr>
            <w:r>
              <w:rPr>
                <w:color w:val="000000"/>
                <w:sz w:val="24"/>
              </w:rPr>
              <w:t>4,134,000.00</w:t>
            </w:r>
          </w:p>
        </w:tc>
        <w:tc>
          <w:tcPr>
            <w:tcW w:w="1680" w:type="dxa"/>
            <w:vAlign w:val="center"/>
          </w:tcPr>
          <w:p w:rsidR="003F09F9" w:rsidRDefault="00C80452">
            <w:pPr>
              <w:jc w:val="right"/>
            </w:pPr>
            <w:r>
              <w:rPr>
                <w:color w:val="000000"/>
                <w:sz w:val="24"/>
              </w:rPr>
              <w:t>1.64</w:t>
            </w:r>
          </w:p>
        </w:tc>
      </w:tr>
      <w:tr w:rsidR="003F09F9">
        <w:trPr>
          <w:jc w:val="center"/>
        </w:trPr>
        <w:tc>
          <w:tcPr>
            <w:tcW w:w="850" w:type="dxa"/>
            <w:vAlign w:val="center"/>
          </w:tcPr>
          <w:p w:rsidR="003F09F9" w:rsidRDefault="00C80452">
            <w:pPr>
              <w:jc w:val="center"/>
            </w:pPr>
            <w:r>
              <w:rPr>
                <w:color w:val="000000"/>
                <w:sz w:val="24"/>
              </w:rPr>
              <w:t>10</w:t>
            </w:r>
          </w:p>
        </w:tc>
        <w:tc>
          <w:tcPr>
            <w:tcW w:w="1327" w:type="dxa"/>
            <w:vAlign w:val="center"/>
          </w:tcPr>
          <w:p w:rsidR="003F09F9" w:rsidRDefault="00C80452">
            <w:pPr>
              <w:jc w:val="center"/>
            </w:pPr>
            <w:r>
              <w:rPr>
                <w:color w:val="000000"/>
                <w:sz w:val="24"/>
              </w:rPr>
              <w:t>600887</w:t>
            </w:r>
          </w:p>
        </w:tc>
        <w:tc>
          <w:tcPr>
            <w:tcW w:w="1769" w:type="dxa"/>
            <w:vAlign w:val="center"/>
          </w:tcPr>
          <w:p w:rsidR="003F09F9" w:rsidRDefault="00C80452">
            <w:pPr>
              <w:jc w:val="center"/>
            </w:pPr>
            <w:r>
              <w:rPr>
                <w:color w:val="000000"/>
                <w:sz w:val="24"/>
              </w:rPr>
              <w:t>伊利股份</w:t>
            </w:r>
          </w:p>
        </w:tc>
        <w:tc>
          <w:tcPr>
            <w:tcW w:w="1327" w:type="dxa"/>
            <w:vAlign w:val="center"/>
          </w:tcPr>
          <w:p w:rsidR="003F09F9" w:rsidRDefault="00C80452">
            <w:pPr>
              <w:jc w:val="right"/>
            </w:pPr>
            <w:r>
              <w:rPr>
                <w:color w:val="000000"/>
                <w:sz w:val="24"/>
              </w:rPr>
              <w:t>100,000</w:t>
            </w:r>
          </w:p>
        </w:tc>
        <w:tc>
          <w:tcPr>
            <w:tcW w:w="1915" w:type="dxa"/>
            <w:vAlign w:val="center"/>
          </w:tcPr>
          <w:p w:rsidR="003F09F9" w:rsidRDefault="00C80452">
            <w:pPr>
              <w:jc w:val="right"/>
            </w:pPr>
            <w:r>
              <w:rPr>
                <w:color w:val="000000"/>
                <w:sz w:val="24"/>
              </w:rPr>
              <w:t>3,341,000.00</w:t>
            </w:r>
          </w:p>
        </w:tc>
        <w:tc>
          <w:tcPr>
            <w:tcW w:w="1680" w:type="dxa"/>
            <w:vAlign w:val="center"/>
          </w:tcPr>
          <w:p w:rsidR="003F09F9" w:rsidRDefault="00C80452">
            <w:pPr>
              <w:jc w:val="right"/>
            </w:pPr>
            <w:r>
              <w:rPr>
                <w:color w:val="000000"/>
                <w:sz w:val="24"/>
              </w:rPr>
              <w:t>1.33</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R="008220BF" w:rsidRPr="008220BF"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15,999,600.00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15,999,600.00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6.35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80,211,000.00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31.85</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40,560,000.00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16.11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125,118.00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0.05</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9,793,000.00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3.89</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146,688,718.00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58.25</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R="00D21CE9" w:rsidRPr="00D21CE9" w:rsidRDefault="001A5E45" w:rsidP="001A5E45">
      <w:pPr>
        <w:autoSpaceDE w:val="0"/>
        <w:autoSpaceDN w:val="0"/>
        <w:adjustRightInd w:val="0"/>
        <w:spacing w:before="29" w:line="288" w:lineRule="auto"/>
        <w:jc w:val="right"/>
        <w:rPr>
          <w:color w:val="000000"/>
          <w:kern w:val="0"/>
          <w:sz w:val="24"/>
        </w:rPr>
      </w:pPr>
      <w:r w:rsidRPr="001A5E45">
        <w:rPr>
          <w:rFonts w:hint="eastAsia"/>
          <w:color w:val="000000"/>
          <w:kern w:val="0"/>
          <w:sz w:val="24"/>
        </w:rPr>
        <w:t>金额单位：人民币元</w:t>
      </w:r>
    </w:p>
    <w:tbl>
      <w:tblPr>
        <w:tblStyle w:val="af6"/>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F09F9">
        <w:trPr>
          <w:jc w:val="center"/>
        </w:trPr>
        <w:tc>
          <w:tcPr>
            <w:tcW w:w="1075" w:type="dxa"/>
            <w:vAlign w:val="center"/>
          </w:tcPr>
          <w:p w:rsidR="003F09F9" w:rsidRDefault="00C80452">
            <w:pPr>
              <w:jc w:val="center"/>
            </w:pPr>
            <w:r>
              <w:rPr>
                <w:color w:val="000000"/>
                <w:sz w:val="24"/>
              </w:rPr>
              <w:t>1</w:t>
            </w:r>
          </w:p>
        </w:tc>
        <w:tc>
          <w:tcPr>
            <w:tcW w:w="1533" w:type="dxa"/>
            <w:vAlign w:val="center"/>
          </w:tcPr>
          <w:p w:rsidR="003F09F9" w:rsidRDefault="00C80452">
            <w:pPr>
              <w:jc w:val="center"/>
            </w:pPr>
            <w:r>
              <w:rPr>
                <w:color w:val="000000"/>
                <w:sz w:val="24"/>
              </w:rPr>
              <w:t>101551081</w:t>
            </w:r>
          </w:p>
        </w:tc>
        <w:tc>
          <w:tcPr>
            <w:tcW w:w="1533" w:type="dxa"/>
            <w:vAlign w:val="center"/>
          </w:tcPr>
          <w:p w:rsidR="003F09F9" w:rsidRDefault="00C80452">
            <w:pPr>
              <w:jc w:val="center"/>
            </w:pPr>
            <w:r>
              <w:rPr>
                <w:color w:val="000000"/>
                <w:sz w:val="24"/>
              </w:rPr>
              <w:t>15</w:t>
            </w:r>
            <w:r>
              <w:rPr>
                <w:color w:val="000000"/>
                <w:sz w:val="24"/>
              </w:rPr>
              <w:t>铁道</w:t>
            </w:r>
            <w:r>
              <w:rPr>
                <w:color w:val="000000"/>
                <w:sz w:val="24"/>
              </w:rPr>
              <w:t>MTN002</w:t>
            </w:r>
          </w:p>
        </w:tc>
        <w:tc>
          <w:tcPr>
            <w:tcW w:w="1394" w:type="dxa"/>
            <w:vAlign w:val="center"/>
          </w:tcPr>
          <w:p w:rsidR="003F09F9" w:rsidRDefault="00C80452">
            <w:pPr>
              <w:jc w:val="right"/>
            </w:pPr>
            <w:r>
              <w:rPr>
                <w:color w:val="000000"/>
                <w:sz w:val="24"/>
              </w:rPr>
              <w:t>200,000</w:t>
            </w:r>
          </w:p>
        </w:tc>
        <w:tc>
          <w:tcPr>
            <w:tcW w:w="1944" w:type="dxa"/>
            <w:vAlign w:val="center"/>
          </w:tcPr>
          <w:p w:rsidR="003F09F9" w:rsidRDefault="00C80452">
            <w:pPr>
              <w:jc w:val="right"/>
            </w:pPr>
            <w:r>
              <w:rPr>
                <w:color w:val="000000"/>
                <w:sz w:val="24"/>
              </w:rPr>
              <w:t>20,156,000.00</w:t>
            </w:r>
          </w:p>
        </w:tc>
        <w:tc>
          <w:tcPr>
            <w:tcW w:w="1389" w:type="dxa"/>
            <w:vAlign w:val="center"/>
          </w:tcPr>
          <w:p w:rsidR="003F09F9" w:rsidRDefault="00C80452">
            <w:pPr>
              <w:jc w:val="right"/>
            </w:pPr>
            <w:r>
              <w:rPr>
                <w:color w:val="000000"/>
                <w:sz w:val="24"/>
              </w:rPr>
              <w:t>8.00</w:t>
            </w:r>
          </w:p>
        </w:tc>
      </w:tr>
      <w:tr w:rsidR="003F09F9">
        <w:trPr>
          <w:jc w:val="center"/>
        </w:trPr>
        <w:tc>
          <w:tcPr>
            <w:tcW w:w="1075" w:type="dxa"/>
            <w:vAlign w:val="center"/>
          </w:tcPr>
          <w:p w:rsidR="003F09F9" w:rsidRDefault="00C80452">
            <w:pPr>
              <w:jc w:val="center"/>
            </w:pPr>
            <w:r>
              <w:rPr>
                <w:color w:val="000000"/>
                <w:sz w:val="24"/>
              </w:rPr>
              <w:t>2</w:t>
            </w:r>
          </w:p>
        </w:tc>
        <w:tc>
          <w:tcPr>
            <w:tcW w:w="1533" w:type="dxa"/>
            <w:vAlign w:val="center"/>
          </w:tcPr>
          <w:p w:rsidR="003F09F9" w:rsidRDefault="00C80452">
            <w:pPr>
              <w:jc w:val="center"/>
            </w:pPr>
            <w:r>
              <w:rPr>
                <w:color w:val="000000"/>
                <w:sz w:val="24"/>
              </w:rPr>
              <w:t>136253</w:t>
            </w:r>
          </w:p>
        </w:tc>
        <w:tc>
          <w:tcPr>
            <w:tcW w:w="1533" w:type="dxa"/>
            <w:vAlign w:val="center"/>
          </w:tcPr>
          <w:p w:rsidR="003F09F9" w:rsidRDefault="00C80452">
            <w:pPr>
              <w:jc w:val="center"/>
            </w:pPr>
            <w:r>
              <w:rPr>
                <w:color w:val="000000"/>
                <w:sz w:val="24"/>
              </w:rPr>
              <w:t>16</w:t>
            </w:r>
            <w:r>
              <w:rPr>
                <w:color w:val="000000"/>
                <w:sz w:val="24"/>
              </w:rPr>
              <w:t>中油</w:t>
            </w:r>
            <w:r>
              <w:rPr>
                <w:color w:val="000000"/>
                <w:sz w:val="24"/>
              </w:rPr>
              <w:t>03</w:t>
            </w:r>
          </w:p>
        </w:tc>
        <w:tc>
          <w:tcPr>
            <w:tcW w:w="1394" w:type="dxa"/>
            <w:vAlign w:val="center"/>
          </w:tcPr>
          <w:p w:rsidR="003F09F9" w:rsidRDefault="00C80452">
            <w:pPr>
              <w:jc w:val="right"/>
            </w:pPr>
            <w:r>
              <w:rPr>
                <w:color w:val="000000"/>
                <w:sz w:val="24"/>
              </w:rPr>
              <w:t>200,000</w:t>
            </w:r>
          </w:p>
        </w:tc>
        <w:tc>
          <w:tcPr>
            <w:tcW w:w="1944" w:type="dxa"/>
            <w:vAlign w:val="center"/>
          </w:tcPr>
          <w:p w:rsidR="003F09F9" w:rsidRDefault="00C80452">
            <w:pPr>
              <w:jc w:val="right"/>
            </w:pPr>
            <w:r>
              <w:rPr>
                <w:color w:val="000000"/>
                <w:sz w:val="24"/>
              </w:rPr>
              <w:t>19,922,000.00</w:t>
            </w:r>
          </w:p>
        </w:tc>
        <w:tc>
          <w:tcPr>
            <w:tcW w:w="1389" w:type="dxa"/>
            <w:vAlign w:val="center"/>
          </w:tcPr>
          <w:p w:rsidR="003F09F9" w:rsidRDefault="00C80452">
            <w:pPr>
              <w:jc w:val="right"/>
            </w:pPr>
            <w:r>
              <w:rPr>
                <w:color w:val="000000"/>
                <w:sz w:val="24"/>
              </w:rPr>
              <w:t>7.91</w:t>
            </w:r>
          </w:p>
        </w:tc>
      </w:tr>
      <w:tr w:rsidR="003F09F9">
        <w:trPr>
          <w:jc w:val="center"/>
        </w:trPr>
        <w:tc>
          <w:tcPr>
            <w:tcW w:w="1075" w:type="dxa"/>
            <w:vAlign w:val="center"/>
          </w:tcPr>
          <w:p w:rsidR="003F09F9" w:rsidRDefault="00C80452">
            <w:pPr>
              <w:jc w:val="center"/>
            </w:pPr>
            <w:r>
              <w:rPr>
                <w:color w:val="000000"/>
                <w:sz w:val="24"/>
              </w:rPr>
              <w:t>3</w:t>
            </w:r>
          </w:p>
        </w:tc>
        <w:tc>
          <w:tcPr>
            <w:tcW w:w="1533" w:type="dxa"/>
            <w:vAlign w:val="center"/>
          </w:tcPr>
          <w:p w:rsidR="003F09F9" w:rsidRDefault="00C80452">
            <w:pPr>
              <w:jc w:val="center"/>
            </w:pPr>
            <w:r>
              <w:rPr>
                <w:color w:val="000000"/>
                <w:sz w:val="24"/>
              </w:rPr>
              <w:t>136270</w:t>
            </w:r>
          </w:p>
        </w:tc>
        <w:tc>
          <w:tcPr>
            <w:tcW w:w="1533" w:type="dxa"/>
            <w:vAlign w:val="center"/>
          </w:tcPr>
          <w:p w:rsidR="003F09F9" w:rsidRDefault="00C80452">
            <w:pPr>
              <w:jc w:val="center"/>
            </w:pPr>
            <w:r>
              <w:rPr>
                <w:color w:val="000000"/>
                <w:sz w:val="24"/>
              </w:rPr>
              <w:t>16</w:t>
            </w:r>
            <w:r>
              <w:rPr>
                <w:color w:val="000000"/>
                <w:sz w:val="24"/>
              </w:rPr>
              <w:t>南网</w:t>
            </w:r>
            <w:r>
              <w:rPr>
                <w:color w:val="000000"/>
                <w:sz w:val="24"/>
              </w:rPr>
              <w:t>01</w:t>
            </w:r>
          </w:p>
        </w:tc>
        <w:tc>
          <w:tcPr>
            <w:tcW w:w="1394" w:type="dxa"/>
            <w:vAlign w:val="center"/>
          </w:tcPr>
          <w:p w:rsidR="003F09F9" w:rsidRDefault="00C80452">
            <w:pPr>
              <w:jc w:val="right"/>
            </w:pPr>
            <w:r>
              <w:rPr>
                <w:color w:val="000000"/>
                <w:sz w:val="24"/>
              </w:rPr>
              <w:t>200,000</w:t>
            </w:r>
          </w:p>
        </w:tc>
        <w:tc>
          <w:tcPr>
            <w:tcW w:w="1944" w:type="dxa"/>
            <w:vAlign w:val="center"/>
          </w:tcPr>
          <w:p w:rsidR="003F09F9" w:rsidRDefault="00C80452">
            <w:pPr>
              <w:jc w:val="right"/>
            </w:pPr>
            <w:r>
              <w:rPr>
                <w:color w:val="000000"/>
                <w:sz w:val="24"/>
              </w:rPr>
              <w:t>19,918,000.00</w:t>
            </w:r>
          </w:p>
        </w:tc>
        <w:tc>
          <w:tcPr>
            <w:tcW w:w="1389" w:type="dxa"/>
            <w:vAlign w:val="center"/>
          </w:tcPr>
          <w:p w:rsidR="003F09F9" w:rsidRDefault="00C80452">
            <w:pPr>
              <w:jc w:val="right"/>
            </w:pPr>
            <w:r>
              <w:rPr>
                <w:color w:val="000000"/>
                <w:sz w:val="24"/>
              </w:rPr>
              <w:t>7.91</w:t>
            </w:r>
          </w:p>
        </w:tc>
      </w:tr>
      <w:tr w:rsidR="003F09F9">
        <w:trPr>
          <w:jc w:val="center"/>
        </w:trPr>
        <w:tc>
          <w:tcPr>
            <w:tcW w:w="1075" w:type="dxa"/>
            <w:vAlign w:val="center"/>
          </w:tcPr>
          <w:p w:rsidR="003F09F9" w:rsidRDefault="00C80452">
            <w:pPr>
              <w:jc w:val="center"/>
            </w:pPr>
            <w:r>
              <w:rPr>
                <w:color w:val="000000"/>
                <w:sz w:val="24"/>
              </w:rPr>
              <w:t>4</w:t>
            </w:r>
          </w:p>
        </w:tc>
        <w:tc>
          <w:tcPr>
            <w:tcW w:w="1533" w:type="dxa"/>
            <w:vAlign w:val="center"/>
          </w:tcPr>
          <w:p w:rsidR="003F09F9" w:rsidRDefault="00C80452">
            <w:pPr>
              <w:jc w:val="center"/>
            </w:pPr>
            <w:r>
              <w:rPr>
                <w:color w:val="000000"/>
                <w:sz w:val="24"/>
              </w:rPr>
              <w:t>143662</w:t>
            </w:r>
          </w:p>
        </w:tc>
        <w:tc>
          <w:tcPr>
            <w:tcW w:w="1533" w:type="dxa"/>
            <w:vAlign w:val="center"/>
          </w:tcPr>
          <w:p w:rsidR="003F09F9" w:rsidRDefault="00C80452">
            <w:pPr>
              <w:jc w:val="center"/>
            </w:pPr>
            <w:r>
              <w:rPr>
                <w:color w:val="000000"/>
                <w:sz w:val="24"/>
              </w:rPr>
              <w:t>18</w:t>
            </w:r>
            <w:r>
              <w:rPr>
                <w:color w:val="000000"/>
                <w:sz w:val="24"/>
              </w:rPr>
              <w:t>国电</w:t>
            </w:r>
            <w:r>
              <w:rPr>
                <w:color w:val="000000"/>
                <w:sz w:val="24"/>
              </w:rPr>
              <w:t>02</w:t>
            </w:r>
          </w:p>
        </w:tc>
        <w:tc>
          <w:tcPr>
            <w:tcW w:w="1394" w:type="dxa"/>
            <w:vAlign w:val="center"/>
          </w:tcPr>
          <w:p w:rsidR="003F09F9" w:rsidRDefault="00C80452">
            <w:pPr>
              <w:jc w:val="right"/>
            </w:pPr>
            <w:r>
              <w:rPr>
                <w:color w:val="000000"/>
                <w:sz w:val="24"/>
              </w:rPr>
              <w:t>100,000</w:t>
            </w:r>
          </w:p>
        </w:tc>
        <w:tc>
          <w:tcPr>
            <w:tcW w:w="1944" w:type="dxa"/>
            <w:vAlign w:val="center"/>
          </w:tcPr>
          <w:p w:rsidR="003F09F9" w:rsidRDefault="00C80452">
            <w:pPr>
              <w:jc w:val="right"/>
            </w:pPr>
            <w:r>
              <w:rPr>
                <w:color w:val="000000"/>
                <w:sz w:val="24"/>
              </w:rPr>
              <w:t>10,231,000.00</w:t>
            </w:r>
          </w:p>
        </w:tc>
        <w:tc>
          <w:tcPr>
            <w:tcW w:w="1389" w:type="dxa"/>
            <w:vAlign w:val="center"/>
          </w:tcPr>
          <w:p w:rsidR="003F09F9" w:rsidRDefault="00C80452">
            <w:pPr>
              <w:jc w:val="right"/>
            </w:pPr>
            <w:r>
              <w:rPr>
                <w:color w:val="000000"/>
                <w:sz w:val="24"/>
              </w:rPr>
              <w:t>4.06</w:t>
            </w:r>
          </w:p>
        </w:tc>
      </w:tr>
      <w:tr w:rsidR="003F09F9">
        <w:trPr>
          <w:jc w:val="center"/>
        </w:trPr>
        <w:tc>
          <w:tcPr>
            <w:tcW w:w="1075" w:type="dxa"/>
            <w:vAlign w:val="center"/>
          </w:tcPr>
          <w:p w:rsidR="003F09F9" w:rsidRDefault="00C80452">
            <w:pPr>
              <w:jc w:val="center"/>
            </w:pPr>
            <w:r>
              <w:rPr>
                <w:color w:val="000000"/>
                <w:sz w:val="24"/>
              </w:rPr>
              <w:t>5</w:t>
            </w:r>
          </w:p>
        </w:tc>
        <w:tc>
          <w:tcPr>
            <w:tcW w:w="1533" w:type="dxa"/>
            <w:vAlign w:val="center"/>
          </w:tcPr>
          <w:p w:rsidR="003F09F9" w:rsidRDefault="00C80452">
            <w:pPr>
              <w:jc w:val="center"/>
            </w:pPr>
            <w:r>
              <w:rPr>
                <w:color w:val="000000"/>
                <w:sz w:val="24"/>
              </w:rPr>
              <w:t>101754076</w:t>
            </w:r>
          </w:p>
        </w:tc>
        <w:tc>
          <w:tcPr>
            <w:tcW w:w="1533" w:type="dxa"/>
            <w:vAlign w:val="center"/>
          </w:tcPr>
          <w:p w:rsidR="003F09F9" w:rsidRDefault="00C80452">
            <w:pPr>
              <w:jc w:val="center"/>
            </w:pPr>
            <w:r>
              <w:rPr>
                <w:color w:val="000000"/>
                <w:sz w:val="24"/>
              </w:rPr>
              <w:t>17</w:t>
            </w:r>
            <w:r>
              <w:rPr>
                <w:color w:val="000000"/>
                <w:sz w:val="24"/>
              </w:rPr>
              <w:t>赣高速</w:t>
            </w:r>
            <w:r>
              <w:rPr>
                <w:color w:val="000000"/>
                <w:sz w:val="24"/>
              </w:rPr>
              <w:t>MTN001</w:t>
            </w:r>
          </w:p>
        </w:tc>
        <w:tc>
          <w:tcPr>
            <w:tcW w:w="1394" w:type="dxa"/>
            <w:vAlign w:val="center"/>
          </w:tcPr>
          <w:p w:rsidR="003F09F9" w:rsidRDefault="00C80452">
            <w:pPr>
              <w:jc w:val="right"/>
            </w:pPr>
            <w:r>
              <w:rPr>
                <w:color w:val="000000"/>
                <w:sz w:val="24"/>
              </w:rPr>
              <w:t>100,000</w:t>
            </w:r>
          </w:p>
        </w:tc>
        <w:tc>
          <w:tcPr>
            <w:tcW w:w="1944" w:type="dxa"/>
            <w:vAlign w:val="center"/>
          </w:tcPr>
          <w:p w:rsidR="003F09F9" w:rsidRDefault="00C80452">
            <w:pPr>
              <w:jc w:val="right"/>
            </w:pPr>
            <w:r>
              <w:rPr>
                <w:color w:val="000000"/>
                <w:sz w:val="24"/>
              </w:rPr>
              <w:t>10,223,000.00</w:t>
            </w:r>
          </w:p>
        </w:tc>
        <w:tc>
          <w:tcPr>
            <w:tcW w:w="1389" w:type="dxa"/>
            <w:vAlign w:val="center"/>
          </w:tcPr>
          <w:p w:rsidR="003F09F9" w:rsidRDefault="00C80452">
            <w:pPr>
              <w:jc w:val="right"/>
            </w:pPr>
            <w:r>
              <w:rPr>
                <w:color w:val="000000"/>
                <w:sz w:val="24"/>
              </w:rPr>
              <w:t>4.06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lastRenderedPageBreak/>
        <w:t>5</w:t>
      </w:r>
      <w:r w:rsidR="009238DB" w:rsidRPr="007F52FA">
        <w:rPr>
          <w:b/>
          <w:color w:val="000000"/>
          <w:kern w:val="0"/>
          <w:sz w:val="24"/>
        </w:rPr>
        <w:t>.</w:t>
      </w:r>
      <w:r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6"/>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13,975.51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2,323,337.98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395.46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2,337,708.95</w:t>
            </w:r>
          </w:p>
        </w:tc>
      </w:tr>
    </w:tbl>
    <w:p w:rsidR="001D5CD0" w:rsidRPr="007F52FA" w:rsidRDefault="001D5CD0" w:rsidP="007C14DF">
      <w:pPr>
        <w:autoSpaceDE w:val="0"/>
        <w:autoSpaceDN w:val="0"/>
        <w:adjustRightInd w:val="0"/>
        <w:spacing w:before="29" w:line="288" w:lineRule="auto"/>
        <w:jc w:val="left"/>
        <w:rPr>
          <w:sz w:val="24"/>
        </w:rPr>
      </w:pPr>
    </w:p>
    <w:p w:rsidR="001D5CD0" w:rsidRDefault="001D5CD0" w:rsidP="007C14DF">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R="001D5CD0" w:rsidRPr="007F52FA" w:rsidRDefault="00605E72" w:rsidP="007C14DF">
      <w:pPr>
        <w:autoSpaceDE w:val="0"/>
        <w:autoSpaceDN w:val="0"/>
        <w:adjustRightInd w:val="0"/>
        <w:spacing w:before="29" w:line="288" w:lineRule="auto"/>
        <w:jc w:val="left"/>
        <w:rPr>
          <w:rFonts w:eastAsiaTheme="minorEastAsia"/>
          <w:sz w:val="24"/>
        </w:rPr>
      </w:pPr>
      <w:r w:rsidRPr="00605E72">
        <w:rPr>
          <w:rFonts w:eastAsiaTheme="minorEastAsia" w:hint="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R="009A0C32" w:rsidRDefault="009A0C32" w:rsidP="009A0C32">
      <w:pPr>
        <w:spacing w:before="29" w:line="288" w:lineRule="auto"/>
        <w:rPr>
          <w:kern w:val="0"/>
          <w:sz w:val="24"/>
        </w:rPr>
      </w:pPr>
      <w:r>
        <w:rPr>
          <w:kern w:val="0"/>
          <w:sz w:val="24"/>
        </w:rPr>
        <w:lastRenderedPageBreak/>
        <w:t>1</w:t>
      </w:r>
      <w:r>
        <w:rPr>
          <w:kern w:val="0"/>
          <w:sz w:val="24"/>
        </w:rPr>
        <w:t>、本基金本报告期末未持有处于交换期的可交换债券。</w:t>
      </w:r>
    </w:p>
    <w:p w:rsidR="009A0C32" w:rsidRPr="001B7979" w:rsidRDefault="009A0C32" w:rsidP="009A0C32">
      <w:pPr>
        <w:spacing w:before="29" w:line="288" w:lineRule="auto"/>
        <w:rPr>
          <w:kern w:val="0"/>
          <w:sz w:val="24"/>
        </w:rPr>
      </w:pPr>
      <w:r w:rsidRPr="001B7979">
        <w:rPr>
          <w:kern w:val="0"/>
          <w:sz w:val="24"/>
        </w:rPr>
        <w:t>2</w:t>
      </w:r>
      <w:r w:rsidRPr="001B7979">
        <w:rPr>
          <w:kern w:val="0"/>
          <w:sz w:val="24"/>
        </w:rPr>
        <w:t>、由于四舍五入的原因，分项之和与合计项之间可能存在尾差。</w:t>
      </w:r>
    </w:p>
    <w:p w:rsidR="00EB27DE" w:rsidRPr="009A0C32" w:rsidRDefault="00EB27DE" w:rsidP="007C14DF">
      <w:pPr>
        <w:spacing w:before="29" w:line="288" w:lineRule="auto"/>
        <w:rPr>
          <w:rFonts w:eastAsiaTheme="minorEastAsia"/>
          <w:color w:val="000000"/>
          <w:sz w:val="24"/>
        </w:rPr>
      </w:pPr>
      <w:bookmarkStart w:id="0" w:name="_GoBack"/>
      <w:bookmarkEnd w:id="0"/>
    </w:p>
    <w:p w:rsidR="009238DB" w:rsidRPr="007F52FA" w:rsidRDefault="00C51B4E" w:rsidP="000A2988">
      <w:pPr>
        <w:pStyle w:val="1"/>
        <w:spacing w:beforeLines="100" w:before="312" w:afterLines="100" w:after="312" w:line="288" w:lineRule="auto"/>
        <w:jc w:val="center"/>
        <w:rPr>
          <w:rFonts w:eastAsiaTheme="minorEastAsia"/>
          <w:color w:val="000000"/>
          <w:kern w:val="0"/>
          <w:sz w:val="24"/>
          <w:szCs w:val="24"/>
        </w:rPr>
      </w:pPr>
      <w:r w:rsidRPr="00C51B4E">
        <w:rPr>
          <w:rFonts w:eastAsiaTheme="minorEastAsia"/>
          <w:color w:val="000000" w:themeColor="text1"/>
          <w:kern w:val="0"/>
          <w:sz w:val="21"/>
          <w:szCs w:val="21"/>
        </w:rPr>
        <w:t>§6</w:t>
      </w:r>
      <w:r w:rsidRPr="00C51B4E">
        <w:rPr>
          <w:rFonts w:eastAsiaTheme="minorEastAsia" w:hint="eastAsia"/>
          <w:color w:val="000000" w:themeColor="text1"/>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交银周期回报灵活配置混合</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3,830,385.90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50,219,778.07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169,755,775.84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46,474,137.95</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958,264.59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50,170,068.03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172,627,897.15</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46,523,847.99</w:t>
            </w:r>
          </w:p>
        </w:tc>
      </w:tr>
    </w:tbl>
    <w:p w:rsidR="003F09F9" w:rsidRDefault="00C80452">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C51B4E" w:rsidP="000A2988">
      <w:pPr>
        <w:pStyle w:val="1"/>
        <w:tabs>
          <w:tab w:val="center" w:pos="4156"/>
          <w:tab w:val="right" w:pos="8312"/>
        </w:tabs>
        <w:spacing w:beforeLines="100" w:before="312" w:afterLines="100" w:after="312" w:line="288" w:lineRule="auto"/>
        <w:jc w:val="center"/>
        <w:rPr>
          <w:sz w:val="24"/>
          <w:szCs w:val="24"/>
        </w:rPr>
      </w:pPr>
      <w:r>
        <w:rPr>
          <w:color w:val="000000"/>
          <w:kern w:val="0"/>
          <w:sz w:val="24"/>
          <w:szCs w:val="24"/>
        </w:rPr>
        <w:t>§</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ED0E09" w:rsidRDefault="00ED0E09" w:rsidP="000A2988">
      <w:pPr>
        <w:pStyle w:val="1"/>
        <w:spacing w:beforeLines="100" w:before="312" w:afterLines="100" w:after="312" w:line="360" w:lineRule="auto"/>
        <w:jc w:val="center"/>
        <w:rPr>
          <w:rFonts w:eastAsiaTheme="minorEastAsia"/>
          <w:color w:val="000000" w:themeColor="text1"/>
          <w:kern w:val="0"/>
          <w:sz w:val="21"/>
          <w:szCs w:val="21"/>
        </w:rPr>
      </w:pPr>
      <w:r>
        <w:rPr>
          <w:rFonts w:eastAsiaTheme="minorEastAsia"/>
          <w:color w:val="000000" w:themeColor="text1"/>
          <w:kern w:val="0"/>
          <w:sz w:val="21"/>
          <w:szCs w:val="21"/>
        </w:rPr>
        <w:t xml:space="preserve">§8 </w:t>
      </w:r>
      <w:r w:rsidR="00F139D5">
        <w:rPr>
          <w:rFonts w:eastAsiaTheme="minorEastAsia"/>
          <w:color w:val="000000" w:themeColor="text1"/>
          <w:kern w:val="0"/>
          <w:sz w:val="21"/>
          <w:szCs w:val="21"/>
        </w:rPr>
        <w:t xml:space="preserve"> </w:t>
      </w:r>
      <w:r>
        <w:rPr>
          <w:rFonts w:eastAsiaTheme="minorEastAsia" w:hint="eastAsia"/>
          <w:color w:val="000000" w:themeColor="text1"/>
          <w:kern w:val="0"/>
          <w:sz w:val="21"/>
          <w:szCs w:val="21"/>
        </w:rPr>
        <w:t>影响投资者决策的其他重要信息</w:t>
      </w:r>
    </w:p>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ED0E09" w:rsidTr="00ED0E09">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w="993" w:type="dxa"/>
            <w:vMerge/>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3F09F9">
        <w:tc>
          <w:tcPr>
            <w:tcW w:w="992" w:type="dxa"/>
            <w:vMerge w:val="restart"/>
          </w:tcPr>
          <w:p w:rsidR="003F09F9" w:rsidRDefault="003F09F9"/>
          <w:p w:rsidR="003F09F9" w:rsidRDefault="00C80452">
            <w:r>
              <w:rPr>
                <w:rFonts w:ascii="宋体" w:hAnsi="宋体" w:hint="eastAsia"/>
                <w:bCs/>
                <w:color w:val="000000"/>
                <w:kern w:val="0"/>
                <w:szCs w:val="21"/>
              </w:rPr>
              <w:t>机构</w:t>
            </w:r>
          </w:p>
        </w:tc>
        <w:tc>
          <w:tcPr>
            <w:tcW w:w="991" w:type="dxa"/>
            <w:vAlign w:val="center"/>
          </w:tcPr>
          <w:p w:rsidR="003F09F9" w:rsidRDefault="00C80452">
            <w:pPr>
              <w:jc w:val="center"/>
            </w:pPr>
            <w:r>
              <w:rPr>
                <w:rFonts w:ascii="宋体" w:hAnsi="宋体" w:hint="eastAsia"/>
                <w:color w:val="000000"/>
                <w:kern w:val="0"/>
                <w:szCs w:val="21"/>
              </w:rPr>
              <w:t>1</w:t>
            </w:r>
          </w:p>
        </w:tc>
        <w:tc>
          <w:tcPr>
            <w:tcW w:w="1843" w:type="dxa"/>
            <w:vAlign w:val="center"/>
          </w:tcPr>
          <w:p w:rsidR="003F09F9" w:rsidRDefault="00C80452">
            <w:pPr>
              <w:jc w:val="center"/>
            </w:pPr>
            <w:r>
              <w:rPr>
                <w:rFonts w:ascii="宋体" w:hAnsi="宋体" w:hint="eastAsia"/>
                <w:color w:val="000000"/>
                <w:kern w:val="0"/>
                <w:szCs w:val="21"/>
              </w:rPr>
              <w:t>2019/4/1-2019/6/30</w:t>
            </w:r>
          </w:p>
        </w:tc>
        <w:tc>
          <w:tcPr>
            <w:tcW w:w="851" w:type="dxa"/>
            <w:vAlign w:val="center"/>
          </w:tcPr>
          <w:p w:rsidR="003F09F9" w:rsidRDefault="00C80452">
            <w:pPr>
              <w:jc w:val="center"/>
            </w:pPr>
            <w:r>
              <w:rPr>
                <w:rFonts w:ascii="宋体" w:hAnsi="宋体" w:hint="eastAsia"/>
                <w:color w:val="000000"/>
                <w:kern w:val="0"/>
                <w:szCs w:val="21"/>
              </w:rPr>
              <w:t>-</w:t>
            </w:r>
          </w:p>
        </w:tc>
        <w:tc>
          <w:tcPr>
            <w:tcW w:w="850" w:type="dxa"/>
            <w:vAlign w:val="center"/>
          </w:tcPr>
          <w:p w:rsidR="003F09F9" w:rsidRDefault="00C80452">
            <w:pPr>
              <w:jc w:val="center"/>
            </w:pPr>
            <w:r>
              <w:rPr>
                <w:rFonts w:ascii="宋体" w:hAnsi="宋体" w:hint="eastAsia"/>
                <w:color w:val="000000"/>
                <w:kern w:val="0"/>
                <w:szCs w:val="21"/>
              </w:rPr>
              <w:t>88,416,445.6</w:t>
            </w:r>
            <w:r>
              <w:rPr>
                <w:rFonts w:ascii="宋体" w:hAnsi="宋体" w:hint="eastAsia"/>
                <w:color w:val="000000"/>
                <w:kern w:val="0"/>
                <w:szCs w:val="21"/>
              </w:rPr>
              <w:lastRenderedPageBreak/>
              <w:t>2</w:t>
            </w:r>
          </w:p>
        </w:tc>
        <w:tc>
          <w:tcPr>
            <w:tcW w:w="1134" w:type="dxa"/>
            <w:vAlign w:val="center"/>
          </w:tcPr>
          <w:p w:rsidR="003F09F9" w:rsidRDefault="00C80452">
            <w:pPr>
              <w:jc w:val="center"/>
            </w:pPr>
            <w:r>
              <w:rPr>
                <w:rFonts w:ascii="宋体" w:hAnsi="宋体" w:hint="eastAsia"/>
                <w:color w:val="000000"/>
                <w:kern w:val="0"/>
                <w:szCs w:val="21"/>
              </w:rPr>
              <w:lastRenderedPageBreak/>
              <w:t>-</w:t>
            </w:r>
          </w:p>
        </w:tc>
        <w:tc>
          <w:tcPr>
            <w:tcW w:w="1419" w:type="dxa"/>
            <w:vAlign w:val="center"/>
          </w:tcPr>
          <w:p w:rsidR="003F09F9" w:rsidRDefault="00C80452">
            <w:pPr>
              <w:jc w:val="center"/>
            </w:pPr>
            <w:r>
              <w:rPr>
                <w:rFonts w:ascii="宋体" w:hAnsi="宋体" w:hint="eastAsia"/>
                <w:color w:val="000000"/>
                <w:kern w:val="0"/>
                <w:szCs w:val="21"/>
              </w:rPr>
              <w:t>88,416,445.62</w:t>
            </w:r>
          </w:p>
        </w:tc>
        <w:tc>
          <w:tcPr>
            <w:tcW w:w="1130" w:type="dxa"/>
            <w:vAlign w:val="center"/>
          </w:tcPr>
          <w:p w:rsidR="003F09F9" w:rsidRDefault="00C80452">
            <w:pPr>
              <w:jc w:val="center"/>
            </w:pPr>
            <w:r>
              <w:rPr>
                <w:rFonts w:ascii="宋体" w:hAnsi="宋体" w:hint="eastAsia"/>
                <w:color w:val="000000"/>
                <w:kern w:val="0"/>
                <w:szCs w:val="21"/>
              </w:rPr>
              <w:t>40.34%</w:t>
            </w:r>
          </w:p>
        </w:tc>
      </w:tr>
      <w:tr w:rsidR="003F09F9">
        <w:tc>
          <w:tcPr>
            <w:tcW w:w="992" w:type="dxa"/>
            <w:vMerge/>
          </w:tcPr>
          <w:p w:rsidR="003F09F9" w:rsidRDefault="003F09F9"/>
        </w:tc>
        <w:tc>
          <w:tcPr>
            <w:tcW w:w="991" w:type="dxa"/>
            <w:vAlign w:val="center"/>
          </w:tcPr>
          <w:p w:rsidR="003F09F9" w:rsidRDefault="00C80452">
            <w:pPr>
              <w:jc w:val="center"/>
            </w:pPr>
            <w:r>
              <w:rPr>
                <w:rFonts w:ascii="宋体" w:hAnsi="宋体" w:hint="eastAsia"/>
                <w:color w:val="000000"/>
                <w:kern w:val="0"/>
                <w:szCs w:val="21"/>
              </w:rPr>
              <w:t>2</w:t>
            </w:r>
          </w:p>
        </w:tc>
        <w:tc>
          <w:tcPr>
            <w:tcW w:w="1843" w:type="dxa"/>
            <w:vAlign w:val="center"/>
          </w:tcPr>
          <w:p w:rsidR="003F09F9" w:rsidRDefault="00C80452">
            <w:pPr>
              <w:jc w:val="center"/>
            </w:pPr>
            <w:r>
              <w:rPr>
                <w:rFonts w:ascii="宋体" w:hAnsi="宋体" w:hint="eastAsia"/>
                <w:color w:val="000000"/>
                <w:kern w:val="0"/>
                <w:szCs w:val="21"/>
              </w:rPr>
              <w:t>2019/4/1-2019/6/30</w:t>
            </w:r>
          </w:p>
        </w:tc>
        <w:tc>
          <w:tcPr>
            <w:tcW w:w="851" w:type="dxa"/>
            <w:vAlign w:val="center"/>
          </w:tcPr>
          <w:p w:rsidR="003F09F9" w:rsidRDefault="00C80452">
            <w:pPr>
              <w:jc w:val="center"/>
            </w:pPr>
            <w:r>
              <w:rPr>
                <w:rFonts w:ascii="宋体" w:hAnsi="宋体" w:hint="eastAsia"/>
                <w:color w:val="000000"/>
                <w:kern w:val="0"/>
                <w:szCs w:val="21"/>
              </w:rPr>
              <w:t>-</w:t>
            </w:r>
          </w:p>
        </w:tc>
        <w:tc>
          <w:tcPr>
            <w:tcW w:w="850" w:type="dxa"/>
            <w:vAlign w:val="center"/>
          </w:tcPr>
          <w:p w:rsidR="003F09F9" w:rsidRDefault="00C80452">
            <w:pPr>
              <w:jc w:val="center"/>
            </w:pPr>
            <w:r>
              <w:rPr>
                <w:rFonts w:ascii="宋体" w:hAnsi="宋体" w:hint="eastAsia"/>
                <w:color w:val="000000"/>
                <w:kern w:val="0"/>
                <w:szCs w:val="21"/>
              </w:rPr>
              <w:t>44,523,597.51</w:t>
            </w:r>
          </w:p>
        </w:tc>
        <w:tc>
          <w:tcPr>
            <w:tcW w:w="1134" w:type="dxa"/>
            <w:vAlign w:val="center"/>
          </w:tcPr>
          <w:p w:rsidR="003F09F9" w:rsidRDefault="00C80452">
            <w:pPr>
              <w:jc w:val="center"/>
            </w:pPr>
            <w:r>
              <w:rPr>
                <w:rFonts w:ascii="宋体" w:hAnsi="宋体" w:hint="eastAsia"/>
                <w:color w:val="000000"/>
                <w:kern w:val="0"/>
                <w:szCs w:val="21"/>
              </w:rPr>
              <w:t>-</w:t>
            </w:r>
          </w:p>
        </w:tc>
        <w:tc>
          <w:tcPr>
            <w:tcW w:w="1419" w:type="dxa"/>
            <w:vAlign w:val="center"/>
          </w:tcPr>
          <w:p w:rsidR="003F09F9" w:rsidRDefault="00C80452">
            <w:pPr>
              <w:jc w:val="center"/>
            </w:pPr>
            <w:r>
              <w:rPr>
                <w:rFonts w:ascii="宋体" w:hAnsi="宋体" w:hint="eastAsia"/>
                <w:color w:val="000000"/>
                <w:kern w:val="0"/>
                <w:szCs w:val="21"/>
              </w:rPr>
              <w:t>44,523,597.51</w:t>
            </w:r>
          </w:p>
        </w:tc>
        <w:tc>
          <w:tcPr>
            <w:tcW w:w="1130" w:type="dxa"/>
            <w:vAlign w:val="center"/>
          </w:tcPr>
          <w:p w:rsidR="003F09F9" w:rsidRDefault="00C80452">
            <w:pPr>
              <w:jc w:val="center"/>
            </w:pPr>
            <w:r>
              <w:rPr>
                <w:rFonts w:ascii="宋体" w:hAnsi="宋体" w:hint="eastAsia"/>
                <w:color w:val="000000"/>
                <w:kern w:val="0"/>
                <w:szCs w:val="21"/>
              </w:rPr>
              <w:t>20.32%</w:t>
            </w:r>
          </w:p>
        </w:tc>
      </w:tr>
      <w:tr w:rsidR="003F09F9">
        <w:tc>
          <w:tcPr>
            <w:tcW w:w="992" w:type="dxa"/>
            <w:vMerge/>
          </w:tcPr>
          <w:p w:rsidR="003F09F9" w:rsidRDefault="003F09F9"/>
        </w:tc>
        <w:tc>
          <w:tcPr>
            <w:tcW w:w="991" w:type="dxa"/>
            <w:vAlign w:val="center"/>
          </w:tcPr>
          <w:p w:rsidR="003F09F9" w:rsidRDefault="00C80452">
            <w:pPr>
              <w:jc w:val="center"/>
            </w:pPr>
            <w:r>
              <w:rPr>
                <w:rFonts w:ascii="宋体" w:hAnsi="宋体" w:hint="eastAsia"/>
                <w:color w:val="000000"/>
                <w:kern w:val="0"/>
                <w:szCs w:val="21"/>
              </w:rPr>
              <w:t>3</w:t>
            </w:r>
          </w:p>
        </w:tc>
        <w:tc>
          <w:tcPr>
            <w:tcW w:w="1843" w:type="dxa"/>
            <w:vAlign w:val="center"/>
          </w:tcPr>
          <w:p w:rsidR="003F09F9" w:rsidRDefault="00C80452">
            <w:pPr>
              <w:jc w:val="center"/>
            </w:pPr>
            <w:r>
              <w:rPr>
                <w:rFonts w:ascii="宋体" w:hAnsi="宋体" w:hint="eastAsia"/>
                <w:color w:val="000000"/>
                <w:kern w:val="0"/>
                <w:szCs w:val="21"/>
              </w:rPr>
              <w:t>2019/4/1-2019/6/30</w:t>
            </w:r>
          </w:p>
        </w:tc>
        <w:tc>
          <w:tcPr>
            <w:tcW w:w="851" w:type="dxa"/>
            <w:vAlign w:val="center"/>
          </w:tcPr>
          <w:p w:rsidR="003F09F9" w:rsidRDefault="00C80452">
            <w:pPr>
              <w:jc w:val="center"/>
            </w:pPr>
            <w:r>
              <w:rPr>
                <w:rFonts w:ascii="宋体" w:hAnsi="宋体" w:hint="eastAsia"/>
                <w:color w:val="000000"/>
                <w:kern w:val="0"/>
                <w:szCs w:val="21"/>
              </w:rPr>
              <w:t>-</w:t>
            </w:r>
          </w:p>
        </w:tc>
        <w:tc>
          <w:tcPr>
            <w:tcW w:w="850" w:type="dxa"/>
            <w:vAlign w:val="center"/>
          </w:tcPr>
          <w:p w:rsidR="003F09F9" w:rsidRDefault="00C80452">
            <w:pPr>
              <w:jc w:val="center"/>
            </w:pPr>
            <w:r>
              <w:rPr>
                <w:rFonts w:ascii="宋体" w:hAnsi="宋体" w:hint="eastAsia"/>
                <w:color w:val="000000"/>
                <w:kern w:val="0"/>
                <w:szCs w:val="21"/>
              </w:rPr>
              <w:t>79,574,712.64</w:t>
            </w:r>
          </w:p>
        </w:tc>
        <w:tc>
          <w:tcPr>
            <w:tcW w:w="1134" w:type="dxa"/>
            <w:vAlign w:val="center"/>
          </w:tcPr>
          <w:p w:rsidR="003F09F9" w:rsidRDefault="00C80452">
            <w:pPr>
              <w:jc w:val="center"/>
            </w:pPr>
            <w:r>
              <w:rPr>
                <w:rFonts w:ascii="宋体" w:hAnsi="宋体" w:hint="eastAsia"/>
                <w:color w:val="000000"/>
                <w:kern w:val="0"/>
                <w:szCs w:val="21"/>
              </w:rPr>
              <w:t>-</w:t>
            </w:r>
          </w:p>
        </w:tc>
        <w:tc>
          <w:tcPr>
            <w:tcW w:w="1419" w:type="dxa"/>
            <w:vAlign w:val="center"/>
          </w:tcPr>
          <w:p w:rsidR="003F09F9" w:rsidRDefault="00C80452">
            <w:pPr>
              <w:jc w:val="center"/>
            </w:pPr>
            <w:r>
              <w:rPr>
                <w:rFonts w:ascii="宋体" w:hAnsi="宋体" w:hint="eastAsia"/>
                <w:color w:val="000000"/>
                <w:kern w:val="0"/>
                <w:szCs w:val="21"/>
              </w:rPr>
              <w:t>79,574,712.64</w:t>
            </w:r>
          </w:p>
        </w:tc>
        <w:tc>
          <w:tcPr>
            <w:tcW w:w="1130" w:type="dxa"/>
            <w:vAlign w:val="center"/>
          </w:tcPr>
          <w:p w:rsidR="003F09F9" w:rsidRDefault="00C80452">
            <w:pPr>
              <w:jc w:val="center"/>
            </w:pPr>
            <w:r>
              <w:rPr>
                <w:rFonts w:ascii="宋体" w:hAnsi="宋体" w:hint="eastAsia"/>
                <w:color w:val="000000"/>
                <w:kern w:val="0"/>
                <w:szCs w:val="21"/>
              </w:rPr>
              <w:t>36.31%</w:t>
            </w:r>
          </w:p>
        </w:tc>
      </w:tr>
      <w:tr w:rsidR="003F09F9">
        <w:tc>
          <w:tcPr>
            <w:tcW w:w="992" w:type="dxa"/>
            <w:vMerge/>
          </w:tcPr>
          <w:p w:rsidR="003F09F9" w:rsidRDefault="003F09F9"/>
        </w:tc>
        <w:tc>
          <w:tcPr>
            <w:tcW w:w="991" w:type="dxa"/>
            <w:vAlign w:val="center"/>
          </w:tcPr>
          <w:p w:rsidR="003F09F9" w:rsidRDefault="00C80452">
            <w:pPr>
              <w:jc w:val="center"/>
            </w:pPr>
            <w:r>
              <w:rPr>
                <w:rFonts w:ascii="宋体" w:hAnsi="宋体" w:hint="eastAsia"/>
                <w:color w:val="000000"/>
                <w:kern w:val="0"/>
                <w:szCs w:val="21"/>
              </w:rPr>
              <w:t>4</w:t>
            </w:r>
          </w:p>
        </w:tc>
        <w:tc>
          <w:tcPr>
            <w:tcW w:w="1843" w:type="dxa"/>
            <w:vAlign w:val="center"/>
          </w:tcPr>
          <w:p w:rsidR="003F09F9" w:rsidRDefault="00C80452">
            <w:pPr>
              <w:jc w:val="center"/>
            </w:pPr>
            <w:r>
              <w:rPr>
                <w:rFonts w:ascii="宋体" w:hAnsi="宋体" w:hint="eastAsia"/>
                <w:color w:val="000000"/>
                <w:kern w:val="0"/>
                <w:szCs w:val="21"/>
              </w:rPr>
              <w:t>2019/4/1-2019/6/30</w:t>
            </w:r>
          </w:p>
        </w:tc>
        <w:tc>
          <w:tcPr>
            <w:tcW w:w="851" w:type="dxa"/>
            <w:vAlign w:val="center"/>
          </w:tcPr>
          <w:p w:rsidR="003F09F9" w:rsidRDefault="00C80452">
            <w:pPr>
              <w:jc w:val="center"/>
            </w:pPr>
            <w:r>
              <w:rPr>
                <w:rFonts w:ascii="宋体" w:hAnsi="宋体" w:hint="eastAsia"/>
                <w:color w:val="000000"/>
                <w:kern w:val="0"/>
                <w:szCs w:val="21"/>
              </w:rPr>
              <w:t>25,510,204.08</w:t>
            </w:r>
          </w:p>
        </w:tc>
        <w:tc>
          <w:tcPr>
            <w:tcW w:w="850" w:type="dxa"/>
            <w:vAlign w:val="center"/>
          </w:tcPr>
          <w:p w:rsidR="003F09F9" w:rsidRDefault="00C80452">
            <w:pPr>
              <w:jc w:val="center"/>
            </w:pPr>
            <w:r>
              <w:rPr>
                <w:rFonts w:ascii="宋体" w:hAnsi="宋体" w:hint="eastAsia"/>
                <w:color w:val="000000"/>
                <w:kern w:val="0"/>
                <w:szCs w:val="21"/>
              </w:rPr>
              <w:t>-</w:t>
            </w:r>
          </w:p>
        </w:tc>
        <w:tc>
          <w:tcPr>
            <w:tcW w:w="1134" w:type="dxa"/>
            <w:vAlign w:val="center"/>
          </w:tcPr>
          <w:p w:rsidR="003F09F9" w:rsidRDefault="00C80452">
            <w:pPr>
              <w:jc w:val="center"/>
            </w:pPr>
            <w:r>
              <w:rPr>
                <w:rFonts w:ascii="宋体" w:hAnsi="宋体" w:hint="eastAsia"/>
                <w:color w:val="000000"/>
                <w:kern w:val="0"/>
                <w:szCs w:val="21"/>
              </w:rPr>
              <w:t>25,510,204.08</w:t>
            </w:r>
          </w:p>
        </w:tc>
        <w:tc>
          <w:tcPr>
            <w:tcW w:w="1419" w:type="dxa"/>
            <w:vAlign w:val="center"/>
          </w:tcPr>
          <w:p w:rsidR="003F09F9" w:rsidRDefault="00C80452">
            <w:pPr>
              <w:jc w:val="center"/>
            </w:pPr>
            <w:r>
              <w:rPr>
                <w:rFonts w:ascii="宋体" w:hAnsi="宋体" w:hint="eastAsia"/>
                <w:color w:val="000000"/>
                <w:kern w:val="0"/>
                <w:szCs w:val="21"/>
              </w:rPr>
              <w:t>-</w:t>
            </w:r>
          </w:p>
        </w:tc>
        <w:tc>
          <w:tcPr>
            <w:tcW w:w="1130" w:type="dxa"/>
            <w:vAlign w:val="center"/>
          </w:tcPr>
          <w:p w:rsidR="003F09F9" w:rsidRDefault="00C80452">
            <w:pPr>
              <w:jc w:val="center"/>
            </w:pPr>
            <w:r>
              <w:rPr>
                <w:rFonts w:ascii="宋体" w:hAnsi="宋体" w:hint="eastAsia"/>
                <w:color w:val="000000"/>
                <w:kern w:val="0"/>
                <w:szCs w:val="21"/>
              </w:rPr>
              <w:t>-</w:t>
            </w:r>
          </w:p>
        </w:tc>
      </w:tr>
      <w:tr w:rsidR="003F09F9">
        <w:tc>
          <w:tcPr>
            <w:tcW w:w="992" w:type="dxa"/>
            <w:vMerge/>
          </w:tcPr>
          <w:p w:rsidR="003F09F9" w:rsidRDefault="003F09F9"/>
        </w:tc>
        <w:tc>
          <w:tcPr>
            <w:tcW w:w="991" w:type="dxa"/>
            <w:vAlign w:val="center"/>
          </w:tcPr>
          <w:p w:rsidR="003F09F9" w:rsidRDefault="00C80452">
            <w:pPr>
              <w:jc w:val="center"/>
            </w:pPr>
            <w:r>
              <w:rPr>
                <w:rFonts w:ascii="宋体" w:hAnsi="宋体" w:hint="eastAsia"/>
                <w:color w:val="000000"/>
                <w:kern w:val="0"/>
                <w:szCs w:val="21"/>
              </w:rPr>
              <w:t>5</w:t>
            </w:r>
          </w:p>
        </w:tc>
        <w:tc>
          <w:tcPr>
            <w:tcW w:w="1843" w:type="dxa"/>
            <w:vAlign w:val="center"/>
          </w:tcPr>
          <w:p w:rsidR="003F09F9" w:rsidRDefault="00C80452">
            <w:pPr>
              <w:jc w:val="center"/>
            </w:pPr>
            <w:r>
              <w:rPr>
                <w:rFonts w:ascii="宋体" w:hAnsi="宋体" w:hint="eastAsia"/>
                <w:color w:val="000000"/>
                <w:kern w:val="0"/>
                <w:szCs w:val="21"/>
              </w:rPr>
              <w:t>2019/4/1-2019/6/30</w:t>
            </w:r>
          </w:p>
        </w:tc>
        <w:tc>
          <w:tcPr>
            <w:tcW w:w="851" w:type="dxa"/>
            <w:vAlign w:val="center"/>
          </w:tcPr>
          <w:p w:rsidR="003F09F9" w:rsidRDefault="00C80452">
            <w:pPr>
              <w:jc w:val="center"/>
            </w:pPr>
            <w:r>
              <w:rPr>
                <w:rFonts w:ascii="宋体" w:hAnsi="宋体" w:hint="eastAsia"/>
                <w:color w:val="000000"/>
                <w:kern w:val="0"/>
                <w:szCs w:val="21"/>
              </w:rPr>
              <w:t>24,659,863.95</w:t>
            </w:r>
          </w:p>
        </w:tc>
        <w:tc>
          <w:tcPr>
            <w:tcW w:w="850" w:type="dxa"/>
            <w:vAlign w:val="center"/>
          </w:tcPr>
          <w:p w:rsidR="003F09F9" w:rsidRDefault="00C80452">
            <w:pPr>
              <w:jc w:val="center"/>
            </w:pPr>
            <w:r>
              <w:rPr>
                <w:rFonts w:ascii="宋体" w:hAnsi="宋体" w:hint="eastAsia"/>
                <w:color w:val="000000"/>
                <w:kern w:val="0"/>
                <w:szCs w:val="21"/>
              </w:rPr>
              <w:t>-</w:t>
            </w:r>
          </w:p>
        </w:tc>
        <w:tc>
          <w:tcPr>
            <w:tcW w:w="1134" w:type="dxa"/>
            <w:vAlign w:val="center"/>
          </w:tcPr>
          <w:p w:rsidR="003F09F9" w:rsidRDefault="00C80452">
            <w:pPr>
              <w:jc w:val="center"/>
            </w:pPr>
            <w:r>
              <w:rPr>
                <w:rFonts w:ascii="宋体" w:hAnsi="宋体" w:hint="eastAsia"/>
                <w:color w:val="000000"/>
                <w:kern w:val="0"/>
                <w:szCs w:val="21"/>
              </w:rPr>
              <w:t>24,659,863.95</w:t>
            </w:r>
          </w:p>
        </w:tc>
        <w:tc>
          <w:tcPr>
            <w:tcW w:w="1419" w:type="dxa"/>
            <w:vAlign w:val="center"/>
          </w:tcPr>
          <w:p w:rsidR="003F09F9" w:rsidRDefault="00C80452">
            <w:pPr>
              <w:jc w:val="center"/>
            </w:pPr>
            <w:r>
              <w:rPr>
                <w:rFonts w:ascii="宋体" w:hAnsi="宋体" w:hint="eastAsia"/>
                <w:color w:val="000000"/>
                <w:kern w:val="0"/>
                <w:szCs w:val="21"/>
              </w:rPr>
              <w:t>-</w:t>
            </w:r>
          </w:p>
        </w:tc>
        <w:tc>
          <w:tcPr>
            <w:tcW w:w="1130" w:type="dxa"/>
            <w:vAlign w:val="center"/>
          </w:tcPr>
          <w:p w:rsidR="003F09F9" w:rsidRDefault="00C80452">
            <w:pPr>
              <w:jc w:val="center"/>
            </w:pPr>
            <w:r>
              <w:rPr>
                <w:rFonts w:ascii="宋体" w:hAnsi="宋体" w:hint="eastAsia"/>
                <w:color w:val="000000"/>
                <w:kern w:val="0"/>
                <w:szCs w:val="21"/>
              </w:rPr>
              <w:t>-</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ED0E09" w:rsidTr="00ED0E09">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ED0E09" w:rsidRDefault="00ED0E09" w:rsidP="00ED0E09">
      <w:pPr>
        <w:autoSpaceDE w:val="0"/>
        <w:autoSpaceDN w:val="0"/>
        <w:adjustRightInd w:val="0"/>
        <w:spacing w:line="360" w:lineRule="auto"/>
        <w:jc w:val="left"/>
        <w:rPr>
          <w:rFonts w:ascii="宋体" w:hAnsi="宋体"/>
          <w:b/>
          <w:bCs/>
          <w:color w:val="000000"/>
          <w:kern w:val="0"/>
          <w:szCs w:val="21"/>
        </w:rPr>
      </w:pPr>
      <w:r>
        <w:rPr>
          <w:rFonts w:ascii="宋体" w:hAnsi="宋体" w:hint="eastAsia"/>
          <w:b/>
          <w:bCs/>
          <w:color w:val="000000"/>
          <w:kern w:val="0"/>
          <w:szCs w:val="21"/>
        </w:rPr>
        <w:t>8.2 影响投资者决策的其他重要信息</w:t>
      </w:r>
    </w:p>
    <w:p w:rsidR="00ED0E09" w:rsidRDefault="00ED0E09" w:rsidP="00ED0E09">
      <w:pPr>
        <w:spacing w:line="360" w:lineRule="auto"/>
        <w:ind w:firstLineChars="200" w:firstLine="42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0A2988">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、中国证监会核准交银施罗德周期回报灵活配置混合型证券投资基金募集的文件；</w:t>
      </w:r>
      <w:r>
        <w:rPr>
          <w:rFonts w:eastAsiaTheme="minorEastAsia"/>
          <w:color w:val="000000"/>
          <w:sz w:val="24"/>
        </w:rPr>
        <w:t xml:space="preserve"> </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、《交银施罗德周期回报灵活配置混合型证券投资基金基金合同》；</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、《交银施罗德周期回报灵活配置混合型证券投资基金招募说明书》；</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、《交银施罗德周期回报灵活配置混合型证券投资基金托管协议》；</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、关于申请募集交银施罗德周期回报灵活配置混合型证券投资基金之法律意见书；</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、报告期内交银施罗德周期回报灵活配置混合型证券投资基金在指定报刊上各项公告的原稿。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rsidR="003F09F9" w:rsidRDefault="00C80452">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6"/>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7FA0" w:rsidRDefault="00B97FA0">
      <w:r>
        <w:separator/>
      </w:r>
    </w:p>
  </w:endnote>
  <w:endnote w:type="continuationSeparator" w:id="0">
    <w:p w:rsidR="00B97FA0" w:rsidRDefault="00B97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altName w:val="Arial"/>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1D0DB0" w:rsidRDefault="007F50FB" w:rsidP="00F7094A">
    <w:pPr>
      <w:pStyle w:val="a7"/>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9A0C32">
      <w:rPr>
        <w:noProof/>
        <w:kern w:val="0"/>
        <w:szCs w:val="21"/>
      </w:rPr>
      <w:t>13</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9A0C32">
      <w:rPr>
        <w:noProof/>
        <w:kern w:val="0"/>
        <w:szCs w:val="21"/>
      </w:rPr>
      <w:t>15</w:t>
    </w:r>
    <w:r w:rsidR="0042114A">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Default="0042114A">
    <w:pPr>
      <w:pStyle w:val="a7"/>
      <w:framePr w:wrap="around" w:vAnchor="text" w:hAnchor="margin" w:xAlign="center" w:y="1"/>
      <w:rPr>
        <w:rStyle w:val="a8"/>
      </w:rPr>
    </w:pPr>
    <w:r>
      <w:rPr>
        <w:rStyle w:val="a8"/>
      </w:rPr>
      <w:fldChar w:fldCharType="begin"/>
    </w:r>
    <w:r w:rsidR="007F50FB">
      <w:rPr>
        <w:rStyle w:val="a8"/>
      </w:rPr>
      <w:instrText xml:space="preserve">PAGE  </w:instrText>
    </w:r>
    <w:r>
      <w:rPr>
        <w:rStyle w:val="a8"/>
      </w:rPr>
      <w:fldChar w:fldCharType="end"/>
    </w:r>
  </w:p>
  <w:p w:rsidR="007F50FB" w:rsidRDefault="007F50F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7FA0" w:rsidRDefault="00B97FA0">
      <w:r>
        <w:separator/>
      </w:r>
    </w:p>
  </w:footnote>
  <w:footnote w:type="continuationSeparator" w:id="0">
    <w:p w:rsidR="00B97FA0" w:rsidRDefault="00B97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0FB" w:rsidRPr="00D3445F" w:rsidRDefault="00D3445F" w:rsidP="00D3445F">
    <w:pPr>
      <w:spacing w:before="29" w:line="288" w:lineRule="auto"/>
      <w:jc w:val="right"/>
      <w:rPr>
        <w:rFonts w:eastAsiaTheme="minorEastAsia"/>
        <w:sz w:val="24"/>
      </w:rPr>
    </w:pPr>
    <w:r w:rsidRPr="00D3445F">
      <w:rPr>
        <w:rFonts w:eastAsiaTheme="minorEastAsia"/>
        <w:sz w:val="24"/>
      </w:rPr>
      <w:t>交银施罗德周期回报灵活配置混合型证券投资基金</w:t>
    </w:r>
    <w:r w:rsidRPr="00D3445F">
      <w:rPr>
        <w:rFonts w:eastAsiaTheme="minorEastAsia"/>
        <w:sz w:val="24"/>
      </w:rPr>
      <w:t>2019</w:t>
    </w:r>
    <w:r w:rsidRPr="00D3445F">
      <w:rPr>
        <w:rFonts w:eastAsiaTheme="minorEastAsia"/>
        <w:sz w:val="24"/>
      </w:rPr>
      <w:t>年第</w:t>
    </w:r>
    <w:r w:rsidRPr="00D3445F">
      <w:rPr>
        <w:rFonts w:eastAsiaTheme="minorEastAsia"/>
        <w:sz w:val="24"/>
      </w:rPr>
      <w:t>2</w:t>
    </w:r>
    <w:r w:rsidRPr="00D3445F">
      <w:rPr>
        <w:rFonts w:eastAsiaTheme="minorEastAsia"/>
        <w:sz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1B4E" w:rsidRDefault="00C51B4E">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9F9"/>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0CE3"/>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648A"/>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5E72"/>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0C32"/>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86410"/>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97FA0"/>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452"/>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6B12"/>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0"/>
    <w:uiPriority w:val="99"/>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a6"/>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7">
    <w:name w:val="footer"/>
    <w:basedOn w:val="a"/>
    <w:rsid w:val="006A4828"/>
    <w:pPr>
      <w:tabs>
        <w:tab w:val="center" w:pos="4153"/>
        <w:tab w:val="right" w:pos="8306"/>
      </w:tabs>
      <w:snapToGrid w:val="0"/>
      <w:jc w:val="left"/>
    </w:pPr>
    <w:rPr>
      <w:sz w:val="18"/>
      <w:szCs w:val="18"/>
    </w:rPr>
  </w:style>
  <w:style w:type="character" w:styleId="a8">
    <w:name w:val="page number"/>
    <w:basedOn w:val="a1"/>
    <w:rsid w:val="006A4828"/>
  </w:style>
  <w:style w:type="character" w:styleId="a9">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a">
    <w:name w:val="header"/>
    <w:basedOn w:val="a"/>
    <w:link w:val="ab"/>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1">
    <w:name w:val="已访问的超链接1"/>
    <w:basedOn w:val="a1"/>
    <w:rsid w:val="006A4828"/>
    <w:rPr>
      <w:color w:val="800080"/>
      <w:u w:val="single"/>
    </w:rPr>
  </w:style>
  <w:style w:type="paragraph" w:styleId="ac">
    <w:name w:val="List"/>
    <w:basedOn w:val="ad"/>
    <w:rsid w:val="006A4828"/>
    <w:pPr>
      <w:spacing w:after="220" w:line="220" w:lineRule="atLeast"/>
      <w:ind w:left="1440" w:hanging="360"/>
    </w:pPr>
    <w:rPr>
      <w:szCs w:val="20"/>
    </w:rPr>
  </w:style>
  <w:style w:type="paragraph" w:styleId="ad">
    <w:name w:val="Body Text"/>
    <w:basedOn w:val="a"/>
    <w:rsid w:val="006A4828"/>
    <w:pPr>
      <w:spacing w:after="120"/>
    </w:pPr>
  </w:style>
  <w:style w:type="paragraph" w:styleId="ae">
    <w:name w:val="Date"/>
    <w:basedOn w:val="a"/>
    <w:next w:val="a"/>
    <w:link w:val="af"/>
    <w:rsid w:val="006A4828"/>
    <w:rPr>
      <w:sz w:val="24"/>
      <w:szCs w:val="20"/>
    </w:rPr>
  </w:style>
  <w:style w:type="character" w:customStyle="1" w:styleId="c1">
    <w:name w:val="c1"/>
    <w:basedOn w:val="a1"/>
    <w:rsid w:val="006A4828"/>
    <w:rPr>
      <w:color w:val="000000"/>
      <w:sz w:val="18"/>
      <w:szCs w:val="18"/>
    </w:rPr>
  </w:style>
  <w:style w:type="paragraph" w:styleId="12">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0">
    <w:name w:val="Balloon Text"/>
    <w:basedOn w:val="a"/>
    <w:semiHidden/>
    <w:rsid w:val="006A4828"/>
    <w:rPr>
      <w:sz w:val="18"/>
      <w:szCs w:val="18"/>
    </w:rPr>
  </w:style>
  <w:style w:type="character" w:styleId="af1">
    <w:name w:val="annotation reference"/>
    <w:basedOn w:val="a1"/>
    <w:uiPriority w:val="99"/>
    <w:semiHidden/>
    <w:rsid w:val="006A4828"/>
    <w:rPr>
      <w:sz w:val="21"/>
      <w:szCs w:val="21"/>
    </w:rPr>
  </w:style>
  <w:style w:type="paragraph" w:styleId="af2">
    <w:name w:val="annotation text"/>
    <w:basedOn w:val="a"/>
    <w:link w:val="af3"/>
    <w:uiPriority w:val="99"/>
    <w:semiHidden/>
    <w:rsid w:val="006A4828"/>
    <w:pPr>
      <w:jc w:val="left"/>
    </w:pPr>
  </w:style>
  <w:style w:type="paragraph" w:styleId="af4">
    <w:name w:val="annotation subject"/>
    <w:basedOn w:val="af2"/>
    <w:next w:val="af2"/>
    <w:semiHidden/>
    <w:rsid w:val="006A4828"/>
    <w:rPr>
      <w:b/>
      <w:bCs/>
    </w:rPr>
  </w:style>
  <w:style w:type="paragraph" w:customStyle="1" w:styleId="Char">
    <w:name w:val="Char"/>
    <w:basedOn w:val="a"/>
    <w:rsid w:val="006A4828"/>
  </w:style>
  <w:style w:type="paragraph" w:styleId="af5">
    <w:name w:val="Document Map"/>
    <w:basedOn w:val="a"/>
    <w:semiHidden/>
    <w:rsid w:val="000A549A"/>
    <w:pPr>
      <w:shd w:val="clear" w:color="auto" w:fill="000080"/>
    </w:pPr>
  </w:style>
  <w:style w:type="table" w:styleId="af6">
    <w:name w:val="Table Grid"/>
    <w:basedOn w:val="a2"/>
    <w:qFormat/>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footnote text"/>
    <w:basedOn w:val="a"/>
    <w:link w:val="af8"/>
    <w:rsid w:val="000B251E"/>
    <w:pPr>
      <w:snapToGrid w:val="0"/>
      <w:jc w:val="left"/>
    </w:pPr>
    <w:rPr>
      <w:sz w:val="18"/>
      <w:szCs w:val="18"/>
    </w:rPr>
  </w:style>
  <w:style w:type="character" w:styleId="af9">
    <w:name w:val="footnote reference"/>
    <w:basedOn w:val="a1"/>
    <w:rsid w:val="000B251E"/>
    <w:rPr>
      <w:vertAlign w:val="superscript"/>
    </w:rPr>
  </w:style>
  <w:style w:type="paragraph" w:styleId="afa">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0">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a6">
    <w:name w:val="纯文本 字符"/>
    <w:basedOn w:val="a1"/>
    <w:link w:val="a5"/>
    <w:uiPriority w:val="99"/>
    <w:rsid w:val="009A045B"/>
    <w:rPr>
      <w:rFonts w:ascii="宋体" w:hAnsi="Courier New"/>
      <w:kern w:val="2"/>
      <w:sz w:val="21"/>
      <w:szCs w:val="21"/>
    </w:rPr>
  </w:style>
  <w:style w:type="character" w:customStyle="1" w:styleId="af8">
    <w:name w:val="脚注文本 字符"/>
    <w:basedOn w:val="a1"/>
    <w:link w:val="af7"/>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ab">
    <w:name w:val="页眉 字符"/>
    <w:basedOn w:val="a1"/>
    <w:link w:val="aa"/>
    <w:uiPriority w:val="99"/>
    <w:rsid w:val="001207F2"/>
    <w:rPr>
      <w:kern w:val="2"/>
      <w:sz w:val="18"/>
      <w:szCs w:val="18"/>
    </w:rPr>
  </w:style>
  <w:style w:type="character" w:customStyle="1" w:styleId="10">
    <w:name w:val="标题 1 字符"/>
    <w:basedOn w:val="a1"/>
    <w:link w:val="1"/>
    <w:uiPriority w:val="99"/>
    <w:rsid w:val="00180952"/>
    <w:rPr>
      <w:b/>
      <w:bCs/>
      <w:kern w:val="44"/>
      <w:sz w:val="44"/>
      <w:szCs w:val="44"/>
    </w:rPr>
  </w:style>
  <w:style w:type="character" w:customStyle="1" w:styleId="af">
    <w:name w:val="日期 字符"/>
    <w:basedOn w:val="a1"/>
    <w:link w:val="ae"/>
    <w:rsid w:val="00D66685"/>
    <w:rPr>
      <w:kern w:val="2"/>
      <w:sz w:val="24"/>
    </w:rPr>
  </w:style>
  <w:style w:type="character" w:styleId="afb">
    <w:name w:val="Strong"/>
    <w:basedOn w:val="a1"/>
    <w:uiPriority w:val="22"/>
    <w:qFormat/>
    <w:rsid w:val="00C02900"/>
    <w:rPr>
      <w:b/>
      <w:bCs/>
    </w:rPr>
  </w:style>
  <w:style w:type="character" w:customStyle="1" w:styleId="af3">
    <w:name w:val="批注文字 字符"/>
    <w:basedOn w:val="a1"/>
    <w:link w:val="af2"/>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523D71-E81E-4D9A-9493-BE3E48A2E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Template>
  <TotalTime>217</TotalTime>
  <Pages>15</Pages>
  <Words>1338</Words>
  <Characters>7631</Characters>
  <Application>Microsoft Office Word</Application>
  <DocSecurity>0</DocSecurity>
  <Lines>63</Lines>
  <Paragraphs>17</Paragraphs>
  <ScaleCrop>false</ScaleCrop>
  <Company>TRT. Ltd. Co.</Company>
  <LinksUpToDate>false</LinksUpToDate>
  <CharactersWithSpaces>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394</cp:revision>
  <cp:lastPrinted>2007-07-19T00:46:00Z</cp:lastPrinted>
  <dcterms:created xsi:type="dcterms:W3CDTF">2014-01-17T06:19:00Z</dcterms:created>
  <dcterms:modified xsi:type="dcterms:W3CDTF">2019-08-12T10:00:00Z</dcterms:modified>
</cp:coreProperties>
</file>