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交银施罗德基金管理有限公司关于交银施罗德现金宝货币市场基金基金经理变更的公告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2019年8月3日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交银施罗德现金宝货币市场基金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交银现金宝货币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000710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黄莹洁、连端清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黄莹洁、连端清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2019年8月3日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因工作需要，经交银施罗德基金管理有限公司领导办公会议审议通过，黄莹洁女士和连端清先生不再担任交银施罗德现金宝货币市场基金基金经理。上述事项已在中国证券投资基金业协会完成变更登记手续。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