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交银施罗德基金管理有限公司关于增聘交银施罗德优择回报灵活配置混合型证券投资基金基金经理的公告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2019年7月20日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交银施罗德优择回报灵活配置混合型证券投资基金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交银优择回报灵活配置混合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519770</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w:t>
            </w:r>
          </w:p>
        </w:tc>
      </w:tr>
    </w:tbl>
    <w:p w:rsidP="000071CE" w:rsidR="00070317" w:rsidRDefault="00A66507" w:rsidRPr="0000418A">
      <w:pPr>
        <w:spacing w:line="360" w:lineRule="auto"/>
        <w:rPr>
          <w:rFonts w:asciiTheme="minorEastAsia" w:eastAsiaTheme="minorEastAsia" w:hAnsiTheme="minorEastAsia"/>
          <w:color w:val="000000"/>
          <w:kern w:val="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注：共同管理本基金的基金经理被代为履职情况详见《交银施罗德基金管理有限公司关于基金经理休假由他人代为履职的公告》。</w:t>
      </w:r>
    </w:p>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凌超</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2019年7月20日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13</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2006年至2009年任长江证券股份有限公司研究员、投资经理，2009年至2012年任光大保德信基金有限管理公司研究员、基金经理助理、基金经理，2012年至2015年海富通基金管理有限公司投资顾问、基金经理，2016年至2017年任天弘基金管理有限公司固定收益部副总经理、基金经理。于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现任固定收益（公募）投资副总监。</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360003</w:t>
            </w:r>
          </w:p>
        </w:tc>
        <w:tc>
          <w:tcPr>
            <w:vAlign w:val="center"/>
          </w:tcPr>
          <w:p>
            <w:pPr>
              <w:jc w:val="center"/>
            </w:pPr>
            <w:r>
              <w:rPr>
                <w:rFonts w:asciiTheme="minorEastAsia" w:eastAsiaTheme="minorEastAsia" w:hAnsiTheme="minorEastAsia"/>
                <w:color w:val="000000"/>
                <w:sz w:val="24"/>
                <w:szCs w:val="24"/>
              </w:rPr>
              <w:t>光大保德信货币市场基金</w:t>
            </w:r>
          </w:p>
        </w:tc>
        <w:tc>
          <w:tcPr>
            <w:vAlign w:val="center"/>
          </w:tcPr>
          <w:p>
            <w:pPr>
              <w:jc w:val="center"/>
            </w:pPr>
            <w:r>
              <w:rPr>
                <w:rFonts w:asciiTheme="minorEastAsia" w:eastAsiaTheme="minorEastAsia" w:hAnsiTheme="minorEastAsia"/>
                <w:color w:val="000000"/>
                <w:sz w:val="24"/>
                <w:szCs w:val="24"/>
              </w:rPr>
              <w:t>2010-08-31</w:t>
            </w:r>
          </w:p>
        </w:tc>
        <w:tc>
          <w:tcPr>
            <w:vAlign w:val="center"/>
          </w:tcPr>
          <w:p>
            <w:pPr>
              <w:jc w:val="center"/>
            </w:pPr>
            <w:r>
              <w:rPr>
                <w:rFonts w:asciiTheme="minorEastAsia" w:eastAsiaTheme="minorEastAsia" w:hAnsiTheme="minorEastAsia"/>
                <w:color w:val="000000"/>
                <w:sz w:val="24"/>
                <w:szCs w:val="24"/>
              </w:rPr>
              <w:t>2012-03-02</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519051</w:t>
            </w:r>
          </w:p>
        </w:tc>
        <w:tc>
          <w:tcPr>
            <w:vAlign w:val="center"/>
          </w:tcPr>
          <w:p>
            <w:pPr>
              <w:jc w:val="center"/>
            </w:pPr>
            <w:r>
              <w:rPr>
                <w:rFonts w:asciiTheme="minorEastAsia" w:eastAsiaTheme="minorEastAsia" w:hAnsiTheme="minorEastAsia"/>
                <w:color w:val="000000"/>
                <w:sz w:val="24"/>
                <w:szCs w:val="24"/>
              </w:rPr>
              <w:t>海富通一年定期开放债券型证券投资基金</w:t>
            </w:r>
          </w:p>
        </w:tc>
        <w:tc>
          <w:tcPr>
            <w:vAlign w:val="center"/>
          </w:tcPr>
          <w:p>
            <w:pPr>
              <w:jc w:val="center"/>
            </w:pPr>
            <w:r>
              <w:rPr>
                <w:rFonts w:asciiTheme="minorEastAsia" w:eastAsiaTheme="minorEastAsia" w:hAnsiTheme="minorEastAsia"/>
                <w:color w:val="000000"/>
                <w:sz w:val="24"/>
                <w:szCs w:val="24"/>
              </w:rPr>
              <w:t>2013-12-19</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519061</w:t>
            </w:r>
          </w:p>
        </w:tc>
        <w:tc>
          <w:tcPr>
            <w:vAlign w:val="center"/>
          </w:tcPr>
          <w:p>
            <w:pPr>
              <w:jc w:val="center"/>
            </w:pPr>
            <w:r>
              <w:rPr>
                <w:rFonts w:asciiTheme="minorEastAsia" w:eastAsiaTheme="minorEastAsia" w:hAnsiTheme="minorEastAsia"/>
                <w:color w:val="000000"/>
                <w:sz w:val="24"/>
                <w:szCs w:val="24"/>
              </w:rPr>
              <w:t>海富通纯债债券型证券投资基金</w:t>
            </w:r>
          </w:p>
        </w:tc>
        <w:tc>
          <w:tcPr>
            <w:vAlign w:val="center"/>
          </w:tcPr>
          <w:p>
            <w:pPr>
              <w:jc w:val="center"/>
            </w:pPr>
            <w:r>
              <w:rPr>
                <w:rFonts w:asciiTheme="minorEastAsia" w:eastAsiaTheme="minorEastAsia" w:hAnsiTheme="minorEastAsia"/>
                <w:color w:val="000000"/>
                <w:sz w:val="24"/>
                <w:szCs w:val="24"/>
              </w:rPr>
              <w:t>2014-04-02</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519030</w:t>
            </w:r>
          </w:p>
        </w:tc>
        <w:tc>
          <w:tcPr>
            <w:vAlign w:val="center"/>
          </w:tcPr>
          <w:p>
            <w:pPr>
              <w:jc w:val="center"/>
            </w:pPr>
            <w:r>
              <w:rPr>
                <w:rFonts w:asciiTheme="minorEastAsia" w:eastAsiaTheme="minorEastAsia" w:hAnsiTheme="minorEastAsia"/>
                <w:color w:val="000000"/>
                <w:sz w:val="24"/>
                <w:szCs w:val="24"/>
              </w:rPr>
              <w:t>海富通稳固收益债券型证券投资基金</w:t>
            </w:r>
          </w:p>
        </w:tc>
        <w:tc>
          <w:tcPr>
            <w:vAlign w:val="center"/>
          </w:tcPr>
          <w:p>
            <w:pPr>
              <w:jc w:val="center"/>
            </w:pPr>
            <w:r>
              <w:rPr>
                <w:rFonts w:asciiTheme="minorEastAsia" w:eastAsiaTheme="minorEastAsia" w:hAnsiTheme="minorEastAsia"/>
                <w:color w:val="000000"/>
                <w:sz w:val="24"/>
                <w:szCs w:val="24"/>
              </w:rPr>
              <w:t>2014-12-01</w:t>
            </w:r>
          </w:p>
        </w:tc>
        <w:tc>
          <w:tcPr>
            <w:vAlign w:val="center"/>
          </w:tcPr>
          <w:p>
            <w:pPr>
              <w:jc w:val="center"/>
            </w:pPr>
            <w:r>
              <w:rPr>
                <w:rFonts w:asciiTheme="minorEastAsia" w:eastAsiaTheme="minorEastAsia" w:hAnsiTheme="minorEastAsia"/>
                <w:color w:val="000000"/>
                <w:sz w:val="24"/>
                <w:szCs w:val="24"/>
              </w:rPr>
              <w:t>2016-01-13</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002388</w:t>
            </w:r>
          </w:p>
        </w:tc>
        <w:tc>
          <w:tcPr>
            <w:vAlign w:val="center"/>
          </w:tcPr>
          <w:p>
            <w:pPr>
              <w:jc w:val="center"/>
            </w:pPr>
            <w:r>
              <w:rPr>
                <w:rFonts w:asciiTheme="minorEastAsia" w:eastAsiaTheme="minorEastAsia" w:hAnsiTheme="minorEastAsia"/>
                <w:color w:val="000000"/>
                <w:sz w:val="24"/>
                <w:szCs w:val="24"/>
              </w:rPr>
              <w:t>天弘裕利灵活配置混合型证券投资基金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420008</w:t>
            </w:r>
          </w:p>
        </w:tc>
        <w:tc>
          <w:tcPr>
            <w:vAlign w:val="center"/>
          </w:tcPr>
          <w:p>
            <w:pPr>
              <w:jc w:val="center"/>
            </w:pPr>
            <w:r>
              <w:rPr>
                <w:rFonts w:asciiTheme="minorEastAsia" w:eastAsiaTheme="minorEastAsia" w:hAnsiTheme="minorEastAsia"/>
                <w:color w:val="000000"/>
                <w:sz w:val="24"/>
                <w:szCs w:val="24"/>
              </w:rPr>
              <w:t>天弘债券型发起式证券投资基金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000306</w:t>
            </w:r>
          </w:p>
        </w:tc>
        <w:tc>
          <w:tcPr>
            <w:vAlign w:val="center"/>
          </w:tcPr>
          <w:p>
            <w:pPr>
              <w:jc w:val="center"/>
            </w:pPr>
            <w:r>
              <w:rPr>
                <w:rFonts w:asciiTheme="minorEastAsia" w:eastAsiaTheme="minorEastAsia" w:hAnsiTheme="minorEastAsia"/>
                <w:color w:val="000000"/>
                <w:sz w:val="24"/>
                <w:szCs w:val="24"/>
              </w:rPr>
              <w:t>天弘弘利债券型证券投资基金</w:t>
            </w:r>
          </w:p>
        </w:tc>
        <w:tc>
          <w:tcPr>
            <w:vAlign w:val="center"/>
          </w:tcPr>
          <w:p>
            <w:pPr>
              <w:jc w:val="center"/>
            </w:pPr>
            <w:r>
              <w:rPr>
                <w:rFonts w:asciiTheme="minorEastAsia" w:eastAsiaTheme="minorEastAsia" w:hAnsiTheme="minorEastAsia"/>
                <w:color w:val="000000"/>
                <w:sz w:val="24"/>
                <w:szCs w:val="24"/>
              </w:rPr>
              <w:t>2016-05-14</w:t>
            </w:r>
          </w:p>
        </w:tc>
        <w:tc>
          <w:tcPr>
            <w:vAlign w:val="center"/>
          </w:tcPr>
          <w:p>
            <w:pPr>
              <w:jc w:val="center"/>
            </w:pPr>
            <w:r>
              <w:rPr>
                <w:rFonts w:asciiTheme="minorEastAsia" w:eastAsiaTheme="minorEastAsia" w:hAnsiTheme="minorEastAsia"/>
                <w:color w:val="000000"/>
                <w:sz w:val="24"/>
                <w:szCs w:val="24"/>
              </w:rPr>
              <w:t>2017-07-14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519729</w:t>
            </w:r>
          </w:p>
        </w:tc>
        <w:tc>
          <w:tcPr>
            <w:vAlign w:val="center"/>
          </w:tcPr>
          <w:p>
            <w:pPr>
              <w:jc w:val="center"/>
            </w:pPr>
            <w:r>
              <w:rPr>
                <w:rFonts w:asciiTheme="minorEastAsia" w:eastAsiaTheme="minorEastAsia" w:hAnsiTheme="minorEastAsia"/>
                <w:color w:val="000000"/>
                <w:sz w:val="24"/>
                <w:szCs w:val="24"/>
              </w:rPr>
              <w:t>交银施罗德增强收益债券型证券投资基金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519730</w:t>
            </w:r>
          </w:p>
        </w:tc>
        <w:tc>
          <w:tcPr>
            <w:vAlign w:val="center"/>
          </w:tcPr>
          <w:p>
            <w:pPr>
              <w:jc w:val="center"/>
            </w:pPr>
            <w:r>
              <w:rPr>
                <w:rFonts w:asciiTheme="minorEastAsia" w:eastAsiaTheme="minorEastAsia" w:hAnsiTheme="minorEastAsia"/>
                <w:color w:val="000000"/>
                <w:sz w:val="24"/>
                <w:szCs w:val="24"/>
              </w:rPr>
              <w:t>交银施罗德定期支付月月丰债券型证券投资基金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519733</w:t>
            </w:r>
          </w:p>
        </w:tc>
        <w:tc>
          <w:tcPr>
            <w:vAlign w:val="center"/>
          </w:tcPr>
          <w:p>
            <w:pPr>
              <w:jc w:val="center"/>
            </w:pPr>
            <w:r>
              <w:rPr>
                <w:rFonts w:asciiTheme="minorEastAsia" w:eastAsiaTheme="minorEastAsia" w:hAnsiTheme="minorEastAsia"/>
                <w:color w:val="000000"/>
                <w:sz w:val="24"/>
                <w:szCs w:val="24"/>
              </w:rPr>
              <w:t>交银施罗德强化回报债券型证券投资基金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004427</w:t>
            </w:r>
          </w:p>
        </w:tc>
        <w:tc>
          <w:tcPr>
            <w:vAlign w:val="center"/>
          </w:tcPr>
          <w:p>
            <w:pPr>
              <w:jc w:val="center"/>
            </w:pPr>
            <w:r>
              <w:rPr>
                <w:rFonts w:asciiTheme="minorEastAsia" w:eastAsiaTheme="minorEastAsia" w:hAnsiTheme="minorEastAsia"/>
                <w:color w:val="000000"/>
                <w:sz w:val="24"/>
                <w:szCs w:val="24"/>
              </w:rPr>
              <w:t>交银施罗德增利增强债券型证券投资基金</w:t>
            </w:r>
          </w:p>
        </w:tc>
        <w:tc>
          <w:tcPr>
            <w:vAlign w:val="center"/>
          </w:tcPr>
          <w:p>
            <w:pPr>
              <w:jc w:val="center"/>
            </w:pPr>
            <w:r>
              <w:rPr>
                <w:rFonts w:asciiTheme="minorEastAsia" w:eastAsiaTheme="minorEastAsia" w:hAnsiTheme="minorEastAsia"/>
                <w:color w:val="000000"/>
                <w:sz w:val="24"/>
                <w:szCs w:val="24"/>
              </w:rPr>
              <w:t>2018-02-13</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519726</w:t>
            </w:r>
          </w:p>
        </w:tc>
        <w:tc>
          <w:tcPr>
            <w:vAlign w:val="center"/>
          </w:tcPr>
          <w:p>
            <w:pPr>
              <w:jc w:val="center"/>
            </w:pPr>
            <w:r>
              <w:rPr>
                <w:rFonts w:asciiTheme="minorEastAsia" w:eastAsiaTheme="minorEastAsia" w:hAnsiTheme="minorEastAsia"/>
                <w:color w:val="000000"/>
                <w:sz w:val="24"/>
                <w:szCs w:val="24"/>
              </w:rPr>
              <w:t>交银施罗德稳固收益债券型证券投资基金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F70EFB" w:rsidR="00070317" w:rsidRDefault="00DE5519" w:rsidRPr="0000418A">
      <w:pPr>
        <w:spacing w:line="360" w:lineRule="auto"/>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
      </w:r>
      <w:r w:rsidRPr="0000418A">
        <w:rPr>
          <w:rFonts w:asciiTheme="minorEastAsia" w:eastAsiaTheme="minorEastAsia" w:hAnsiTheme="minorEastAsia"/>
          <w:color w:val="000000"/>
          <w:sz w:val="24"/>
          <w:szCs w:val="24"/>
        </w:rPr>
        <w:t>注：基金经理管理过公募基金的名称及期间未计入已清盘产品。</w:t>
      </w:r>
    </w:p>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因工作需要，经交银施罗德基金管理有限公司领导办公会议审议通过，增聘凌超先生担任交银施罗德优择回报灵活配置混合型证券投资基金基金经理。上述事项已在中国证券投资基金业协会完成变更登记手续。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