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交银施罗德基金管理有限公司关于增聘交银施罗德优选回报灵活配置混合型证券投资基金基金经理的公告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交银施罗德优选回报灵活配置混合型证券投资基金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交银优选回报灵活配置混合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w:t>
            </w:r>
          </w:p>
        </w:tc>
      </w:tr>
    </w:tbl>
    <w:p w:rsidP="000071CE" w:rsidR="00070317" w:rsidRDefault="00A66507" w:rsidRPr="0000418A">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p>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2019年7月20日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519726</w:t>
            </w:r>
          </w:p>
        </w:tc>
        <w:tc>
          <w:tcPr>
            <w:vAlign w:val="center"/>
          </w:tcPr>
          <w:p>
            <w:pPr>
              <w:jc w:val="center"/>
            </w:pPr>
            <w:r>
              <w:rPr>
                <w:rFonts w:asciiTheme="minorEastAsia" w:eastAsiaTheme="minorEastAsia" w:hAnsiTheme="minorEastAsia"/>
                <w:color w:val="000000"/>
                <w:sz w:val="24"/>
                <w:szCs w:val="24"/>
              </w:rPr>
              <w:t>交银施罗德稳固收益债券型证券投资基金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因工作需要，经交银施罗德基金管理有限公司领导办公会议审议通过，增聘凌超先生担任交银施罗德优选回报灵活配置混合型证券投资基金基金经理。上述事项已在中国证券投资基金业协会完成变更登记手续。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