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A11739">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A11739">
        <w:rPr>
          <w:rFonts w:asciiTheme="minorEastAsia" w:eastAsiaTheme="minorEastAsia" w:hAnsiTheme="minorEastAsia" w:hint="eastAsia"/>
          <w:color w:val="auto"/>
          <w:sz w:val="30"/>
        </w:rPr>
        <w:t>交银施罗德</w:t>
      </w:r>
      <w:r w:rsidR="00225DDF">
        <w:rPr>
          <w:rFonts w:asciiTheme="minorEastAsia" w:eastAsiaTheme="minorEastAsia" w:hAnsiTheme="minorEastAsia" w:hint="eastAsia"/>
          <w:color w:val="auto"/>
          <w:sz w:val="30"/>
        </w:rPr>
        <w:t>稳固收益债券型</w:t>
      </w:r>
      <w:r w:rsidR="002C0C98">
        <w:rPr>
          <w:rFonts w:asciiTheme="minorEastAsia" w:eastAsiaTheme="minorEastAsia" w:hAnsiTheme="minorEastAsia"/>
          <w:color w:val="auto"/>
          <w:sz w:val="30"/>
        </w:rPr>
        <w:t>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225DDF" w:rsidRPr="00225DDF" w:rsidRDefault="00225DDF" w:rsidP="00225DDF">
      <w:pPr>
        <w:adjustRightInd w:val="0"/>
        <w:snapToGrid w:val="0"/>
        <w:spacing w:line="360" w:lineRule="auto"/>
        <w:ind w:firstLineChars="200" w:firstLine="482"/>
        <w:rPr>
          <w:b/>
          <w:bCs/>
          <w:sz w:val="24"/>
        </w:rPr>
      </w:pPr>
      <w:r w:rsidRPr="00225DDF">
        <w:rPr>
          <w:rFonts w:hint="eastAsia"/>
          <w:b/>
          <w:bCs/>
          <w:sz w:val="24"/>
        </w:rPr>
        <w:t>一、</w:t>
      </w:r>
      <w:r w:rsidRPr="00225DDF">
        <w:rPr>
          <w:b/>
          <w:bCs/>
          <w:sz w:val="24"/>
        </w:rPr>
        <w:t>基金份额持有人、基金管理人和基金托管人的权利、义务</w:t>
      </w:r>
    </w:p>
    <w:p w:rsidR="00225DDF" w:rsidRDefault="00225DDF" w:rsidP="00225DDF">
      <w:pPr>
        <w:adjustRightInd w:val="0"/>
        <w:snapToGrid w:val="0"/>
        <w:spacing w:line="360" w:lineRule="auto"/>
        <w:ind w:firstLineChars="200" w:firstLine="480"/>
        <w:rPr>
          <w:bCs/>
          <w:sz w:val="24"/>
        </w:rPr>
      </w:pPr>
      <w:r w:rsidRPr="00613BD5">
        <w:rPr>
          <w:bCs/>
          <w:sz w:val="24"/>
        </w:rPr>
        <w:t>（一）基金管理人的权利与义务</w:t>
      </w:r>
    </w:p>
    <w:p w:rsidR="00225DDF"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）召集基金份额持有人大会；</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rsidR="00225DDF" w:rsidRDefault="00225DDF" w:rsidP="00225DDF">
      <w:pPr>
        <w:adjustRightInd w:val="0"/>
        <w:snapToGrid w:val="0"/>
        <w:spacing w:line="360" w:lineRule="auto"/>
        <w:ind w:firstLineChars="200" w:firstLine="480"/>
        <w:rPr>
          <w:bCs/>
          <w:sz w:val="24"/>
        </w:rPr>
      </w:pPr>
      <w:r w:rsidRPr="00613BD5">
        <w:rPr>
          <w:bCs/>
          <w:sz w:val="24"/>
        </w:rPr>
        <w:lastRenderedPageBreak/>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）依法募集基金，办理或者委托经中国证监会认定的其他机构代为办理基金份额的</w:t>
      </w:r>
      <w:r>
        <w:rPr>
          <w:rFonts w:hint="eastAsia"/>
          <w:bCs/>
          <w:sz w:val="24"/>
        </w:rPr>
        <w:t>销售</w:t>
      </w:r>
      <w:r w:rsidRPr="00613BD5">
        <w:rPr>
          <w:bCs/>
          <w:sz w:val="24"/>
        </w:rPr>
        <w:t>、申购、赎回和登记事宜；</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Pr>
          <w:rFonts w:hint="eastAsia"/>
          <w:bCs/>
          <w:sz w:val="24"/>
        </w:rPr>
        <w:t>，</w:t>
      </w:r>
      <w:r w:rsidRPr="00613BD5">
        <w:rPr>
          <w:bCs/>
          <w:sz w:val="24"/>
        </w:rPr>
        <w:t>以诚实信用、谨慎勤勉的原则管理和运用基金财产；</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）采取适当合理的措施使计算基金份额申购、赎回和注销价格的方法符合基金合同等法律文件的规定，按有关规定计算并公告基金资产净值，确定基金份额申购、赎回的价格；</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）编制季度、半年度和年度基金报告；</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rsidR="00225DDF" w:rsidRDefault="00225DDF" w:rsidP="00225DDF">
      <w:pPr>
        <w:adjustRightInd w:val="0"/>
        <w:snapToGrid w:val="0"/>
        <w:spacing w:line="360" w:lineRule="auto"/>
        <w:ind w:firstLineChars="200" w:firstLine="480"/>
        <w:rPr>
          <w:bCs/>
          <w:sz w:val="24"/>
        </w:rPr>
      </w:pPr>
      <w:r w:rsidRPr="00613BD5">
        <w:rPr>
          <w:bCs/>
          <w:sz w:val="24"/>
        </w:rPr>
        <w:lastRenderedPageBreak/>
        <w:t>（</w:t>
      </w:r>
      <w:r w:rsidRPr="00613BD5">
        <w:rPr>
          <w:bCs/>
          <w:sz w:val="24"/>
        </w:rPr>
        <w:t>13</w:t>
      </w:r>
      <w:r w:rsidRPr="00613BD5">
        <w:rPr>
          <w:bCs/>
          <w:sz w:val="24"/>
        </w:rPr>
        <w:t>）按基金合同的约定确定基金收益分配方案，及时向基金份额持有人分配基金收益；</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Pr="00613BD5">
        <w:rPr>
          <w:rFonts w:hint="eastAsia"/>
          <w:bCs/>
          <w:sz w:val="24"/>
        </w:rPr>
        <w:t>15</w:t>
      </w:r>
      <w:r w:rsidRPr="00613BD5">
        <w:rPr>
          <w:bCs/>
          <w:sz w:val="24"/>
        </w:rPr>
        <w:t>年以上；</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Pr>
          <w:rFonts w:hint="eastAsia"/>
          <w:bCs/>
          <w:sz w:val="24"/>
        </w:rPr>
        <w:t>，</w:t>
      </w:r>
      <w:r w:rsidRPr="00613BD5">
        <w:rPr>
          <w:bCs/>
          <w:sz w:val="24"/>
        </w:rPr>
        <w:t>参与基金财产的保管、清理、估价、变现和分配；</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Pr>
          <w:bCs/>
          <w:sz w:val="24"/>
        </w:rPr>
        <w:t>4</w:t>
      </w:r>
      <w:r w:rsidRPr="00613BD5">
        <w:rPr>
          <w:bCs/>
          <w:sz w:val="24"/>
        </w:rPr>
        <w:t>）执行生效的基金份额持有人大会的</w:t>
      </w:r>
      <w:r w:rsidRPr="00613BD5">
        <w:rPr>
          <w:rFonts w:hint="eastAsia"/>
          <w:bCs/>
          <w:sz w:val="24"/>
        </w:rPr>
        <w:t>决议</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w:t>
      </w:r>
      <w:r>
        <w:rPr>
          <w:rFonts w:hint="eastAsia"/>
          <w:bCs/>
          <w:sz w:val="24"/>
        </w:rPr>
        <w:t>2</w:t>
      </w:r>
      <w:r>
        <w:rPr>
          <w:bCs/>
          <w:sz w:val="24"/>
        </w:rPr>
        <w:t>5</w:t>
      </w:r>
      <w:r w:rsidRPr="00613BD5">
        <w:rPr>
          <w:bCs/>
          <w:sz w:val="24"/>
        </w:rPr>
        <w:t>）建立并保存基金份额持有人名册；</w:t>
      </w:r>
    </w:p>
    <w:p w:rsidR="00225DDF" w:rsidRDefault="00225DDF" w:rsidP="00225DDF">
      <w:pPr>
        <w:adjustRightInd w:val="0"/>
        <w:snapToGrid w:val="0"/>
        <w:spacing w:line="360" w:lineRule="auto"/>
        <w:ind w:firstLineChars="200" w:firstLine="480"/>
        <w:rPr>
          <w:bCs/>
          <w:sz w:val="24"/>
        </w:rPr>
      </w:pPr>
      <w:r w:rsidRPr="00613BD5">
        <w:rPr>
          <w:rFonts w:ascii="宋体" w:hAnsi="宋体" w:hint="eastAsia"/>
          <w:sz w:val="24"/>
        </w:rPr>
        <w:t>（</w:t>
      </w:r>
      <w:r w:rsidRPr="00613BD5">
        <w:rPr>
          <w:sz w:val="24"/>
        </w:rPr>
        <w:t>2</w:t>
      </w:r>
      <w:r>
        <w:rPr>
          <w:sz w:val="24"/>
        </w:rPr>
        <w:t>6</w:t>
      </w:r>
      <w:r w:rsidRPr="00613BD5">
        <w:rPr>
          <w:rFonts w:ascii="宋体" w:hAnsi="宋体" w:hint="eastAsia"/>
          <w:sz w:val="24"/>
        </w:rPr>
        <w:t>）</w:t>
      </w:r>
      <w:r w:rsidRPr="00613BD5">
        <w:rPr>
          <w:bCs/>
          <w:sz w:val="24"/>
        </w:rPr>
        <w:t>法律法规及中国证监会规定的和基金合同约定的其他义务。</w:t>
      </w:r>
    </w:p>
    <w:p w:rsidR="00225DDF" w:rsidRDefault="00225DDF" w:rsidP="00225DDF">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基金托管人的权利与义务</w:t>
      </w:r>
    </w:p>
    <w:p w:rsidR="00225DDF"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w:t>
      </w:r>
      <w:r w:rsidRPr="00613BD5">
        <w:rPr>
          <w:bCs/>
          <w:sz w:val="24"/>
        </w:rPr>
        <w:lastRenderedPageBreak/>
        <w:t>财产；</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Pr="00342EBC">
        <w:rPr>
          <w:rFonts w:hint="eastAsia"/>
          <w:bCs/>
          <w:sz w:val="24"/>
        </w:rPr>
        <w:t>法律法规及中国证监会规定的和基金合同约定的其他权利</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Pr>
          <w:rFonts w:hint="eastAsia"/>
          <w:bCs/>
          <w:sz w:val="24"/>
        </w:rPr>
        <w:t>，</w:t>
      </w:r>
      <w:r w:rsidRPr="00613BD5">
        <w:rPr>
          <w:bCs/>
          <w:sz w:val="24"/>
        </w:rPr>
        <w:t>按照基金合同的约定，根据基金管理人的投资指令，及时办理清算、交割事宜；</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）复核、审查基金管理人计算的基金资产净值、基金份额申购、赎回价格；</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rsidR="00225DDF" w:rsidRDefault="00225DDF" w:rsidP="00225DDF">
      <w:pPr>
        <w:adjustRightInd w:val="0"/>
        <w:snapToGrid w:val="0"/>
        <w:spacing w:line="360" w:lineRule="auto"/>
        <w:ind w:firstLineChars="200" w:firstLine="480"/>
        <w:rPr>
          <w:bCs/>
          <w:sz w:val="24"/>
        </w:rPr>
      </w:pPr>
      <w:r w:rsidRPr="00613BD5">
        <w:rPr>
          <w:bCs/>
          <w:sz w:val="24"/>
        </w:rPr>
        <w:lastRenderedPageBreak/>
        <w:t>（</w:t>
      </w:r>
      <w:r w:rsidRPr="00613BD5">
        <w:rPr>
          <w:bCs/>
          <w:sz w:val="24"/>
        </w:rPr>
        <w:t>10</w:t>
      </w:r>
      <w:r w:rsidRPr="00613BD5">
        <w:rPr>
          <w:bCs/>
          <w:sz w:val="24"/>
        </w:rPr>
        <w:t>）对基金财务会计报告、</w:t>
      </w:r>
      <w:r w:rsidRPr="00613BD5">
        <w:rPr>
          <w:rFonts w:hint="eastAsia"/>
          <w:bCs/>
          <w:sz w:val="24"/>
        </w:rPr>
        <w:t>季度、</w:t>
      </w:r>
      <w:r w:rsidRPr="00613BD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Pr="00613BD5">
        <w:rPr>
          <w:rFonts w:hint="eastAsia"/>
        </w:rPr>
        <w:t>15</w:t>
      </w:r>
      <w:r w:rsidRPr="00613BD5">
        <w:rPr>
          <w:bCs/>
          <w:sz w:val="24"/>
        </w:rPr>
        <w:t>年以上；</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w:t>
      </w:r>
      <w:r>
        <w:rPr>
          <w:bCs/>
          <w:sz w:val="24"/>
        </w:rPr>
        <w:t>决议</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）法律法规及中国证监会规定的和基金合同约定的其他义务。</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（三）</w:t>
      </w:r>
      <w:r w:rsidRPr="00613BD5">
        <w:rPr>
          <w:bCs/>
          <w:sz w:val="24"/>
        </w:rPr>
        <w:t>基金份额持有人</w:t>
      </w:r>
      <w:r w:rsidRPr="00613BD5">
        <w:rPr>
          <w:rFonts w:hint="eastAsia"/>
          <w:bCs/>
          <w:sz w:val="24"/>
        </w:rPr>
        <w:t>的权利与义务</w:t>
      </w:r>
    </w:p>
    <w:p w:rsidR="00225DDF" w:rsidRDefault="00225DDF" w:rsidP="00225DDF">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225DDF" w:rsidRDefault="00225DDF" w:rsidP="00225DDF">
      <w:pPr>
        <w:adjustRightInd w:val="0"/>
        <w:snapToGrid w:val="0"/>
        <w:spacing w:line="360" w:lineRule="auto"/>
        <w:ind w:firstLineChars="200" w:firstLine="480"/>
        <w:rPr>
          <w:bCs/>
          <w:sz w:val="24"/>
        </w:rPr>
      </w:pPr>
      <w:r w:rsidRPr="00613BD5">
        <w:rPr>
          <w:bCs/>
          <w:sz w:val="24"/>
        </w:rPr>
        <w:t>每份基金份额具有同等的合法权益</w:t>
      </w:r>
      <w:r w:rsidRPr="00613BD5">
        <w:rPr>
          <w:rFonts w:hint="eastAsia"/>
          <w:bCs/>
          <w:sz w:val="24"/>
        </w:rPr>
        <w:t>，基金合同另有约定的除外</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lastRenderedPageBreak/>
        <w:t>1</w:t>
      </w:r>
      <w:r w:rsidRPr="00613BD5">
        <w:rPr>
          <w:bCs/>
          <w:sz w:val="24"/>
        </w:rPr>
        <w:t>、根据《基金法》、《运作办法》及其他有关规定，基金份额持有人的权利包括但不限于：</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Pr="001B430F">
        <w:rPr>
          <w:rFonts w:hint="eastAsia"/>
          <w:bCs/>
          <w:sz w:val="24"/>
        </w:rPr>
        <w:t>或者召集基金份额持有人大会</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w:t>
      </w:r>
      <w:r>
        <w:rPr>
          <w:bCs/>
          <w:sz w:val="24"/>
        </w:rPr>
        <w:t>9</w:t>
      </w:r>
      <w:r w:rsidRPr="00613BD5">
        <w:rPr>
          <w:rFonts w:hint="eastAsia"/>
          <w:bCs/>
          <w:sz w:val="24"/>
        </w:rPr>
        <w:t>）</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Pr>
          <w:bCs/>
          <w:sz w:val="24"/>
        </w:rPr>
        <w:t>议</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rsidR="00225DDF" w:rsidRPr="00613BD5" w:rsidRDefault="00225DDF" w:rsidP="00225DDF">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rsidR="00225DDF" w:rsidRPr="00613BD5" w:rsidRDefault="00225DDF" w:rsidP="00225DDF">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rsidR="00225DDF" w:rsidRDefault="00225DDF" w:rsidP="00225DDF">
      <w:pPr>
        <w:adjustRightInd w:val="0"/>
        <w:snapToGrid w:val="0"/>
        <w:spacing w:line="360" w:lineRule="auto"/>
        <w:ind w:firstLineChars="200" w:firstLine="480"/>
        <w:rPr>
          <w:bCs/>
          <w:sz w:val="24"/>
        </w:rPr>
      </w:pPr>
    </w:p>
    <w:p w:rsidR="00225DDF" w:rsidRPr="00225DDF" w:rsidRDefault="00225DDF" w:rsidP="00225DDF">
      <w:pPr>
        <w:adjustRightInd w:val="0"/>
        <w:snapToGrid w:val="0"/>
        <w:spacing w:line="360" w:lineRule="auto"/>
        <w:ind w:firstLineChars="200" w:firstLine="482"/>
        <w:rPr>
          <w:b/>
          <w:bCs/>
          <w:sz w:val="24"/>
        </w:rPr>
      </w:pPr>
      <w:r w:rsidRPr="00225DDF">
        <w:rPr>
          <w:rFonts w:hint="eastAsia"/>
          <w:b/>
          <w:bCs/>
          <w:sz w:val="24"/>
        </w:rPr>
        <w:lastRenderedPageBreak/>
        <w:t>二、</w:t>
      </w:r>
      <w:r w:rsidRPr="00225DDF">
        <w:rPr>
          <w:b/>
          <w:bCs/>
          <w:sz w:val="24"/>
        </w:rPr>
        <w:t>基金份额持有人大会召集、议事及表决的程序和规则</w:t>
      </w:r>
    </w:p>
    <w:p w:rsidR="00225DDF" w:rsidRDefault="00225DDF" w:rsidP="00225DDF">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rsidR="00225DDF" w:rsidRDefault="00225DDF" w:rsidP="00225DDF">
      <w:pPr>
        <w:adjustRightInd w:val="0"/>
        <w:snapToGrid w:val="0"/>
        <w:spacing w:line="360" w:lineRule="auto"/>
        <w:ind w:firstLineChars="200" w:firstLine="480"/>
        <w:rPr>
          <w:bCs/>
          <w:sz w:val="24"/>
        </w:rPr>
      </w:pPr>
      <w:r w:rsidRPr="001B430F">
        <w:rPr>
          <w:rFonts w:hint="eastAsia"/>
          <w:bCs/>
          <w:sz w:val="24"/>
        </w:rPr>
        <w:t>本基金份额持有人大会不设日常机构。</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（一）</w:t>
      </w:r>
      <w:r w:rsidRPr="00613BD5">
        <w:rPr>
          <w:bCs/>
          <w:sz w:val="24"/>
        </w:rPr>
        <w:t>召开事由</w:t>
      </w:r>
    </w:p>
    <w:p w:rsidR="00225DDF"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Pr="00613BD5">
        <w:rPr>
          <w:rFonts w:ascii="宋体" w:hAnsi="宋体" w:hint="eastAsia"/>
          <w:bCs/>
          <w:sz w:val="24"/>
        </w:rPr>
        <w:t>，但法律法规要求提高该等报酬标准的除外</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rsidR="00225DDF" w:rsidRDefault="00225DDF" w:rsidP="00225DDF">
      <w:pPr>
        <w:adjustRightInd w:val="0"/>
        <w:snapToGrid w:val="0"/>
        <w:spacing w:line="360" w:lineRule="auto"/>
        <w:ind w:firstLineChars="200" w:firstLine="480"/>
        <w:rPr>
          <w:bCs/>
          <w:sz w:val="24"/>
        </w:rPr>
      </w:pPr>
      <w:r w:rsidRPr="00613BD5">
        <w:rPr>
          <w:rFonts w:hAnsi="宋体"/>
          <w:sz w:val="24"/>
        </w:rPr>
        <w:t>（</w:t>
      </w:r>
      <w:r w:rsidRPr="00613BD5">
        <w:rPr>
          <w:sz w:val="24"/>
        </w:rPr>
        <w:t>1</w:t>
      </w:r>
      <w:r>
        <w:rPr>
          <w:sz w:val="24"/>
        </w:rPr>
        <w:t>2</w:t>
      </w:r>
      <w:r w:rsidRPr="00613BD5">
        <w:rPr>
          <w:rFonts w:hAnsi="宋体"/>
          <w:sz w:val="24"/>
        </w:rPr>
        <w:t>）</w:t>
      </w:r>
      <w:r w:rsidRPr="00613BD5">
        <w:rPr>
          <w:bCs/>
          <w:sz w:val="24"/>
        </w:rPr>
        <w:t>对基金当事人权利和义务产生重大影响的其他事项；</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Pr>
          <w:bCs/>
          <w:sz w:val="24"/>
        </w:rPr>
        <w:t>3</w:t>
      </w:r>
      <w:r w:rsidRPr="00613BD5">
        <w:rPr>
          <w:bCs/>
          <w:sz w:val="24"/>
        </w:rPr>
        <w:t>）法律法规、基金合同或中国证监会规定的其他应当召开基金份额持有人大会的事项。</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、以下情况可由基金管理人和基金托管人协商后修改，不需召开基金份额持有人大会：</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rFonts w:hAnsi="宋体"/>
          <w:sz w:val="24"/>
        </w:rPr>
        <w:t>（</w:t>
      </w:r>
      <w:r>
        <w:rPr>
          <w:sz w:val="24"/>
        </w:rPr>
        <w:t>2</w:t>
      </w:r>
      <w:r w:rsidRPr="00613BD5">
        <w:rPr>
          <w:rFonts w:hAnsi="宋体"/>
          <w:sz w:val="24"/>
        </w:rPr>
        <w:t>）</w:t>
      </w:r>
      <w:r w:rsidRPr="00613BD5">
        <w:rPr>
          <w:bCs/>
          <w:sz w:val="24"/>
        </w:rPr>
        <w:t>法律法规要求增加的基金费用的收取；</w:t>
      </w:r>
    </w:p>
    <w:p w:rsidR="00225DDF" w:rsidRDefault="00225DDF" w:rsidP="00225DDF">
      <w:pPr>
        <w:adjustRightInd w:val="0"/>
        <w:snapToGrid w:val="0"/>
        <w:spacing w:line="360" w:lineRule="auto"/>
        <w:ind w:firstLineChars="200" w:firstLine="480"/>
        <w:rPr>
          <w:bCs/>
          <w:sz w:val="24"/>
        </w:rPr>
      </w:pPr>
      <w:r w:rsidRPr="00613BD5">
        <w:rPr>
          <w:bCs/>
          <w:sz w:val="24"/>
        </w:rPr>
        <w:lastRenderedPageBreak/>
        <w:t>（</w:t>
      </w:r>
      <w:r>
        <w:rPr>
          <w:bCs/>
          <w:sz w:val="24"/>
        </w:rPr>
        <w:t>3</w:t>
      </w:r>
      <w:r w:rsidRPr="00613BD5">
        <w:rPr>
          <w:bCs/>
          <w:sz w:val="24"/>
        </w:rPr>
        <w:t>）在法律法规和基金合同规定的范围内调整本基金的申购费率、调低赎回费率</w:t>
      </w:r>
      <w:r w:rsidRPr="00613BD5">
        <w:rPr>
          <w:rFonts w:hint="eastAsia"/>
          <w:bCs/>
          <w:sz w:val="24"/>
        </w:rPr>
        <w:t>、变更或增加收费方式</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w:t>
      </w:r>
      <w:r>
        <w:rPr>
          <w:bCs/>
          <w:sz w:val="24"/>
        </w:rPr>
        <w:t>4</w:t>
      </w:r>
      <w:r w:rsidRPr="00613BD5">
        <w:rPr>
          <w:bCs/>
          <w:sz w:val="24"/>
        </w:rPr>
        <w:t>）因相应的法律法规发生变动而应当对基金合同进行修改；</w:t>
      </w:r>
    </w:p>
    <w:p w:rsidR="00225DDF" w:rsidRDefault="00225DDF" w:rsidP="00225DDF">
      <w:pPr>
        <w:adjustRightInd w:val="0"/>
        <w:snapToGrid w:val="0"/>
        <w:spacing w:line="360" w:lineRule="auto"/>
        <w:ind w:firstLineChars="200" w:firstLine="480"/>
        <w:rPr>
          <w:bCs/>
          <w:sz w:val="24"/>
        </w:rPr>
      </w:pPr>
      <w:r w:rsidRPr="00613BD5">
        <w:rPr>
          <w:bCs/>
          <w:sz w:val="24"/>
        </w:rPr>
        <w:t>（</w:t>
      </w:r>
      <w:r>
        <w:rPr>
          <w:bCs/>
          <w:sz w:val="24"/>
        </w:rPr>
        <w:t>5</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rsidR="00225DDF" w:rsidRDefault="00225DDF" w:rsidP="00225DDF">
      <w:pPr>
        <w:adjustRightInd w:val="0"/>
        <w:snapToGrid w:val="0"/>
        <w:spacing w:line="360" w:lineRule="auto"/>
        <w:ind w:firstLineChars="200" w:firstLine="480"/>
        <w:rPr>
          <w:bCs/>
          <w:sz w:val="24"/>
        </w:rPr>
      </w:pPr>
      <w:r w:rsidRPr="00613BD5">
        <w:rPr>
          <w:bCs/>
          <w:sz w:val="24"/>
        </w:rPr>
        <w:t>（</w:t>
      </w:r>
      <w:r>
        <w:rPr>
          <w:bCs/>
          <w:sz w:val="24"/>
        </w:rPr>
        <w:t>6</w:t>
      </w:r>
      <w:r w:rsidRPr="00613BD5">
        <w:rPr>
          <w:bCs/>
          <w:sz w:val="24"/>
        </w:rPr>
        <w:t>）按照法律法规和基金合同规定不需召开基金份额持有人大会的以外的其他情形。</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（二）</w:t>
      </w:r>
      <w:r w:rsidRPr="00613BD5">
        <w:rPr>
          <w:bCs/>
          <w:sz w:val="24"/>
        </w:rPr>
        <w:t>会议召集人及召集方式</w:t>
      </w:r>
    </w:p>
    <w:p w:rsidR="00225DDF"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Pr="001B430F">
        <w:rPr>
          <w:rFonts w:hint="eastAsia"/>
          <w:bCs/>
          <w:sz w:val="24"/>
        </w:rPr>
        <w:t>，并自出具书面决定之日起</w:t>
      </w:r>
      <w:r w:rsidRPr="001B430F">
        <w:rPr>
          <w:rFonts w:hint="eastAsia"/>
          <w:bCs/>
          <w:sz w:val="24"/>
        </w:rPr>
        <w:t>60</w:t>
      </w:r>
      <w:r w:rsidRPr="001B430F">
        <w:rPr>
          <w:rFonts w:hint="eastAsia"/>
          <w:bCs/>
          <w:sz w:val="24"/>
        </w:rPr>
        <w:t>日内召开并告知基金管理人，基金管理人应当配合</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Pr="001B430F">
        <w:rPr>
          <w:rFonts w:hint="eastAsia"/>
          <w:bCs/>
          <w:sz w:val="24"/>
        </w:rPr>
        <w:t>并告知基金管理人，基金管理人应当配合。</w:t>
      </w:r>
    </w:p>
    <w:p w:rsidR="00225DDF" w:rsidRDefault="00225DDF" w:rsidP="00225DDF">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w:t>
      </w:r>
      <w:r w:rsidRPr="00613BD5">
        <w:rPr>
          <w:bCs/>
          <w:sz w:val="24"/>
        </w:rPr>
        <w:lastRenderedPageBreak/>
        <w:t>基金管理人、基金托管人应当配合，不得阻碍、干扰。</w:t>
      </w:r>
    </w:p>
    <w:p w:rsidR="00225DDF" w:rsidRDefault="00225DDF" w:rsidP="00225DDF">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（三）</w:t>
      </w:r>
      <w:r w:rsidRPr="00613BD5">
        <w:rPr>
          <w:bCs/>
          <w:sz w:val="24"/>
        </w:rPr>
        <w:t>召开基金份额持有人大会的通知时间、通知内容、通知方式</w:t>
      </w:r>
    </w:p>
    <w:p w:rsidR="00225DDF"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Pr>
          <w:bCs/>
          <w:sz w:val="24"/>
        </w:rPr>
        <w:t>指定媒介</w:t>
      </w:r>
      <w:r w:rsidRPr="00613BD5">
        <w:rPr>
          <w:bCs/>
          <w:sz w:val="24"/>
        </w:rPr>
        <w:t>公告。基金份额持有人大会通知应至少载明以下内容：</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25DDF" w:rsidRDefault="00225DDF" w:rsidP="00225DDF">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基金份额持有人出席会议的方式</w:t>
      </w:r>
    </w:p>
    <w:p w:rsidR="00225DDF" w:rsidRDefault="00225DDF" w:rsidP="00225DDF">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rsidR="00225DDF"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rsidR="00225DDF" w:rsidRDefault="00225DDF" w:rsidP="00225DDF">
      <w:pPr>
        <w:adjustRightInd w:val="0"/>
        <w:snapToGrid w:val="0"/>
        <w:spacing w:line="360" w:lineRule="auto"/>
        <w:ind w:firstLineChars="200" w:firstLine="480"/>
        <w:rPr>
          <w:bCs/>
          <w:sz w:val="24"/>
        </w:rPr>
      </w:pPr>
      <w:r w:rsidRPr="00613BD5">
        <w:rPr>
          <w:bCs/>
          <w:sz w:val="24"/>
        </w:rPr>
        <w:lastRenderedPageBreak/>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Pr="001B430F">
        <w:rPr>
          <w:rFonts w:hint="eastAsia"/>
          <w:bCs/>
          <w:sz w:val="24"/>
        </w:rPr>
        <w:t>若到会者在权益登记日代表的有效的基金份额少于本基金在权益登记日基金总份额的二分之一，召集人可以在原公告的基金份额持有人大会召开时间的</w:t>
      </w:r>
      <w:r w:rsidRPr="001B430F">
        <w:rPr>
          <w:rFonts w:hint="eastAsia"/>
          <w:bCs/>
          <w:sz w:val="24"/>
        </w:rPr>
        <w:t>3</w:t>
      </w:r>
      <w:r w:rsidRPr="001B430F">
        <w:rPr>
          <w:rFonts w:hint="eastAsia"/>
          <w:bCs/>
          <w:sz w:val="24"/>
        </w:rPr>
        <w:t>个月以后、</w:t>
      </w:r>
      <w:r w:rsidRPr="001B430F">
        <w:rPr>
          <w:rFonts w:hint="eastAsia"/>
          <w:bCs/>
          <w:sz w:val="24"/>
        </w:rPr>
        <w:t>6</w:t>
      </w:r>
      <w:r w:rsidRPr="001B430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rsidR="00225DDF" w:rsidRDefault="00225DDF" w:rsidP="00225DDF">
      <w:pPr>
        <w:adjustRightInd w:val="0"/>
        <w:snapToGrid w:val="0"/>
        <w:spacing w:line="360" w:lineRule="auto"/>
        <w:ind w:firstLineChars="200" w:firstLine="480"/>
        <w:rPr>
          <w:bCs/>
          <w:sz w:val="24"/>
        </w:rPr>
      </w:pPr>
      <w:r w:rsidRPr="00613BD5">
        <w:rPr>
          <w:bCs/>
          <w:sz w:val="24"/>
        </w:rPr>
        <w:t>在同时符合以下条件时，通讯开会的方式视为有效：</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Pr="001B430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1B430F">
        <w:rPr>
          <w:rFonts w:hint="eastAsia"/>
          <w:bCs/>
          <w:sz w:val="24"/>
        </w:rPr>
        <w:t>3</w:t>
      </w:r>
      <w:r w:rsidRPr="001B430F">
        <w:rPr>
          <w:rFonts w:hint="eastAsia"/>
          <w:bCs/>
          <w:sz w:val="24"/>
        </w:rPr>
        <w:t>个月以后、</w:t>
      </w:r>
      <w:r w:rsidRPr="001B430F">
        <w:rPr>
          <w:rFonts w:hint="eastAsia"/>
          <w:bCs/>
          <w:sz w:val="24"/>
        </w:rPr>
        <w:t>6</w:t>
      </w:r>
      <w:r w:rsidRPr="001B430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w:t>
      </w:r>
      <w:r w:rsidRPr="00613BD5">
        <w:rPr>
          <w:bCs/>
          <w:sz w:val="24"/>
        </w:rPr>
        <w:lastRenderedPageBreak/>
        <w:t>代理人出具的委托人持有基金份额的凭证及委托人的代理投票授权委托证明符合法律法规、基金合同和会议通知的规定，并与基金登记机构记录相符；</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rsidR="00225DDF" w:rsidRDefault="00225DDF" w:rsidP="00225DDF">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（五）</w:t>
      </w:r>
      <w:r w:rsidRPr="00613BD5">
        <w:rPr>
          <w:bCs/>
          <w:sz w:val="24"/>
        </w:rPr>
        <w:t>议事内容与程序</w:t>
      </w:r>
    </w:p>
    <w:p w:rsidR="00225DDF"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rsidR="00225DDF" w:rsidRDefault="00225DDF" w:rsidP="00225DDF">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25DDF" w:rsidRDefault="00225DDF" w:rsidP="00225DDF">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rsidR="00225DDF" w:rsidRDefault="00225DDF" w:rsidP="00225DDF">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、议事程序</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rsidR="00225DDF" w:rsidRDefault="00225DDF" w:rsidP="00225DDF">
      <w:pPr>
        <w:adjustRightInd w:val="0"/>
        <w:snapToGrid w:val="0"/>
        <w:spacing w:line="360" w:lineRule="auto"/>
        <w:ind w:firstLineChars="200" w:firstLine="480"/>
        <w:rPr>
          <w:bCs/>
          <w:sz w:val="24"/>
        </w:rPr>
      </w:pPr>
      <w:r w:rsidRPr="00613BD5">
        <w:rPr>
          <w:bCs/>
          <w:sz w:val="24"/>
        </w:rPr>
        <w:t>在现场开会的方式下，首先由大会主持人按照下列第</w:t>
      </w:r>
      <w:r>
        <w:rPr>
          <w:rFonts w:hint="eastAsia"/>
          <w:bCs/>
          <w:sz w:val="24"/>
        </w:rPr>
        <w:t>（</w:t>
      </w:r>
      <w:r w:rsidRPr="00613BD5">
        <w:rPr>
          <w:bCs/>
          <w:sz w:val="24"/>
        </w:rPr>
        <w:t>七</w:t>
      </w:r>
      <w:r>
        <w:rPr>
          <w:rFonts w:hint="eastAsia"/>
          <w:bCs/>
          <w:sz w:val="24"/>
        </w:rPr>
        <w:t>）</w:t>
      </w:r>
      <w:r w:rsidRPr="00613BD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225DDF" w:rsidRDefault="00225DDF" w:rsidP="00225DDF">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225DDF" w:rsidRDefault="00225DDF" w:rsidP="00225DDF">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）通讯开会</w:t>
      </w:r>
    </w:p>
    <w:p w:rsidR="00225DDF" w:rsidRDefault="00225DDF" w:rsidP="00225DDF">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（六）</w:t>
      </w:r>
      <w:r w:rsidRPr="00613BD5">
        <w:rPr>
          <w:bCs/>
          <w:sz w:val="24"/>
        </w:rPr>
        <w:t>表决</w:t>
      </w:r>
    </w:p>
    <w:p w:rsidR="00225DDF" w:rsidRDefault="00225DDF" w:rsidP="00225DDF">
      <w:pPr>
        <w:adjustRightInd w:val="0"/>
        <w:snapToGrid w:val="0"/>
        <w:spacing w:line="360" w:lineRule="auto"/>
        <w:ind w:firstLineChars="200" w:firstLine="480"/>
        <w:rPr>
          <w:bCs/>
          <w:sz w:val="24"/>
        </w:rPr>
      </w:pPr>
      <w:r w:rsidRPr="00613BD5">
        <w:rPr>
          <w:bCs/>
          <w:sz w:val="24"/>
        </w:rPr>
        <w:t>基金份额持有人所持每份基金份额有一票表决权。</w:t>
      </w:r>
    </w:p>
    <w:p w:rsidR="00225DDF" w:rsidRDefault="00225DDF" w:rsidP="00225DDF">
      <w:pPr>
        <w:adjustRightInd w:val="0"/>
        <w:snapToGrid w:val="0"/>
        <w:spacing w:line="360" w:lineRule="auto"/>
        <w:ind w:firstLineChars="200" w:firstLine="480"/>
        <w:rPr>
          <w:bCs/>
          <w:sz w:val="24"/>
        </w:rPr>
      </w:pPr>
      <w:r w:rsidRPr="00613BD5">
        <w:rPr>
          <w:bCs/>
          <w:sz w:val="24"/>
        </w:rPr>
        <w:t>基金份额持有人大会决议分为一般决议和特别决议：</w:t>
      </w:r>
    </w:p>
    <w:p w:rsidR="00225DDF"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）通过方可做出。转换基金运作方式、更换基金管理人或者基金托管人、终止基金合同</w:t>
      </w:r>
      <w:r w:rsidRPr="001B430F">
        <w:rPr>
          <w:rFonts w:hint="eastAsia"/>
          <w:bCs/>
          <w:sz w:val="24"/>
        </w:rPr>
        <w:t>、与其他基金合并</w:t>
      </w:r>
      <w:r w:rsidRPr="00613BD5">
        <w:rPr>
          <w:bCs/>
          <w:sz w:val="24"/>
        </w:rPr>
        <w:t>以特别决议通过方为有效。</w:t>
      </w:r>
    </w:p>
    <w:p w:rsidR="00225DDF" w:rsidRDefault="00225DDF" w:rsidP="00225DDF">
      <w:pPr>
        <w:adjustRightInd w:val="0"/>
        <w:snapToGrid w:val="0"/>
        <w:spacing w:line="360" w:lineRule="auto"/>
        <w:ind w:firstLineChars="200" w:firstLine="480"/>
        <w:rPr>
          <w:bCs/>
          <w:sz w:val="24"/>
        </w:rPr>
      </w:pPr>
      <w:r w:rsidRPr="00613BD5">
        <w:rPr>
          <w:bCs/>
          <w:sz w:val="24"/>
        </w:rPr>
        <w:t>基金份额持有人大会采取记名方式进行投票表决。</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25DDF" w:rsidRDefault="00225DDF" w:rsidP="00225DDF">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（七）</w:t>
      </w:r>
      <w:r w:rsidRPr="00613BD5">
        <w:rPr>
          <w:bCs/>
          <w:sz w:val="24"/>
        </w:rPr>
        <w:t>计票</w:t>
      </w:r>
    </w:p>
    <w:p w:rsidR="00225DDF"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、现场开会</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rsidR="00225DDF" w:rsidRDefault="00225DDF" w:rsidP="00225DDF">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）监票人应当在基金份额持有人表决后立即进行清点并由大会主持人当场公布计票结果。</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、通讯开会</w:t>
      </w:r>
    </w:p>
    <w:p w:rsidR="00225DDF" w:rsidRDefault="00225DDF" w:rsidP="00225DDF">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（八）</w:t>
      </w:r>
      <w:r w:rsidRPr="00613BD5">
        <w:rPr>
          <w:bCs/>
          <w:sz w:val="24"/>
        </w:rPr>
        <w:t>生效与公告</w:t>
      </w:r>
    </w:p>
    <w:p w:rsidR="00225DDF" w:rsidRPr="001B430F" w:rsidRDefault="00225DDF" w:rsidP="00225DDF">
      <w:pPr>
        <w:adjustRightInd w:val="0"/>
        <w:snapToGrid w:val="0"/>
        <w:spacing w:line="360" w:lineRule="auto"/>
        <w:ind w:firstLineChars="200" w:firstLine="480"/>
        <w:rPr>
          <w:bCs/>
          <w:sz w:val="24"/>
        </w:rPr>
      </w:pPr>
      <w:r w:rsidRPr="001B430F">
        <w:rPr>
          <w:rFonts w:hint="eastAsia"/>
          <w:bCs/>
          <w:sz w:val="24"/>
        </w:rPr>
        <w:t>基金份额持有人大会的决议，召集人应当自通过之日起</w:t>
      </w:r>
      <w:r w:rsidRPr="001B430F">
        <w:rPr>
          <w:rFonts w:hint="eastAsia"/>
          <w:bCs/>
          <w:sz w:val="24"/>
        </w:rPr>
        <w:t>5</w:t>
      </w:r>
      <w:r w:rsidRPr="001B430F">
        <w:rPr>
          <w:rFonts w:hint="eastAsia"/>
          <w:bCs/>
          <w:sz w:val="24"/>
        </w:rPr>
        <w:t>日内报中国证监会备案。</w:t>
      </w:r>
    </w:p>
    <w:p w:rsidR="00225DDF" w:rsidRPr="001B430F" w:rsidRDefault="00225DDF" w:rsidP="00225DDF">
      <w:pPr>
        <w:adjustRightInd w:val="0"/>
        <w:snapToGrid w:val="0"/>
        <w:spacing w:line="360" w:lineRule="auto"/>
        <w:ind w:firstLineChars="200" w:firstLine="480"/>
        <w:rPr>
          <w:bCs/>
          <w:sz w:val="24"/>
        </w:rPr>
      </w:pPr>
      <w:r w:rsidRPr="001B430F">
        <w:rPr>
          <w:rFonts w:hint="eastAsia"/>
          <w:bCs/>
          <w:sz w:val="24"/>
        </w:rPr>
        <w:t>基金份额持有人大会的决议自表决通过之日起生效。法律法规另有规定的，从其规定。</w:t>
      </w:r>
    </w:p>
    <w:p w:rsidR="00225DDF" w:rsidRDefault="00225DDF" w:rsidP="00225DDF">
      <w:pPr>
        <w:adjustRightInd w:val="0"/>
        <w:snapToGrid w:val="0"/>
        <w:spacing w:line="360" w:lineRule="auto"/>
        <w:ind w:firstLineChars="200" w:firstLine="480"/>
        <w:rPr>
          <w:bCs/>
          <w:sz w:val="24"/>
        </w:rPr>
      </w:pPr>
      <w:r w:rsidRPr="001B430F">
        <w:rPr>
          <w:rFonts w:hint="eastAsia"/>
          <w:bCs/>
          <w:sz w:val="24"/>
        </w:rPr>
        <w:t>基金份额持有人大会决议自生效之日起</w:t>
      </w:r>
      <w:r>
        <w:rPr>
          <w:rFonts w:hint="eastAsia"/>
          <w:bCs/>
          <w:sz w:val="24"/>
        </w:rPr>
        <w:t>2</w:t>
      </w:r>
      <w:r>
        <w:rPr>
          <w:rFonts w:hint="eastAsia"/>
          <w:bCs/>
          <w:sz w:val="24"/>
        </w:rPr>
        <w:t>个工作日内</w:t>
      </w:r>
      <w:r w:rsidRPr="001B430F">
        <w:rPr>
          <w:rFonts w:hint="eastAsia"/>
          <w:bCs/>
          <w:sz w:val="24"/>
        </w:rPr>
        <w:t>在指定媒介上公告。如果采用通讯方式进行表决，在公告基金份额持有人大会决议时，必须将公证书全文、公证机构、公证员姓名等一同公告。</w:t>
      </w:r>
    </w:p>
    <w:p w:rsidR="00225DDF" w:rsidRDefault="00225DDF" w:rsidP="00225DDF">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（九）法律法规或监管部门对基金份额持有人大会另有规定的，从其规定。</w:t>
      </w:r>
    </w:p>
    <w:p w:rsidR="00225DDF" w:rsidRDefault="00225DDF" w:rsidP="00225DDF">
      <w:pPr>
        <w:adjustRightInd w:val="0"/>
        <w:snapToGrid w:val="0"/>
        <w:spacing w:line="360" w:lineRule="auto"/>
        <w:ind w:firstLineChars="200" w:firstLine="480"/>
        <w:rPr>
          <w:bCs/>
          <w:sz w:val="24"/>
        </w:rPr>
      </w:pPr>
    </w:p>
    <w:p w:rsidR="00225DDF" w:rsidRPr="00225DDF" w:rsidRDefault="00225DDF" w:rsidP="00225DDF">
      <w:pPr>
        <w:adjustRightInd w:val="0"/>
        <w:snapToGrid w:val="0"/>
        <w:spacing w:line="360" w:lineRule="auto"/>
        <w:ind w:firstLineChars="200" w:firstLine="482"/>
        <w:rPr>
          <w:b/>
          <w:bCs/>
          <w:sz w:val="24"/>
        </w:rPr>
      </w:pPr>
      <w:r w:rsidRPr="00225DDF">
        <w:rPr>
          <w:rFonts w:hint="eastAsia"/>
          <w:b/>
          <w:bCs/>
          <w:sz w:val="24"/>
        </w:rPr>
        <w:t>三、</w:t>
      </w:r>
      <w:r w:rsidRPr="00225DDF">
        <w:rPr>
          <w:rFonts w:cs="Arial Unicode MS"/>
          <w:b/>
          <w:bCs/>
          <w:sz w:val="24"/>
        </w:rPr>
        <w:t>基金收益分配原则、执行方式</w:t>
      </w:r>
    </w:p>
    <w:p w:rsidR="00225DDF" w:rsidRDefault="00225DDF" w:rsidP="00225DDF">
      <w:pPr>
        <w:adjustRightInd w:val="0"/>
        <w:snapToGrid w:val="0"/>
        <w:spacing w:line="360" w:lineRule="auto"/>
        <w:ind w:firstLineChars="225" w:firstLine="540"/>
        <w:rPr>
          <w:bCs/>
          <w:sz w:val="24"/>
        </w:rPr>
      </w:pPr>
      <w:r w:rsidRPr="00613BD5">
        <w:rPr>
          <w:rFonts w:hint="eastAsia"/>
          <w:bCs/>
          <w:sz w:val="24"/>
        </w:rPr>
        <w:t>（一）</w:t>
      </w:r>
      <w:r w:rsidRPr="00613BD5">
        <w:rPr>
          <w:bCs/>
          <w:sz w:val="24"/>
        </w:rPr>
        <w:t>基金收益分配原则</w:t>
      </w:r>
    </w:p>
    <w:p w:rsidR="00225DDF" w:rsidRPr="00613BD5" w:rsidRDefault="00225DDF" w:rsidP="00225DDF">
      <w:pPr>
        <w:adjustRightInd w:val="0"/>
        <w:snapToGrid w:val="0"/>
        <w:spacing w:line="360" w:lineRule="auto"/>
        <w:ind w:firstLineChars="200" w:firstLine="480"/>
        <w:rPr>
          <w:sz w:val="24"/>
        </w:rPr>
      </w:pPr>
      <w:r w:rsidRPr="00613BD5">
        <w:rPr>
          <w:sz w:val="24"/>
        </w:rPr>
        <w:t>1</w:t>
      </w:r>
      <w:r>
        <w:rPr>
          <w:rFonts w:hAnsi="宋体" w:hint="eastAsia"/>
          <w:sz w:val="24"/>
        </w:rPr>
        <w:t>、</w:t>
      </w:r>
      <w:r w:rsidRPr="00613BD5">
        <w:rPr>
          <w:bCs/>
          <w:sz w:val="24"/>
        </w:rPr>
        <w:t>在符合有关基金分红条件的前提下，基金每年收益分配次数最多为</w:t>
      </w:r>
      <w:r w:rsidRPr="00613BD5">
        <w:rPr>
          <w:rFonts w:hint="eastAsia"/>
          <w:bCs/>
          <w:sz w:val="24"/>
        </w:rPr>
        <w:t>12</w:t>
      </w:r>
      <w:r w:rsidRPr="00613BD5">
        <w:rPr>
          <w:bCs/>
          <w:sz w:val="24"/>
        </w:rPr>
        <w:t>次，每次收益分配比例不得低于该次可供分配利润的</w:t>
      </w:r>
      <w:r w:rsidRPr="00613BD5">
        <w:rPr>
          <w:rFonts w:hint="eastAsia"/>
          <w:bCs/>
          <w:sz w:val="24"/>
        </w:rPr>
        <w:t>60</w:t>
      </w:r>
      <w:r w:rsidRPr="00613BD5">
        <w:rPr>
          <w:bCs/>
          <w:sz w:val="24"/>
        </w:rPr>
        <w:t>%</w:t>
      </w:r>
      <w:r w:rsidRPr="00613BD5">
        <w:rPr>
          <w:rFonts w:hAnsi="宋体"/>
          <w:sz w:val="24"/>
        </w:rPr>
        <w:t>；</w:t>
      </w:r>
    </w:p>
    <w:p w:rsidR="00225DDF" w:rsidRPr="00613BD5" w:rsidRDefault="00225DDF" w:rsidP="00225DDF">
      <w:pPr>
        <w:adjustRightInd w:val="0"/>
        <w:snapToGrid w:val="0"/>
        <w:spacing w:line="360" w:lineRule="auto"/>
        <w:ind w:firstLineChars="200" w:firstLine="480"/>
        <w:rPr>
          <w:bCs/>
          <w:sz w:val="24"/>
        </w:rPr>
      </w:pPr>
      <w:r w:rsidRPr="00613BD5">
        <w:rPr>
          <w:sz w:val="24"/>
        </w:rPr>
        <w:lastRenderedPageBreak/>
        <w:t>2</w:t>
      </w:r>
      <w:r>
        <w:rPr>
          <w:rFonts w:hAnsi="宋体" w:hint="eastAsia"/>
          <w:sz w:val="24"/>
        </w:rPr>
        <w:t>、</w:t>
      </w:r>
      <w:r w:rsidRPr="00613BD5">
        <w:rPr>
          <w:rFonts w:hAnsi="宋体"/>
          <w:sz w:val="24"/>
        </w:rPr>
        <w:t>基金收益分配方式分为现金分红与红利再投资，投资人可选择现金红利或将现金红利按除权日的单位净值自动转为基金份额进行再投资；若投资人不选择，本基金默认的收益分配方式是现金分红</w:t>
      </w:r>
      <w:r w:rsidRPr="00613BD5">
        <w:rPr>
          <w:rFonts w:hAnsi="宋体" w:hint="eastAsia"/>
          <w:sz w:val="24"/>
          <w:szCs w:val="21"/>
        </w:rPr>
        <w:t>；</w:t>
      </w:r>
    </w:p>
    <w:p w:rsidR="00225DDF" w:rsidRPr="00613BD5" w:rsidRDefault="00225DDF" w:rsidP="00225DDF">
      <w:pPr>
        <w:adjustRightInd w:val="0"/>
        <w:snapToGrid w:val="0"/>
        <w:spacing w:line="360" w:lineRule="auto"/>
        <w:ind w:firstLineChars="200" w:firstLine="480"/>
        <w:rPr>
          <w:bCs/>
          <w:sz w:val="24"/>
        </w:rPr>
      </w:pPr>
      <w:r w:rsidRPr="00613BD5">
        <w:rPr>
          <w:bCs/>
          <w:sz w:val="24"/>
        </w:rPr>
        <w:t>3</w:t>
      </w:r>
      <w:r w:rsidRPr="00613BD5">
        <w:rPr>
          <w:bCs/>
          <w:sz w:val="24"/>
        </w:rPr>
        <w:t>、基金收益分配后基金份额净值不能低于面值；即基金收益分配基准日的基金份额净值减去每单位基金份额收益分配金额后不能低于面值</w:t>
      </w:r>
      <w:r w:rsidRPr="00613BD5">
        <w:rPr>
          <w:rFonts w:hint="eastAsia"/>
          <w:bCs/>
          <w:sz w:val="24"/>
        </w:rPr>
        <w:t>；</w:t>
      </w:r>
    </w:p>
    <w:p w:rsidR="00225DDF" w:rsidRPr="00613BD5" w:rsidRDefault="00225DDF" w:rsidP="00225DDF">
      <w:pPr>
        <w:adjustRightInd w:val="0"/>
        <w:snapToGrid w:val="0"/>
        <w:spacing w:line="360" w:lineRule="auto"/>
        <w:ind w:firstLineChars="200" w:firstLine="480"/>
        <w:rPr>
          <w:bCs/>
          <w:sz w:val="24"/>
        </w:rPr>
      </w:pPr>
      <w:r w:rsidRPr="00613BD5">
        <w:rPr>
          <w:bCs/>
          <w:sz w:val="24"/>
        </w:rPr>
        <w:t>4</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rsidR="00225DDF" w:rsidRDefault="00225DDF" w:rsidP="00225DDF">
      <w:pPr>
        <w:adjustRightInd w:val="0"/>
        <w:snapToGrid w:val="0"/>
        <w:spacing w:line="360" w:lineRule="auto"/>
        <w:ind w:firstLineChars="225" w:firstLine="540"/>
        <w:rPr>
          <w:bCs/>
          <w:sz w:val="24"/>
        </w:rPr>
      </w:pPr>
      <w:r w:rsidRPr="00613BD5">
        <w:rPr>
          <w:rFonts w:hint="eastAsia"/>
          <w:bCs/>
          <w:sz w:val="24"/>
        </w:rPr>
        <w:t>（二）</w:t>
      </w:r>
      <w:r w:rsidRPr="00613BD5">
        <w:rPr>
          <w:bCs/>
          <w:sz w:val="24"/>
        </w:rPr>
        <w:t>收益分配方案</w:t>
      </w:r>
    </w:p>
    <w:p w:rsidR="00225DDF" w:rsidRDefault="00225DDF" w:rsidP="00225DDF">
      <w:pPr>
        <w:adjustRightInd w:val="0"/>
        <w:snapToGrid w:val="0"/>
        <w:spacing w:line="360" w:lineRule="auto"/>
        <w:ind w:firstLineChars="225" w:firstLine="540"/>
        <w:rPr>
          <w:bCs/>
          <w:sz w:val="24"/>
        </w:rPr>
      </w:pPr>
      <w:r w:rsidRPr="00613BD5">
        <w:rPr>
          <w:bCs/>
          <w:sz w:val="24"/>
        </w:rPr>
        <w:t>基金收益分配方案中应载明截止收益分配基准日的可供分配利润、基金收益分配对象、分配时间、分配数额及比例、分配方式等内容。</w:t>
      </w:r>
    </w:p>
    <w:p w:rsidR="00225DDF" w:rsidRDefault="00225DDF" w:rsidP="00225DDF">
      <w:pPr>
        <w:adjustRightInd w:val="0"/>
        <w:snapToGrid w:val="0"/>
        <w:spacing w:line="360" w:lineRule="auto"/>
        <w:ind w:firstLineChars="225" w:firstLine="540"/>
        <w:rPr>
          <w:bCs/>
          <w:sz w:val="24"/>
        </w:rPr>
      </w:pPr>
      <w:r w:rsidRPr="00613BD5">
        <w:rPr>
          <w:rFonts w:hint="eastAsia"/>
          <w:bCs/>
          <w:sz w:val="24"/>
        </w:rPr>
        <w:t>（三）</w:t>
      </w:r>
      <w:r w:rsidRPr="00613BD5">
        <w:rPr>
          <w:bCs/>
          <w:sz w:val="24"/>
        </w:rPr>
        <w:t>收益分配方案的确定、公告与实施</w:t>
      </w:r>
    </w:p>
    <w:p w:rsidR="00225DDF" w:rsidRPr="00613BD5" w:rsidRDefault="00225DDF" w:rsidP="00225DDF">
      <w:pPr>
        <w:adjustRightInd w:val="0"/>
        <w:snapToGrid w:val="0"/>
        <w:spacing w:line="360" w:lineRule="auto"/>
        <w:ind w:firstLineChars="200" w:firstLine="480"/>
        <w:rPr>
          <w:bCs/>
          <w:sz w:val="24"/>
        </w:rPr>
      </w:pPr>
      <w:r w:rsidRPr="00613BD5">
        <w:rPr>
          <w:bCs/>
          <w:sz w:val="24"/>
        </w:rPr>
        <w:t>本基金收益分配方案由基金管理人拟定，并由基金托管人复核，在</w:t>
      </w:r>
      <w:r w:rsidRPr="00613BD5">
        <w:rPr>
          <w:bCs/>
          <w:sz w:val="24"/>
        </w:rPr>
        <w:t>2</w:t>
      </w:r>
      <w:r w:rsidRPr="00613BD5">
        <w:rPr>
          <w:bCs/>
          <w:sz w:val="24"/>
        </w:rPr>
        <w:t>个工作日内在</w:t>
      </w:r>
      <w:r>
        <w:rPr>
          <w:bCs/>
          <w:sz w:val="24"/>
        </w:rPr>
        <w:t>指定媒介</w:t>
      </w:r>
      <w:r w:rsidRPr="00613BD5">
        <w:rPr>
          <w:bCs/>
          <w:sz w:val="24"/>
        </w:rPr>
        <w:t>公告并报中国证监会备案。</w:t>
      </w:r>
    </w:p>
    <w:p w:rsidR="00225DDF" w:rsidRDefault="00225DDF" w:rsidP="00225DDF">
      <w:pPr>
        <w:adjustRightInd w:val="0"/>
        <w:snapToGrid w:val="0"/>
        <w:spacing w:line="360" w:lineRule="auto"/>
        <w:ind w:firstLineChars="225" w:firstLine="540"/>
        <w:rPr>
          <w:bCs/>
          <w:sz w:val="24"/>
        </w:rPr>
      </w:pPr>
      <w:r w:rsidRPr="00613BD5">
        <w:rPr>
          <w:bCs/>
          <w:sz w:val="24"/>
        </w:rPr>
        <w:t>基金红利发放日距离收益分配基准日（即可供分配利润计算截止日）的时间不得超过</w:t>
      </w:r>
      <w:r w:rsidRPr="00613BD5">
        <w:rPr>
          <w:bCs/>
          <w:sz w:val="24"/>
        </w:rPr>
        <w:t>15</w:t>
      </w:r>
      <w:r w:rsidRPr="00613BD5">
        <w:rPr>
          <w:bCs/>
          <w:sz w:val="24"/>
        </w:rPr>
        <w:t>个工作日。</w:t>
      </w:r>
    </w:p>
    <w:p w:rsidR="00225DDF" w:rsidRDefault="00225DDF" w:rsidP="00225DDF">
      <w:pPr>
        <w:adjustRightInd w:val="0"/>
        <w:snapToGrid w:val="0"/>
        <w:spacing w:line="360" w:lineRule="auto"/>
        <w:ind w:firstLineChars="225" w:firstLine="540"/>
        <w:rPr>
          <w:bCs/>
          <w:sz w:val="24"/>
        </w:rPr>
      </w:pPr>
      <w:r w:rsidRPr="00D20B77">
        <w:rPr>
          <w:rFonts w:hint="eastAsia"/>
          <w:bCs/>
          <w:sz w:val="24"/>
        </w:rPr>
        <w:t>法律法规或监管机关另有规定的，从其规定。</w:t>
      </w:r>
    </w:p>
    <w:p w:rsidR="00225DDF" w:rsidRDefault="00225DDF" w:rsidP="00225DDF">
      <w:pPr>
        <w:adjustRightInd w:val="0"/>
        <w:snapToGrid w:val="0"/>
        <w:spacing w:line="360" w:lineRule="auto"/>
        <w:ind w:firstLineChars="225" w:firstLine="540"/>
        <w:rPr>
          <w:bCs/>
          <w:sz w:val="24"/>
        </w:rPr>
      </w:pPr>
      <w:r w:rsidRPr="00613BD5">
        <w:rPr>
          <w:rFonts w:hint="eastAsia"/>
          <w:bCs/>
          <w:sz w:val="24"/>
        </w:rPr>
        <w:t>（四）</w:t>
      </w:r>
      <w:r w:rsidRPr="00613BD5">
        <w:rPr>
          <w:bCs/>
          <w:sz w:val="24"/>
        </w:rPr>
        <w:t>基金收益分配中发生的费用</w:t>
      </w:r>
    </w:p>
    <w:p w:rsidR="00225DDF" w:rsidRDefault="00225DDF" w:rsidP="00225DDF">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当投资人的现金红利小于一定金额，不足以支付银行转账或其他手续费用时，登记机构可将投资人的现金红利按除权后的基金份额净值自动转为基金份额</w:t>
      </w:r>
      <w:r w:rsidRPr="00613BD5">
        <w:rPr>
          <w:rFonts w:hAnsi="宋体"/>
          <w:sz w:val="24"/>
        </w:rPr>
        <w:t>，红利再投资的计算方法，依照登记机构的业务规则执行</w:t>
      </w:r>
      <w:r w:rsidRPr="00613BD5">
        <w:rPr>
          <w:rFonts w:hAnsi="宋体" w:hint="eastAsia"/>
          <w:sz w:val="24"/>
        </w:rPr>
        <w:t>。</w:t>
      </w:r>
    </w:p>
    <w:p w:rsidR="00225DDF" w:rsidRDefault="00225DDF" w:rsidP="00225DDF">
      <w:pPr>
        <w:adjustRightInd w:val="0"/>
        <w:snapToGrid w:val="0"/>
        <w:spacing w:line="360" w:lineRule="auto"/>
        <w:ind w:firstLineChars="200" w:firstLine="480"/>
        <w:rPr>
          <w:bCs/>
          <w:sz w:val="24"/>
        </w:rPr>
      </w:pPr>
    </w:p>
    <w:p w:rsidR="00225DDF" w:rsidRPr="00225DDF" w:rsidRDefault="00225DDF" w:rsidP="00225DDF">
      <w:pPr>
        <w:adjustRightInd w:val="0"/>
        <w:snapToGrid w:val="0"/>
        <w:spacing w:line="360" w:lineRule="auto"/>
        <w:ind w:firstLineChars="200" w:firstLine="482"/>
        <w:rPr>
          <w:b/>
          <w:bCs/>
          <w:sz w:val="24"/>
        </w:rPr>
      </w:pPr>
      <w:r w:rsidRPr="00225DDF">
        <w:rPr>
          <w:rFonts w:hint="eastAsia"/>
          <w:b/>
          <w:bCs/>
          <w:sz w:val="24"/>
        </w:rPr>
        <w:t>四、</w:t>
      </w:r>
      <w:r w:rsidRPr="00225DDF">
        <w:rPr>
          <w:b/>
          <w:bCs/>
          <w:sz w:val="24"/>
        </w:rPr>
        <w:t>与基金财产管理、运用有关费用的提取、支付方式与比例</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基金费用的种类</w:t>
      </w:r>
    </w:p>
    <w:p w:rsidR="00225DDF" w:rsidRPr="00613BD5"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rsidR="00225DDF" w:rsidRPr="00613BD5"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rsidR="00225DDF" w:rsidRPr="00613BD5" w:rsidRDefault="00225DDF" w:rsidP="00225DDF">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rsidR="00225DDF" w:rsidRPr="00613BD5" w:rsidRDefault="00225DDF" w:rsidP="00225DDF">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、基金合同生效后与基金相关的会计师费、律师费和诉讼费；</w:t>
      </w:r>
    </w:p>
    <w:p w:rsidR="00225DDF" w:rsidRPr="00613BD5" w:rsidRDefault="00225DDF" w:rsidP="00225DDF">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rsidR="00225DDF" w:rsidRPr="00613BD5" w:rsidRDefault="00225DDF" w:rsidP="00225DDF">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rsidR="00225DDF" w:rsidRPr="00613BD5" w:rsidRDefault="00225DDF" w:rsidP="00225DDF">
      <w:pPr>
        <w:adjustRightInd w:val="0"/>
        <w:snapToGrid w:val="0"/>
        <w:spacing w:line="360" w:lineRule="auto"/>
        <w:ind w:firstLineChars="200" w:firstLine="480"/>
        <w:rPr>
          <w:bCs/>
          <w:sz w:val="24"/>
        </w:rPr>
      </w:pPr>
      <w:r w:rsidRPr="00613BD5">
        <w:rPr>
          <w:bCs/>
          <w:sz w:val="24"/>
        </w:rPr>
        <w:lastRenderedPageBreak/>
        <w:t>7</w:t>
      </w:r>
      <w:r w:rsidRPr="00613BD5">
        <w:rPr>
          <w:bCs/>
          <w:sz w:val="24"/>
        </w:rPr>
        <w:t>、基金的银行汇划费用；</w:t>
      </w:r>
    </w:p>
    <w:p w:rsidR="00225DDF" w:rsidRPr="00613BD5" w:rsidRDefault="00225DDF" w:rsidP="00225DDF">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rsidR="00225DDF" w:rsidRDefault="00225DDF" w:rsidP="00225DDF">
      <w:pPr>
        <w:adjustRightInd w:val="0"/>
        <w:snapToGrid w:val="0"/>
        <w:spacing w:line="360" w:lineRule="auto"/>
        <w:ind w:firstLineChars="200" w:firstLine="480"/>
        <w:rPr>
          <w:bCs/>
          <w:sz w:val="24"/>
        </w:rPr>
      </w:pPr>
      <w:r w:rsidRPr="00613BD5">
        <w:rPr>
          <w:bCs/>
          <w:sz w:val="24"/>
        </w:rPr>
        <w:t>9</w:t>
      </w:r>
      <w:r w:rsidRPr="00613BD5">
        <w:rPr>
          <w:bCs/>
          <w:sz w:val="24"/>
        </w:rPr>
        <w:t>、按照国家有关规定和基金合同约定，可以在基金财产中列支的其他费用。</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基金费用计提方法、计提标准和支付方式</w:t>
      </w:r>
    </w:p>
    <w:p w:rsidR="00225DDF" w:rsidRPr="00613BD5"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rsidR="00225DDF" w:rsidRPr="00613BD5" w:rsidRDefault="00225DDF" w:rsidP="00225DDF">
      <w:pPr>
        <w:adjustRightInd w:val="0"/>
        <w:snapToGrid w:val="0"/>
        <w:spacing w:line="360" w:lineRule="auto"/>
        <w:ind w:firstLineChars="200" w:firstLine="480"/>
        <w:rPr>
          <w:bCs/>
          <w:sz w:val="24"/>
        </w:rPr>
      </w:pPr>
      <w:r w:rsidRPr="00613BD5">
        <w:rPr>
          <w:bCs/>
          <w:sz w:val="24"/>
        </w:rPr>
        <w:t>本基金的管理费按前一日基金资产净值的</w:t>
      </w:r>
      <w:r>
        <w:rPr>
          <w:bCs/>
          <w:sz w:val="24"/>
        </w:rPr>
        <w:t>0.7</w:t>
      </w:r>
      <w:r w:rsidRPr="00613BD5">
        <w:rPr>
          <w:bCs/>
          <w:sz w:val="24"/>
        </w:rPr>
        <w:t>%</w:t>
      </w:r>
      <w:r w:rsidRPr="00613BD5">
        <w:rPr>
          <w:bCs/>
          <w:sz w:val="24"/>
        </w:rPr>
        <w:t>年费率计提。管理费的计算方法如下：</w:t>
      </w:r>
    </w:p>
    <w:p w:rsidR="00225DDF" w:rsidRPr="00613BD5" w:rsidRDefault="00225DDF" w:rsidP="00225DDF">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Pr>
          <w:bCs/>
          <w:sz w:val="24"/>
        </w:rPr>
        <w:t>0.7</w:t>
      </w:r>
      <w:r w:rsidRPr="00613BD5">
        <w:rPr>
          <w:bCs/>
          <w:sz w:val="24"/>
        </w:rPr>
        <w:t>%÷</w:t>
      </w:r>
      <w:r w:rsidRPr="00613BD5">
        <w:rPr>
          <w:bCs/>
          <w:sz w:val="24"/>
        </w:rPr>
        <w:t>当年天数</w:t>
      </w:r>
    </w:p>
    <w:p w:rsidR="00225DDF" w:rsidRPr="00613BD5" w:rsidRDefault="00225DDF" w:rsidP="00225DDF">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rsidR="00225DDF" w:rsidRPr="00613BD5" w:rsidRDefault="00225DDF" w:rsidP="00225DDF">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rsidR="00225DDF" w:rsidRPr="00613BD5" w:rsidRDefault="00225DDF" w:rsidP="00225DDF">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rsidR="00225DDF" w:rsidRPr="00613BD5"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rsidR="00225DDF" w:rsidRPr="00613BD5" w:rsidRDefault="00225DDF" w:rsidP="00225DDF">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rsidR="00225DDF" w:rsidRPr="00613BD5" w:rsidRDefault="00225DDF" w:rsidP="00225DDF">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rsidR="00225DDF" w:rsidRPr="00613BD5" w:rsidRDefault="00225DDF" w:rsidP="00225DDF">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rsidR="00225DDF" w:rsidRPr="00613BD5" w:rsidRDefault="00225DDF" w:rsidP="00225DDF">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rsidR="00225DDF" w:rsidRPr="00613BD5" w:rsidRDefault="00225DDF" w:rsidP="00225DDF">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rsidR="00225DDF" w:rsidRPr="00613BD5" w:rsidRDefault="00225DDF" w:rsidP="00225DDF">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Pr="00613BD5">
        <w:rPr>
          <w:bCs/>
          <w:sz w:val="24"/>
        </w:rPr>
        <w:t>上述</w:t>
      </w:r>
      <w:r w:rsidRPr="00613BD5">
        <w:rPr>
          <w:rFonts w:hint="eastAsia"/>
          <w:bCs/>
          <w:sz w:val="24"/>
        </w:rPr>
        <w:t>“</w:t>
      </w:r>
      <w:r>
        <w:rPr>
          <w:rFonts w:hint="eastAsia"/>
          <w:bCs/>
          <w:sz w:val="24"/>
        </w:rPr>
        <w:t>（</w:t>
      </w:r>
      <w:r w:rsidRPr="00613BD5">
        <w:rPr>
          <w:bCs/>
          <w:sz w:val="24"/>
        </w:rPr>
        <w:t>一</w:t>
      </w:r>
      <w:r>
        <w:rPr>
          <w:rFonts w:hint="eastAsia"/>
          <w:bCs/>
          <w:sz w:val="24"/>
        </w:rPr>
        <w:t>）</w:t>
      </w:r>
      <w:r w:rsidRPr="00613BD5">
        <w:rPr>
          <w:bCs/>
          <w:sz w:val="24"/>
        </w:rPr>
        <w:t>基金费用的种类中第</w:t>
      </w:r>
      <w:r w:rsidRPr="00613BD5">
        <w:rPr>
          <w:bCs/>
          <w:sz w:val="24"/>
        </w:rPr>
        <w:t>3</w:t>
      </w:r>
      <w:r w:rsidRPr="00613BD5">
        <w:rPr>
          <w:bCs/>
          <w:sz w:val="24"/>
        </w:rPr>
        <w:t>－</w:t>
      </w:r>
      <w:r w:rsidRPr="00613BD5">
        <w:rPr>
          <w:rFonts w:hint="eastAsia"/>
          <w:bCs/>
          <w:sz w:val="24"/>
        </w:rPr>
        <w:t>9</w:t>
      </w:r>
      <w:r w:rsidRPr="00613BD5">
        <w:rPr>
          <w:bCs/>
          <w:sz w:val="24"/>
        </w:rPr>
        <w:t>项费用</w:t>
      </w:r>
      <w:r w:rsidRPr="00613BD5">
        <w:rPr>
          <w:rFonts w:hint="eastAsia"/>
          <w:bCs/>
          <w:sz w:val="24"/>
        </w:rPr>
        <w:t>”</w:t>
      </w:r>
      <w:r w:rsidRPr="00613BD5">
        <w:rPr>
          <w:bCs/>
          <w:sz w:val="24"/>
        </w:rPr>
        <w:t>，根据有关</w:t>
      </w:r>
      <w:r w:rsidRPr="00613BD5">
        <w:rPr>
          <w:rFonts w:hint="eastAsia"/>
          <w:bCs/>
          <w:sz w:val="24"/>
        </w:rPr>
        <w:t>法律</w:t>
      </w:r>
      <w:r w:rsidRPr="00613BD5">
        <w:rPr>
          <w:bCs/>
          <w:sz w:val="24"/>
        </w:rPr>
        <w:t>法规及相应协议规定，按费用实际支出金额列入当期费用，由基金托管人从基金财产中支付。</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（三）</w:t>
      </w:r>
      <w:r w:rsidRPr="00613BD5">
        <w:rPr>
          <w:bCs/>
          <w:sz w:val="24"/>
        </w:rPr>
        <w:t>不列入基金费用的项目</w:t>
      </w:r>
    </w:p>
    <w:p w:rsidR="00225DDF" w:rsidRPr="00613BD5" w:rsidRDefault="00225DDF" w:rsidP="00225DDF">
      <w:pPr>
        <w:adjustRightInd w:val="0"/>
        <w:snapToGrid w:val="0"/>
        <w:spacing w:line="360" w:lineRule="auto"/>
        <w:ind w:firstLineChars="200" w:firstLine="480"/>
        <w:rPr>
          <w:bCs/>
          <w:sz w:val="24"/>
        </w:rPr>
      </w:pPr>
      <w:r w:rsidRPr="00613BD5">
        <w:rPr>
          <w:bCs/>
          <w:sz w:val="24"/>
        </w:rPr>
        <w:t>下列费用不列入基金费用：</w:t>
      </w:r>
    </w:p>
    <w:p w:rsidR="00225DDF" w:rsidRPr="00613BD5"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w:t>
      </w:r>
      <w:r w:rsidRPr="00613BD5">
        <w:rPr>
          <w:bCs/>
          <w:sz w:val="24"/>
        </w:rPr>
        <w:lastRenderedPageBreak/>
        <w:t>基金财产的损失；</w:t>
      </w:r>
    </w:p>
    <w:p w:rsidR="00225DDF" w:rsidRPr="00613BD5"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rsidR="00225DDF" w:rsidRPr="00613BD5" w:rsidRDefault="00225DDF" w:rsidP="00225DDF">
      <w:pPr>
        <w:adjustRightInd w:val="0"/>
        <w:snapToGrid w:val="0"/>
        <w:spacing w:line="360" w:lineRule="auto"/>
        <w:ind w:firstLineChars="200" w:firstLine="480"/>
        <w:rPr>
          <w:bCs/>
          <w:sz w:val="24"/>
        </w:rPr>
      </w:pPr>
      <w:r w:rsidRPr="00613BD5">
        <w:rPr>
          <w:bCs/>
          <w:sz w:val="24"/>
        </w:rPr>
        <w:t>3</w:t>
      </w:r>
      <w:r w:rsidRPr="00613BD5">
        <w:rPr>
          <w:bCs/>
          <w:sz w:val="24"/>
        </w:rPr>
        <w:t>、</w:t>
      </w:r>
      <w:r>
        <w:rPr>
          <w:rFonts w:hint="eastAsia"/>
          <w:bCs/>
          <w:sz w:val="24"/>
        </w:rPr>
        <w:t>《交银施罗德荣祥</w:t>
      </w:r>
      <w:r w:rsidRPr="0044157E">
        <w:rPr>
          <w:rFonts w:hint="eastAsia"/>
          <w:bCs/>
          <w:sz w:val="24"/>
        </w:rPr>
        <w:t>保本混合型证券投资基金基金合同》</w:t>
      </w:r>
      <w:r w:rsidRPr="00613BD5">
        <w:rPr>
          <w:bCs/>
          <w:sz w:val="24"/>
        </w:rPr>
        <w:t>生效前的相关费用；</w:t>
      </w:r>
    </w:p>
    <w:p w:rsidR="00225DDF" w:rsidRDefault="00225DDF" w:rsidP="00225DDF">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p>
    <w:p w:rsidR="00225DDF" w:rsidRPr="00934608" w:rsidRDefault="00225DDF" w:rsidP="00225DDF">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w:t>
      </w:r>
      <w:r>
        <w:rPr>
          <w:bCs/>
          <w:sz w:val="24"/>
        </w:rPr>
        <w:t>型</w:t>
      </w:r>
      <w:r>
        <w:rPr>
          <w:rFonts w:hint="eastAsia"/>
          <w:bCs/>
          <w:sz w:val="24"/>
        </w:rPr>
        <w:t>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w:t>
      </w:r>
      <w:r>
        <w:rPr>
          <w:rFonts w:hint="eastAsia"/>
          <w:bCs/>
          <w:sz w:val="24"/>
        </w:rPr>
        <w:t>五</w:t>
      </w:r>
      <w:r w:rsidRPr="00613BD5">
        <w:rPr>
          <w:rFonts w:hint="eastAsia"/>
          <w:bCs/>
          <w:sz w:val="24"/>
        </w:rPr>
        <w:t>）</w:t>
      </w:r>
      <w:r w:rsidRPr="00613BD5">
        <w:rPr>
          <w:bCs/>
          <w:sz w:val="24"/>
        </w:rPr>
        <w:t>基金税收</w:t>
      </w:r>
    </w:p>
    <w:p w:rsidR="00225DDF" w:rsidRDefault="00225DDF" w:rsidP="00225DDF">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rsidR="00225DDF" w:rsidRDefault="00225DDF" w:rsidP="00225DDF">
      <w:pPr>
        <w:adjustRightInd w:val="0"/>
        <w:snapToGrid w:val="0"/>
        <w:spacing w:line="360" w:lineRule="auto"/>
        <w:ind w:firstLineChars="200" w:firstLine="480"/>
        <w:rPr>
          <w:bCs/>
          <w:sz w:val="24"/>
        </w:rPr>
      </w:pPr>
    </w:p>
    <w:p w:rsidR="00225DDF" w:rsidRPr="00225DDF" w:rsidRDefault="00225DDF" w:rsidP="00225DDF">
      <w:pPr>
        <w:adjustRightInd w:val="0"/>
        <w:snapToGrid w:val="0"/>
        <w:spacing w:line="360" w:lineRule="auto"/>
        <w:ind w:firstLineChars="200" w:firstLine="482"/>
        <w:rPr>
          <w:b/>
          <w:bCs/>
          <w:sz w:val="24"/>
        </w:rPr>
      </w:pPr>
      <w:r w:rsidRPr="00225DDF">
        <w:rPr>
          <w:rFonts w:hint="eastAsia"/>
          <w:b/>
          <w:bCs/>
          <w:sz w:val="24"/>
        </w:rPr>
        <w:t>五、</w:t>
      </w:r>
      <w:r w:rsidRPr="00225DDF">
        <w:rPr>
          <w:rFonts w:cs="Arial Unicode MS"/>
          <w:b/>
          <w:bCs/>
          <w:sz w:val="24"/>
        </w:rPr>
        <w:t>基金财产的投资方向和投资限制</w:t>
      </w:r>
    </w:p>
    <w:p w:rsidR="00225DDF" w:rsidRDefault="00225DDF" w:rsidP="00225DDF">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rsidR="00225DDF" w:rsidRDefault="00225DDF" w:rsidP="00225DDF">
      <w:pPr>
        <w:adjustRightInd w:val="0"/>
        <w:snapToGrid w:val="0"/>
        <w:spacing w:line="360" w:lineRule="auto"/>
        <w:ind w:firstLineChars="200" w:firstLine="480"/>
        <w:rPr>
          <w:rFonts w:ascii="宋体" w:hAnsi="宋体"/>
          <w:bCs/>
          <w:sz w:val="24"/>
        </w:rPr>
      </w:pPr>
      <w:r w:rsidRPr="00613BD5">
        <w:rPr>
          <w:rFonts w:ascii="宋体" w:hAnsi="宋体" w:hint="eastAsia"/>
          <w:bCs/>
          <w:sz w:val="24"/>
        </w:rPr>
        <w:t>在追求本金安全、有效控制风险的基础上，力争实现基金资产的持续稳定增值。</w:t>
      </w:r>
    </w:p>
    <w:p w:rsidR="00225DDF" w:rsidRDefault="00225DDF" w:rsidP="00225DDF">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rsidR="00225DDF" w:rsidRDefault="00225DDF" w:rsidP="00225DDF">
      <w:pPr>
        <w:adjustRightInd w:val="0"/>
        <w:snapToGrid w:val="0"/>
        <w:spacing w:line="360" w:lineRule="auto"/>
        <w:ind w:firstLineChars="200" w:firstLine="480"/>
        <w:rPr>
          <w:rFonts w:ascii="宋体" w:hAnsi="宋体"/>
          <w:sz w:val="24"/>
        </w:rPr>
      </w:pPr>
      <w:r>
        <w:rPr>
          <w:rFonts w:ascii="宋体" w:hAnsi="宋体" w:hint="eastAsia"/>
          <w:sz w:val="24"/>
        </w:rPr>
        <w:t>本基金</w:t>
      </w:r>
      <w:r w:rsidRPr="00613BD5">
        <w:rPr>
          <w:rFonts w:ascii="宋体" w:hAnsi="宋体" w:hint="eastAsia"/>
          <w:sz w:val="24"/>
        </w:rPr>
        <w:t>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225DDF" w:rsidRDefault="00225DDF" w:rsidP="00225DDF">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rsidR="00225DDF" w:rsidRDefault="00225DDF" w:rsidP="00225DDF">
      <w:pPr>
        <w:adjustRightInd w:val="0"/>
        <w:snapToGrid w:val="0"/>
        <w:spacing w:line="360" w:lineRule="auto"/>
        <w:ind w:firstLineChars="200" w:firstLine="480"/>
        <w:rPr>
          <w:bCs/>
          <w:sz w:val="24"/>
        </w:rPr>
      </w:pPr>
      <w:r>
        <w:rPr>
          <w:rFonts w:ascii="宋体" w:hAnsi="宋体" w:hint="eastAsia"/>
          <w:bCs/>
          <w:sz w:val="24"/>
        </w:rPr>
        <w:t>本</w:t>
      </w:r>
      <w:r w:rsidRPr="00613BD5">
        <w:rPr>
          <w:rFonts w:ascii="宋体" w:hAnsi="宋体" w:hint="eastAsia"/>
          <w:bCs/>
          <w:sz w:val="24"/>
        </w:rPr>
        <w:t>基金的投资组合比例为：固定收益类资产占基金资产的比例不低于</w:t>
      </w:r>
      <w:r w:rsidRPr="00613BD5">
        <w:rPr>
          <w:rFonts w:hint="eastAsia"/>
          <w:bCs/>
          <w:sz w:val="24"/>
        </w:rPr>
        <w:t>80%</w:t>
      </w:r>
      <w:r w:rsidRPr="00613BD5">
        <w:rPr>
          <w:rFonts w:hint="eastAsia"/>
          <w:bCs/>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613BD5">
        <w:rPr>
          <w:rFonts w:hint="eastAsia"/>
          <w:bCs/>
          <w:sz w:val="24"/>
        </w:rPr>
        <w:t>20%</w:t>
      </w:r>
      <w:r w:rsidRPr="00613BD5">
        <w:rPr>
          <w:rFonts w:hint="eastAsia"/>
          <w:bCs/>
          <w:sz w:val="24"/>
        </w:rPr>
        <w:t>；现金或到期日在一年以内的政府债券的投资比例合计不低于基金资产净值的</w:t>
      </w:r>
      <w:r w:rsidRPr="00613BD5">
        <w:rPr>
          <w:rFonts w:hint="eastAsia"/>
          <w:bCs/>
          <w:sz w:val="24"/>
        </w:rPr>
        <w:t>5%</w:t>
      </w:r>
      <w:r w:rsidRPr="005922F5">
        <w:rPr>
          <w:rFonts w:hint="eastAsia"/>
          <w:bCs/>
          <w:sz w:val="24"/>
        </w:rPr>
        <w:t>，其中</w:t>
      </w:r>
      <w:r w:rsidRPr="005922F5">
        <w:rPr>
          <w:bCs/>
          <w:sz w:val="24"/>
        </w:rPr>
        <w:t>现金不包括</w:t>
      </w:r>
      <w:r w:rsidRPr="005922F5">
        <w:rPr>
          <w:rFonts w:hint="eastAsia"/>
          <w:bCs/>
          <w:sz w:val="24"/>
        </w:rPr>
        <w:t>结算备付金、存出保证金和应收申购款等；</w:t>
      </w:r>
      <w:r>
        <w:rPr>
          <w:rFonts w:hint="eastAsia"/>
          <w:bCs/>
          <w:sz w:val="24"/>
        </w:rPr>
        <w:t>本基金</w:t>
      </w:r>
      <w:r w:rsidRPr="00613BD5">
        <w:rPr>
          <w:rFonts w:hint="eastAsia"/>
          <w:bCs/>
          <w:sz w:val="24"/>
        </w:rPr>
        <w:t>持有的全部权证，其市值不得超过基金资产净值的</w:t>
      </w:r>
      <w:r w:rsidRPr="00613BD5">
        <w:rPr>
          <w:rFonts w:hint="eastAsia"/>
          <w:bCs/>
          <w:sz w:val="24"/>
        </w:rPr>
        <w:t>3%</w:t>
      </w:r>
      <w:r w:rsidRPr="00613BD5">
        <w:rPr>
          <w:rFonts w:hint="eastAsia"/>
          <w:bCs/>
          <w:sz w:val="24"/>
        </w:rPr>
        <w:t>。</w:t>
      </w:r>
    </w:p>
    <w:p w:rsidR="00225DDF" w:rsidRDefault="00225DDF" w:rsidP="00225DDF">
      <w:pPr>
        <w:adjustRightInd w:val="0"/>
        <w:snapToGrid w:val="0"/>
        <w:spacing w:line="360" w:lineRule="auto"/>
        <w:ind w:firstLineChars="200" w:firstLine="480"/>
        <w:rPr>
          <w:rFonts w:ascii="宋体" w:hAnsi="宋体"/>
          <w:bCs/>
          <w:sz w:val="24"/>
        </w:rPr>
      </w:pPr>
      <w:r w:rsidRPr="00613BD5">
        <w:rPr>
          <w:rFonts w:ascii="宋体" w:hAnsi="宋体" w:hint="eastAsia"/>
          <w:sz w:val="24"/>
        </w:rPr>
        <w:lastRenderedPageBreak/>
        <w:t>（三）</w:t>
      </w:r>
      <w:r w:rsidRPr="00613BD5">
        <w:rPr>
          <w:rFonts w:ascii="宋体" w:hAnsi="宋体" w:hint="eastAsia"/>
          <w:bCs/>
          <w:sz w:val="24"/>
        </w:rPr>
        <w:t>投资策略</w:t>
      </w:r>
    </w:p>
    <w:p w:rsidR="00225DDF" w:rsidRDefault="00225DDF" w:rsidP="00225DDF">
      <w:pPr>
        <w:adjustRightInd w:val="0"/>
        <w:snapToGrid w:val="0"/>
        <w:spacing w:line="360" w:lineRule="auto"/>
        <w:ind w:firstLineChars="200" w:firstLine="480"/>
        <w:rPr>
          <w:bCs/>
          <w:sz w:val="24"/>
        </w:rPr>
      </w:pPr>
      <w:r>
        <w:rPr>
          <w:rFonts w:hint="eastAsia"/>
          <w:bCs/>
          <w:sz w:val="24"/>
        </w:rPr>
        <w:t>本基金</w:t>
      </w:r>
      <w:r w:rsidRPr="00613BD5">
        <w:rPr>
          <w:rFonts w:hint="eastAsia"/>
          <w:bCs/>
          <w:sz w:val="24"/>
        </w:rPr>
        <w:t>在逐期追求投资本金安全的风险控制目标下追求基金收益的稳定递增。自转型完成之日起，</w:t>
      </w:r>
      <w:r>
        <w:rPr>
          <w:rFonts w:hint="eastAsia"/>
          <w:bCs/>
          <w:sz w:val="24"/>
        </w:rPr>
        <w:t>本基金</w:t>
      </w:r>
      <w:r w:rsidRPr="00613BD5">
        <w:rPr>
          <w:rFonts w:hint="eastAsia"/>
          <w:bCs/>
          <w:sz w:val="24"/>
        </w:rPr>
        <w:t>以</w:t>
      </w:r>
      <w:r w:rsidRPr="00613BD5">
        <w:rPr>
          <w:rFonts w:hint="eastAsia"/>
          <w:bCs/>
          <w:sz w:val="24"/>
        </w:rPr>
        <w:t xml:space="preserve">3 </w:t>
      </w:r>
      <w:r w:rsidRPr="00613BD5">
        <w:rPr>
          <w:rFonts w:hint="eastAsia"/>
          <w:bCs/>
          <w:sz w:val="24"/>
        </w:rPr>
        <w:t>年为一个运作周期逐期运作，每一运作周期期满后且后一运作周期起始日前，安排不少于</w:t>
      </w:r>
      <w:r w:rsidRPr="00613BD5">
        <w:rPr>
          <w:rFonts w:hint="eastAsia"/>
          <w:bCs/>
          <w:sz w:val="24"/>
        </w:rPr>
        <w:t xml:space="preserve">5 </w:t>
      </w:r>
      <w:r w:rsidRPr="00613BD5">
        <w:rPr>
          <w:rFonts w:hint="eastAsia"/>
          <w:bCs/>
          <w:sz w:val="24"/>
        </w:rPr>
        <w:t>个工作日的</w:t>
      </w:r>
      <w:r>
        <w:rPr>
          <w:rFonts w:hint="eastAsia"/>
          <w:bCs/>
          <w:sz w:val="24"/>
        </w:rPr>
        <w:t>运作调整</w:t>
      </w:r>
      <w:r w:rsidRPr="00613BD5">
        <w:rPr>
          <w:rFonts w:hint="eastAsia"/>
          <w:bCs/>
          <w:sz w:val="24"/>
        </w:rPr>
        <w:t>期，</w:t>
      </w:r>
      <w:r w:rsidRPr="00E52213">
        <w:rPr>
          <w:rFonts w:hint="eastAsia"/>
          <w:bCs/>
          <w:sz w:val="24"/>
        </w:rPr>
        <w:t>除对持续持有期少于</w:t>
      </w:r>
      <w:r w:rsidRPr="00E52213">
        <w:rPr>
          <w:rFonts w:hint="eastAsia"/>
          <w:bCs/>
          <w:sz w:val="24"/>
        </w:rPr>
        <w:t>7</w:t>
      </w:r>
      <w:r w:rsidRPr="00E52213">
        <w:rPr>
          <w:rFonts w:hint="eastAsia"/>
          <w:bCs/>
          <w:sz w:val="24"/>
        </w:rPr>
        <w:t>日的基金份额持有人收取不低于</w:t>
      </w:r>
      <w:r w:rsidRPr="00E52213">
        <w:rPr>
          <w:rFonts w:hint="eastAsia"/>
          <w:bCs/>
          <w:sz w:val="24"/>
        </w:rPr>
        <w:t>1.5%</w:t>
      </w:r>
      <w:r w:rsidRPr="00E52213">
        <w:rPr>
          <w:rFonts w:hint="eastAsia"/>
          <w:bCs/>
          <w:sz w:val="24"/>
        </w:rPr>
        <w:t>的赎回费以外，</w:t>
      </w:r>
      <w:r w:rsidRPr="00613BD5">
        <w:rPr>
          <w:rFonts w:hint="eastAsia"/>
          <w:bCs/>
          <w:sz w:val="24"/>
        </w:rPr>
        <w:t>投资者在</w:t>
      </w:r>
      <w:r>
        <w:rPr>
          <w:rFonts w:hint="eastAsia"/>
          <w:bCs/>
          <w:sz w:val="24"/>
        </w:rPr>
        <w:t>运作调整</w:t>
      </w:r>
      <w:r w:rsidRPr="00613BD5">
        <w:rPr>
          <w:rFonts w:hint="eastAsia"/>
          <w:bCs/>
          <w:sz w:val="24"/>
        </w:rPr>
        <w:t>期内办理</w:t>
      </w:r>
      <w:r>
        <w:rPr>
          <w:rFonts w:hint="eastAsia"/>
          <w:bCs/>
          <w:sz w:val="24"/>
        </w:rPr>
        <w:t>本基金</w:t>
      </w:r>
      <w:r w:rsidRPr="00613BD5">
        <w:rPr>
          <w:rFonts w:hint="eastAsia"/>
          <w:bCs/>
          <w:sz w:val="24"/>
        </w:rPr>
        <w:t>的申购和赎回业务时不收取申购、赎回费用。</w:t>
      </w:r>
    </w:p>
    <w:p w:rsidR="00225DDF" w:rsidRDefault="00225DDF" w:rsidP="00225DDF">
      <w:pPr>
        <w:adjustRightInd w:val="0"/>
        <w:snapToGrid w:val="0"/>
        <w:spacing w:line="360" w:lineRule="auto"/>
        <w:ind w:firstLineChars="200" w:firstLine="480"/>
        <w:rPr>
          <w:bCs/>
          <w:sz w:val="24"/>
        </w:rPr>
      </w:pPr>
      <w:r>
        <w:rPr>
          <w:rFonts w:hint="eastAsia"/>
          <w:bCs/>
          <w:sz w:val="24"/>
        </w:rPr>
        <w:t>本基金</w:t>
      </w:r>
      <w:r w:rsidRPr="00613BD5">
        <w:rPr>
          <w:rFonts w:hint="eastAsia"/>
          <w:bCs/>
          <w:sz w:val="24"/>
        </w:rPr>
        <w:t>在每一运作周期的投资目标为力求期末基金份额净值加上该运作周期累计分红金额不低于该运作周期第</w:t>
      </w:r>
      <w:r w:rsidRPr="00613BD5">
        <w:rPr>
          <w:rFonts w:hint="eastAsia"/>
          <w:bCs/>
          <w:sz w:val="24"/>
        </w:rPr>
        <w:t xml:space="preserve">1 </w:t>
      </w:r>
      <w:r w:rsidRPr="00613BD5">
        <w:rPr>
          <w:rFonts w:hint="eastAsia"/>
          <w:bCs/>
          <w:sz w:val="24"/>
        </w:rPr>
        <w:t>个工作日的基金份额净值。在每一运作周期中，</w:t>
      </w:r>
      <w:r>
        <w:rPr>
          <w:rFonts w:hint="eastAsia"/>
          <w:bCs/>
          <w:sz w:val="24"/>
        </w:rPr>
        <w:t>本基金</w:t>
      </w:r>
      <w:r w:rsidRPr="00613BD5">
        <w:rPr>
          <w:rFonts w:hint="eastAsia"/>
          <w:bCs/>
          <w:sz w:val="24"/>
        </w:rPr>
        <w:t>通过适当的投资策略和运作机制，优化基金组合的风险收益和流动性，增强对组合流动性的保护，力争实现设定的投资目标，满足投资人获取持续稳定收益的需求。</w:t>
      </w:r>
    </w:p>
    <w:p w:rsidR="00225DDF" w:rsidRDefault="00225DDF" w:rsidP="00225DDF">
      <w:pPr>
        <w:adjustRightInd w:val="0"/>
        <w:snapToGrid w:val="0"/>
        <w:spacing w:line="360" w:lineRule="auto"/>
        <w:ind w:firstLineChars="200" w:firstLine="480"/>
        <w:rPr>
          <w:rFonts w:ascii="宋体" w:hAnsi="宋体"/>
          <w:bCs/>
          <w:sz w:val="24"/>
        </w:rPr>
      </w:pPr>
      <w:r>
        <w:rPr>
          <w:rFonts w:ascii="宋体" w:hAnsi="宋体" w:hint="eastAsia"/>
          <w:sz w:val="24"/>
        </w:rPr>
        <w:t>本基金不设置</w:t>
      </w:r>
      <w:r w:rsidRPr="00613BD5">
        <w:rPr>
          <w:rFonts w:ascii="宋体" w:hAnsi="宋体" w:hint="eastAsia"/>
          <w:sz w:val="24"/>
        </w:rPr>
        <w:t>担保人</w:t>
      </w:r>
      <w:r>
        <w:rPr>
          <w:rFonts w:ascii="宋体" w:hAnsi="宋体" w:hint="eastAsia"/>
          <w:sz w:val="24"/>
        </w:rPr>
        <w:t>或</w:t>
      </w:r>
      <w:r w:rsidRPr="00613BD5">
        <w:rPr>
          <w:rFonts w:ascii="宋体" w:hAnsi="宋体" w:hint="eastAsia"/>
          <w:sz w:val="24"/>
        </w:rPr>
        <w:t>保本义务人，</w:t>
      </w:r>
      <w:r>
        <w:rPr>
          <w:rFonts w:ascii="宋体" w:hAnsi="宋体" w:hint="eastAsia"/>
          <w:sz w:val="24"/>
        </w:rPr>
        <w:t>不承诺</w:t>
      </w:r>
      <w:r w:rsidRPr="00613BD5">
        <w:rPr>
          <w:rFonts w:ascii="宋体" w:hAnsi="宋体" w:hint="eastAsia"/>
          <w:sz w:val="24"/>
        </w:rPr>
        <w:t>基金份额持有人在</w:t>
      </w:r>
      <w:r>
        <w:rPr>
          <w:rFonts w:ascii="宋体" w:hAnsi="宋体" w:hint="eastAsia"/>
          <w:sz w:val="24"/>
        </w:rPr>
        <w:t>本基金运作</w:t>
      </w:r>
      <w:r w:rsidRPr="00613BD5">
        <w:rPr>
          <w:rFonts w:ascii="宋体" w:hAnsi="宋体" w:hint="eastAsia"/>
          <w:sz w:val="24"/>
        </w:rPr>
        <w:t>周期</w:t>
      </w:r>
      <w:r>
        <w:rPr>
          <w:rFonts w:ascii="宋体" w:hAnsi="宋体" w:hint="eastAsia"/>
          <w:sz w:val="24"/>
        </w:rPr>
        <w:t>期满</w:t>
      </w:r>
      <w:r w:rsidRPr="00613BD5">
        <w:rPr>
          <w:rFonts w:ascii="宋体" w:hAnsi="宋体" w:hint="eastAsia"/>
          <w:sz w:val="24"/>
        </w:rPr>
        <w:t>时可以获得保本金额</w:t>
      </w:r>
      <w:r>
        <w:rPr>
          <w:rFonts w:ascii="宋体" w:hAnsi="宋体" w:hint="eastAsia"/>
          <w:sz w:val="24"/>
        </w:rPr>
        <w:t>的</w:t>
      </w:r>
      <w:r w:rsidRPr="00613BD5">
        <w:rPr>
          <w:rFonts w:ascii="宋体" w:hAnsi="宋体" w:hint="eastAsia"/>
          <w:sz w:val="24"/>
        </w:rPr>
        <w:t>保证。</w:t>
      </w:r>
    </w:p>
    <w:p w:rsidR="00225DDF" w:rsidRDefault="00225DDF" w:rsidP="00225DDF">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rsidR="00225DDF" w:rsidRDefault="00225DDF" w:rsidP="00225DDF">
      <w:pPr>
        <w:adjustRightInd w:val="0"/>
        <w:snapToGrid w:val="0"/>
        <w:spacing w:line="360" w:lineRule="auto"/>
        <w:ind w:firstLineChars="200" w:firstLine="480"/>
        <w:rPr>
          <w:rFonts w:ascii="宋体" w:hAnsi="宋体"/>
          <w:sz w:val="24"/>
        </w:rPr>
      </w:pPr>
      <w:r w:rsidRPr="00613BD5">
        <w:rPr>
          <w:rFonts w:ascii="宋体" w:hAnsi="宋体"/>
          <w:sz w:val="24"/>
        </w:rPr>
        <w:t>1、组合限制</w:t>
      </w:r>
    </w:p>
    <w:p w:rsidR="00225DDF"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rsidR="00225DDF" w:rsidRDefault="00225DDF" w:rsidP="00225DDF">
      <w:pPr>
        <w:adjustRightInd w:val="0"/>
        <w:snapToGrid w:val="0"/>
        <w:spacing w:line="360" w:lineRule="auto"/>
        <w:ind w:firstLineChars="200" w:firstLine="480"/>
        <w:rPr>
          <w:rFonts w:hAnsi="宋体"/>
          <w:bCs/>
          <w:sz w:val="24"/>
        </w:rPr>
      </w:pPr>
      <w:r>
        <w:rPr>
          <w:rFonts w:ascii="宋体" w:hAnsi="宋体" w:hint="eastAsia"/>
          <w:sz w:val="24"/>
        </w:rPr>
        <w:t>（</w:t>
      </w:r>
      <w:r>
        <w:rPr>
          <w:rFonts w:ascii="宋体" w:hAnsi="宋体"/>
          <w:sz w:val="24"/>
        </w:rPr>
        <w:t>1）</w:t>
      </w:r>
      <w:r w:rsidRPr="00613BD5">
        <w:rPr>
          <w:rFonts w:hAnsi="宋体" w:hint="eastAsia"/>
          <w:bCs/>
          <w:sz w:val="24"/>
        </w:rPr>
        <w:t>固定收益类资产占基金资产的比例不低于</w:t>
      </w:r>
      <w:r w:rsidRPr="00613BD5">
        <w:rPr>
          <w:rFonts w:hAnsi="宋体" w:hint="eastAsia"/>
          <w:bCs/>
          <w:sz w:val="24"/>
        </w:rPr>
        <w:t>80%</w:t>
      </w:r>
      <w:r w:rsidRPr="00613BD5">
        <w:rPr>
          <w:rFonts w:hAnsi="宋体" w:hint="eastAsia"/>
          <w:bCs/>
          <w:sz w:val="24"/>
        </w:rPr>
        <w:t>，股票、权证等权益类资产占基金资产的比例不高于</w:t>
      </w:r>
      <w:r w:rsidRPr="00613BD5">
        <w:rPr>
          <w:rFonts w:hAnsi="宋体" w:hint="eastAsia"/>
          <w:bCs/>
          <w:sz w:val="24"/>
        </w:rPr>
        <w:t>20%</w:t>
      </w:r>
      <w:r>
        <w:rPr>
          <w:rFonts w:hAnsi="宋体" w:hint="eastAsia"/>
          <w:bCs/>
          <w:sz w:val="24"/>
        </w:rPr>
        <w:t>；</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（2）保持不低于基金资产净值5%的现金或者到期日在一年以内的政府债券，其中现金不包括结算备付金、存出保证金和应收申购款等；</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（3）本基金持有一家上市公司的</w:t>
      </w:r>
      <w:r>
        <w:rPr>
          <w:rFonts w:ascii="宋体" w:hAnsi="宋体"/>
          <w:sz w:val="24"/>
        </w:rPr>
        <w:t>证券</w:t>
      </w:r>
      <w:r w:rsidRPr="00106DCA">
        <w:rPr>
          <w:rFonts w:ascii="宋体" w:hAnsi="宋体" w:hint="eastAsia"/>
          <w:sz w:val="24"/>
        </w:rPr>
        <w:t>，其市值不超过基金资产净值的10%；</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（4）本基金管理人管理的全部基金持有一家公司发行的证券，不超过该证券的10%；</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（5）本基金持有的全部权证，其市值不得超过基金资产净值的3%；</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（6）本基金管理人管理的全部基金持有的同一权证，不得超过该权证的10%；</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（7）本基金在任何交易日买入权证的总金额，不得超过上一交易日基金资产净值的0.5%；</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（8）本基金投资于同一原始权益人的各类资产支持证券的比例，不得超过基金资产净值的10%；</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（9）本基金持有的全部资产支持证券，其市值不得超过基金资产净值的20%；</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lastRenderedPageBreak/>
        <w:t>（10）本基金持有的同一（指同一信用级别）资产支持证券的比例，不得超过该资产支持证券规模的10%；</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（11）本基金管理人管理的全部基金投资于同一原始权益人的各类资产支持证券，不得超过其各类资产支持证券合计规模的10%；</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（13）基金财产参与股票发行申购，本基金所申报的金额不超过本基金的总资产，本基金所申报的股票数量不超过拟发行股票公司本次发行股票的总量；</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（14）本基金进入全国银行间同业市场进行债券回购的资金余额不得超过基金资产净值的40%，债券回购最长期限为1年，债券回购到期后不得展期；</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5</w:t>
      </w:r>
      <w:r w:rsidRPr="00106DCA">
        <w:rPr>
          <w:rFonts w:ascii="宋体" w:hAnsi="宋体" w:hint="eastAsia"/>
          <w:sz w:val="24"/>
        </w:rPr>
        <w:t>）本基金投资流通受限证券，基金管理人应事先根据中国证监会相关规定，与基金托管人在本基金托管协议中明确基金投资流通受限证券的比例，根据比例进行投资。基金管理人应制订严格的投资决策流程和风险控制制度，防范流动性风险、法律风险和操作风险等各种风险；</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6</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225DDF" w:rsidRPr="00106DCA"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7</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25DDF"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（1</w:t>
      </w:r>
      <w:r>
        <w:rPr>
          <w:rFonts w:ascii="宋体" w:hAnsi="宋体"/>
          <w:sz w:val="24"/>
        </w:rPr>
        <w:t>8</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rsidR="00225DDF" w:rsidRPr="00106DCA" w:rsidRDefault="00225DDF" w:rsidP="00225DDF">
      <w:pPr>
        <w:adjustRightInd w:val="0"/>
        <w:snapToGrid w:val="0"/>
        <w:spacing w:line="360" w:lineRule="auto"/>
        <w:ind w:firstLineChars="200" w:firstLine="480"/>
        <w:rPr>
          <w:rFonts w:ascii="宋体" w:hAnsi="宋体"/>
          <w:sz w:val="24"/>
        </w:rPr>
      </w:pPr>
      <w:r w:rsidRPr="001B430F">
        <w:rPr>
          <w:rFonts w:ascii="宋体" w:hAnsi="宋体" w:hint="eastAsia"/>
          <w:sz w:val="24"/>
        </w:rPr>
        <w:t>（19）本基金资产总值不超过基金资产净值的140%；</w:t>
      </w:r>
    </w:p>
    <w:p w:rsidR="00225DDF" w:rsidRDefault="00225DDF" w:rsidP="00225DDF">
      <w:pPr>
        <w:adjustRightInd w:val="0"/>
        <w:snapToGrid w:val="0"/>
        <w:spacing w:line="360" w:lineRule="auto"/>
        <w:ind w:firstLineChars="200" w:firstLine="480"/>
        <w:rPr>
          <w:rFonts w:ascii="宋体" w:hAnsi="宋体"/>
          <w:sz w:val="24"/>
        </w:rPr>
      </w:pPr>
      <w:r w:rsidRPr="00106DCA">
        <w:rPr>
          <w:rFonts w:ascii="宋体" w:hAnsi="宋体" w:hint="eastAsia"/>
          <w:sz w:val="24"/>
        </w:rPr>
        <w:t>（</w:t>
      </w:r>
      <w:r>
        <w:rPr>
          <w:rFonts w:ascii="宋体" w:hAnsi="宋体"/>
          <w:sz w:val="24"/>
        </w:rPr>
        <w:t>20</w:t>
      </w:r>
      <w:r w:rsidRPr="00106DCA">
        <w:rPr>
          <w:rFonts w:ascii="宋体" w:hAnsi="宋体" w:hint="eastAsia"/>
          <w:sz w:val="24"/>
        </w:rPr>
        <w:t>）法律法规及中国证监会规定的和基金合同约定的其他投资限制。</w:t>
      </w:r>
    </w:p>
    <w:p w:rsidR="00225DDF" w:rsidRDefault="00225DDF" w:rsidP="00225DDF">
      <w:pPr>
        <w:adjustRightInd w:val="0"/>
        <w:snapToGrid w:val="0"/>
        <w:spacing w:line="360" w:lineRule="auto"/>
        <w:ind w:firstLineChars="200" w:firstLine="480"/>
        <w:rPr>
          <w:rFonts w:hAnsi="宋体"/>
          <w:sz w:val="24"/>
        </w:rPr>
      </w:pPr>
      <w:r w:rsidRPr="00613BD5">
        <w:rPr>
          <w:rFonts w:hAnsi="宋体"/>
          <w:sz w:val="24"/>
        </w:rPr>
        <w:t>基金自变更之日起不超过</w:t>
      </w:r>
      <w:r w:rsidRPr="00613BD5">
        <w:rPr>
          <w:sz w:val="24"/>
        </w:rPr>
        <w:t>3</w:t>
      </w:r>
      <w:r w:rsidRPr="00613BD5">
        <w:rPr>
          <w:rFonts w:hAnsi="宋体"/>
          <w:sz w:val="24"/>
        </w:rPr>
        <w:t>个月的时间区间内为其投资转型期，投资转型期的具体起止日期由基金管理人确定并届时公告。基金管理人应当自投资转型期结</w:t>
      </w:r>
      <w:r w:rsidRPr="00613BD5">
        <w:rPr>
          <w:rFonts w:hAnsi="宋体"/>
          <w:sz w:val="24"/>
        </w:rPr>
        <w:lastRenderedPageBreak/>
        <w:t>束日起次个工作日使</w:t>
      </w:r>
      <w:r>
        <w:rPr>
          <w:rFonts w:hAnsi="宋体" w:hint="eastAsia"/>
          <w:sz w:val="24"/>
        </w:rPr>
        <w:t>本</w:t>
      </w:r>
      <w:r w:rsidRPr="00613BD5">
        <w:rPr>
          <w:rFonts w:hAnsi="宋体"/>
          <w:sz w:val="24"/>
        </w:rPr>
        <w:t>基金的投资组合比例符合基金合同的有关约定。</w:t>
      </w:r>
    </w:p>
    <w:p w:rsidR="00225DDF" w:rsidRDefault="00225DDF" w:rsidP="00225DDF">
      <w:pPr>
        <w:adjustRightInd w:val="0"/>
        <w:snapToGrid w:val="0"/>
        <w:spacing w:line="360" w:lineRule="auto"/>
        <w:ind w:firstLineChars="200" w:firstLine="480"/>
        <w:rPr>
          <w:sz w:val="24"/>
        </w:rPr>
      </w:pPr>
      <w:r w:rsidRPr="005922F5">
        <w:rPr>
          <w:rFonts w:hint="eastAsia"/>
          <w:bCs/>
          <w:sz w:val="24"/>
        </w:rPr>
        <w:t>除</w:t>
      </w:r>
      <w:r>
        <w:rPr>
          <w:rFonts w:hint="eastAsia"/>
          <w:bCs/>
          <w:sz w:val="24"/>
        </w:rPr>
        <w:t>前述</w:t>
      </w:r>
      <w:r w:rsidRPr="005922F5">
        <w:rPr>
          <w:rFonts w:hint="eastAsia"/>
          <w:bCs/>
          <w:sz w:val="24"/>
        </w:rPr>
        <w:t>投资组合限制第（</w:t>
      </w:r>
      <w:r w:rsidRPr="005922F5">
        <w:rPr>
          <w:rFonts w:hint="eastAsia"/>
          <w:bCs/>
          <w:sz w:val="24"/>
        </w:rPr>
        <w:t>2</w:t>
      </w:r>
      <w:r w:rsidRPr="005922F5">
        <w:rPr>
          <w:rFonts w:hint="eastAsia"/>
          <w:bCs/>
          <w:sz w:val="24"/>
        </w:rPr>
        <w:t>）、（</w:t>
      </w:r>
      <w:r w:rsidRPr="005922F5">
        <w:rPr>
          <w:rFonts w:hint="eastAsia"/>
          <w:bCs/>
          <w:sz w:val="24"/>
        </w:rPr>
        <w:t>1</w:t>
      </w:r>
      <w:r w:rsidRPr="005922F5">
        <w:rPr>
          <w:bCs/>
          <w:sz w:val="24"/>
        </w:rPr>
        <w:t>2</w:t>
      </w:r>
      <w:r w:rsidRPr="005922F5">
        <w:rPr>
          <w:rFonts w:hint="eastAsia"/>
          <w:bCs/>
          <w:sz w:val="24"/>
        </w:rPr>
        <w:t>）、（</w:t>
      </w:r>
      <w:r w:rsidRPr="005922F5">
        <w:rPr>
          <w:rFonts w:hint="eastAsia"/>
          <w:bCs/>
          <w:sz w:val="24"/>
        </w:rPr>
        <w:t>1</w:t>
      </w:r>
      <w:r>
        <w:rPr>
          <w:bCs/>
          <w:sz w:val="24"/>
        </w:rPr>
        <w:t>7</w:t>
      </w:r>
      <w:r w:rsidRPr="005922F5">
        <w:rPr>
          <w:rFonts w:hint="eastAsia"/>
          <w:bCs/>
          <w:sz w:val="24"/>
        </w:rPr>
        <w:t>）、（</w:t>
      </w:r>
      <w:r w:rsidRPr="005922F5">
        <w:rPr>
          <w:rFonts w:hint="eastAsia"/>
          <w:bCs/>
          <w:sz w:val="24"/>
        </w:rPr>
        <w:t>1</w:t>
      </w:r>
      <w:r>
        <w:rPr>
          <w:bCs/>
          <w:sz w:val="24"/>
        </w:rPr>
        <w:t>8</w:t>
      </w:r>
      <w:r w:rsidRPr="005922F5">
        <w:rPr>
          <w:rFonts w:hint="eastAsia"/>
          <w:bCs/>
          <w:sz w:val="24"/>
        </w:rPr>
        <w:t>）条外，</w:t>
      </w:r>
      <w:r w:rsidRPr="00613BD5">
        <w:rPr>
          <w:rFonts w:hint="eastAsia"/>
          <w:sz w:val="24"/>
        </w:rPr>
        <w:t>因证券市场波动、上市公司合并、基金规模变动、股权分置改革中支付对价等基金管理人之外的因素致使基金投资比例不符合上述规定投资比例的，基金管理人应当在</w:t>
      </w:r>
      <w:r w:rsidRPr="00613BD5">
        <w:rPr>
          <w:rFonts w:hint="eastAsia"/>
          <w:sz w:val="24"/>
        </w:rPr>
        <w:t>10</w:t>
      </w:r>
      <w:r w:rsidRPr="00613BD5">
        <w:rPr>
          <w:rFonts w:hint="eastAsia"/>
          <w:sz w:val="24"/>
        </w:rPr>
        <w:t>个交易日内进行调整，法律法规另有规定的从其规定。</w:t>
      </w:r>
    </w:p>
    <w:p w:rsidR="00225DDF" w:rsidRDefault="00225DDF" w:rsidP="00225DDF">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Pr>
          <w:rFonts w:hint="eastAsia"/>
          <w:sz w:val="24"/>
        </w:rPr>
        <w:t>本基金</w:t>
      </w:r>
      <w:r w:rsidRPr="00613BD5">
        <w:rPr>
          <w:rFonts w:hint="eastAsia"/>
          <w:sz w:val="24"/>
        </w:rPr>
        <w:t>，基金管理人在履行适当程序后，则</w:t>
      </w:r>
      <w:r>
        <w:rPr>
          <w:rFonts w:hint="eastAsia"/>
          <w:sz w:val="24"/>
        </w:rPr>
        <w:t>本基金</w:t>
      </w:r>
      <w:r w:rsidRPr="00613BD5">
        <w:rPr>
          <w:rFonts w:hint="eastAsia"/>
          <w:sz w:val="24"/>
        </w:rPr>
        <w:t>投资不再受相关限制。</w:t>
      </w:r>
    </w:p>
    <w:p w:rsidR="00225DDF" w:rsidRDefault="00225DDF" w:rsidP="00225DDF">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rsidR="00225DDF" w:rsidRDefault="00225DDF" w:rsidP="00225DDF">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rsidR="00225DDF" w:rsidRDefault="00225DDF" w:rsidP="00225DDF">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rsidR="00225DDF" w:rsidRDefault="00225DDF" w:rsidP="00225DDF">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Pr="00D20B77">
        <w:rPr>
          <w:rFonts w:hint="eastAsia"/>
          <w:sz w:val="24"/>
        </w:rPr>
        <w:t>违反规定</w:t>
      </w:r>
      <w:r w:rsidRPr="00613BD5">
        <w:rPr>
          <w:rFonts w:hint="eastAsia"/>
          <w:sz w:val="24"/>
        </w:rPr>
        <w:t>向他人贷款或者提供担保；</w:t>
      </w:r>
    </w:p>
    <w:p w:rsidR="00225DDF" w:rsidRDefault="00225DDF" w:rsidP="00225DDF">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rsidR="00225DDF" w:rsidRDefault="00225DDF" w:rsidP="00225DDF">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rsidR="00225DDF" w:rsidRDefault="00225DDF" w:rsidP="00225DDF">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rsidR="00225DDF" w:rsidRDefault="00225DDF" w:rsidP="00225DDF">
      <w:pPr>
        <w:adjustRightInd w:val="0"/>
        <w:snapToGrid w:val="0"/>
        <w:spacing w:line="360" w:lineRule="auto"/>
        <w:ind w:firstLineChars="200" w:firstLine="480"/>
        <w:rPr>
          <w:sz w:val="24"/>
        </w:rPr>
      </w:pPr>
      <w:r w:rsidRPr="00613BD5">
        <w:rPr>
          <w:rFonts w:hint="eastAsia"/>
          <w:sz w:val="24"/>
        </w:rPr>
        <w:t>（</w:t>
      </w:r>
      <w:r>
        <w:rPr>
          <w:sz w:val="24"/>
        </w:rPr>
        <w:t>6</w:t>
      </w:r>
      <w:r w:rsidRPr="00613BD5">
        <w:rPr>
          <w:rFonts w:hint="eastAsia"/>
          <w:sz w:val="24"/>
        </w:rPr>
        <w:t>）从事内幕交易、操纵证券交易价格及其他不正当的证券交易活动；</w:t>
      </w:r>
    </w:p>
    <w:p w:rsidR="00225DDF" w:rsidRDefault="00225DDF" w:rsidP="00225DDF">
      <w:pPr>
        <w:adjustRightInd w:val="0"/>
        <w:snapToGrid w:val="0"/>
        <w:spacing w:line="360" w:lineRule="auto"/>
        <w:ind w:firstLineChars="200" w:firstLine="480"/>
        <w:rPr>
          <w:sz w:val="24"/>
        </w:rPr>
      </w:pPr>
      <w:r w:rsidRPr="00613BD5">
        <w:rPr>
          <w:rFonts w:hint="eastAsia"/>
          <w:sz w:val="24"/>
        </w:rPr>
        <w:t>（</w:t>
      </w:r>
      <w:r>
        <w:rPr>
          <w:sz w:val="24"/>
        </w:rPr>
        <w:t>7</w:t>
      </w:r>
      <w:r w:rsidRPr="00613BD5">
        <w:rPr>
          <w:rFonts w:hint="eastAsia"/>
          <w:sz w:val="24"/>
        </w:rPr>
        <w:t>）依照法律</w:t>
      </w:r>
      <w:r>
        <w:rPr>
          <w:rFonts w:hint="eastAsia"/>
          <w:sz w:val="24"/>
        </w:rPr>
        <w:t>、行政</w:t>
      </w:r>
      <w:r w:rsidRPr="00613BD5">
        <w:rPr>
          <w:rFonts w:hint="eastAsia"/>
          <w:sz w:val="24"/>
        </w:rPr>
        <w:t>法规有关规定，由中国证监会规定禁止的其他活动。</w:t>
      </w:r>
    </w:p>
    <w:p w:rsidR="00225DDF" w:rsidRDefault="00225DDF" w:rsidP="00225DDF">
      <w:pPr>
        <w:adjustRightInd w:val="0"/>
        <w:snapToGrid w:val="0"/>
        <w:spacing w:line="360" w:lineRule="auto"/>
        <w:ind w:firstLineChars="200" w:firstLine="480"/>
        <w:rPr>
          <w:sz w:val="24"/>
        </w:rPr>
      </w:pPr>
      <w:r w:rsidRPr="001B430F">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25DDF" w:rsidRDefault="00225DDF" w:rsidP="00225DDF">
      <w:pPr>
        <w:adjustRightInd w:val="0"/>
        <w:snapToGrid w:val="0"/>
        <w:spacing w:line="360" w:lineRule="auto"/>
        <w:ind w:firstLineChars="200" w:firstLine="480"/>
        <w:rPr>
          <w:sz w:val="24"/>
        </w:rPr>
      </w:pPr>
      <w:r w:rsidRPr="00613BD5">
        <w:rPr>
          <w:rFonts w:hint="eastAsia"/>
          <w:sz w:val="24"/>
        </w:rPr>
        <w:t>法律法规或监管部门取消上述限制，如适用于</w:t>
      </w:r>
      <w:r>
        <w:rPr>
          <w:rFonts w:hint="eastAsia"/>
          <w:sz w:val="24"/>
        </w:rPr>
        <w:t>本基金</w:t>
      </w:r>
      <w:r w:rsidRPr="00613BD5">
        <w:rPr>
          <w:rFonts w:hint="eastAsia"/>
          <w:sz w:val="24"/>
        </w:rPr>
        <w:t>，则履行适当程序后</w:t>
      </w:r>
      <w:r>
        <w:rPr>
          <w:rFonts w:hint="eastAsia"/>
          <w:sz w:val="24"/>
        </w:rPr>
        <w:t>本基金</w:t>
      </w:r>
      <w:r w:rsidRPr="00613BD5">
        <w:rPr>
          <w:rFonts w:hint="eastAsia"/>
          <w:sz w:val="24"/>
        </w:rPr>
        <w:t>投资不再受相关限制。</w:t>
      </w:r>
    </w:p>
    <w:p w:rsidR="00225DDF" w:rsidRDefault="00225DDF" w:rsidP="00225DDF">
      <w:pPr>
        <w:adjustRightInd w:val="0"/>
        <w:snapToGrid w:val="0"/>
        <w:spacing w:line="360" w:lineRule="auto"/>
        <w:ind w:firstLineChars="200" w:firstLine="480"/>
        <w:rPr>
          <w:bCs/>
          <w:sz w:val="24"/>
        </w:rPr>
      </w:pPr>
    </w:p>
    <w:p w:rsidR="00225DDF" w:rsidRPr="00225DDF" w:rsidRDefault="00225DDF" w:rsidP="00225DDF">
      <w:pPr>
        <w:adjustRightInd w:val="0"/>
        <w:snapToGrid w:val="0"/>
        <w:spacing w:line="360" w:lineRule="auto"/>
        <w:ind w:firstLineChars="200" w:firstLine="482"/>
        <w:rPr>
          <w:b/>
          <w:bCs/>
          <w:sz w:val="24"/>
        </w:rPr>
      </w:pPr>
      <w:r w:rsidRPr="00225DDF">
        <w:rPr>
          <w:rFonts w:hint="eastAsia"/>
          <w:b/>
          <w:bCs/>
          <w:sz w:val="24"/>
        </w:rPr>
        <w:t>六、</w:t>
      </w:r>
      <w:r w:rsidRPr="00225DDF">
        <w:rPr>
          <w:rFonts w:cs="Arial Unicode MS" w:hint="eastAsia"/>
          <w:b/>
          <w:bCs/>
          <w:sz w:val="24"/>
        </w:rPr>
        <w:t>基金资产净值的计算方法和公告方式</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（一）估值方法</w:t>
      </w:r>
    </w:p>
    <w:p w:rsidR="00225DDF" w:rsidRPr="00613BD5"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rsidR="00225DDF" w:rsidRPr="00613BD5" w:rsidRDefault="00225DDF" w:rsidP="00225DDF">
      <w:pPr>
        <w:adjustRightInd w:val="0"/>
        <w:snapToGrid w:val="0"/>
        <w:spacing w:line="360" w:lineRule="auto"/>
        <w:ind w:firstLineChars="200" w:firstLine="480"/>
        <w:rPr>
          <w:bCs/>
          <w:sz w:val="24"/>
        </w:rPr>
      </w:pPr>
      <w:r w:rsidRPr="00613BD5">
        <w:rPr>
          <w:bCs/>
          <w:sz w:val="24"/>
        </w:rPr>
        <w:lastRenderedPageBreak/>
        <w:t>（</w:t>
      </w:r>
      <w:r w:rsidRPr="00613BD5">
        <w:rPr>
          <w:bCs/>
          <w:sz w:val="24"/>
        </w:rPr>
        <w:t>1</w:t>
      </w:r>
      <w:r w:rsidRPr="00613BD5">
        <w:rPr>
          <w:bCs/>
          <w:sz w:val="24"/>
        </w:rPr>
        <w:t>）交易所上市的有价证券（包括股票、权证等），以其估值日在证券交易所挂牌的市价（收盘价）估值；估值日无交易的，且最近交易日后经济环境未发生重大变化</w:t>
      </w:r>
      <w:r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Pr="001B430F">
        <w:rPr>
          <w:rFonts w:hint="eastAsia"/>
          <w:bCs/>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rsidR="00225DDF"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w:t>
      </w:r>
      <w:r w:rsidRPr="001B430F">
        <w:rPr>
          <w:rFonts w:hint="eastAsia"/>
          <w:bCs/>
          <w:sz w:val="24"/>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225DDF" w:rsidRPr="00613BD5"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）首次公开发行未上市的股票、债券和权证，采用估值技术确定公允价值，在估值技术难以可靠计量公允价值的情况下，按成本估值</w:t>
      </w:r>
      <w:r w:rsidRPr="00613BD5">
        <w:rPr>
          <w:rFonts w:hint="eastAsia"/>
          <w:bCs/>
          <w:sz w:val="24"/>
        </w:rPr>
        <w:t>；</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225DDF" w:rsidRPr="00613BD5" w:rsidRDefault="00225DDF" w:rsidP="00225DDF">
      <w:pPr>
        <w:adjustRightInd w:val="0"/>
        <w:snapToGrid w:val="0"/>
        <w:spacing w:line="360" w:lineRule="auto"/>
        <w:ind w:firstLineChars="200" w:firstLine="480"/>
        <w:rPr>
          <w:bCs/>
          <w:sz w:val="24"/>
        </w:rPr>
      </w:pPr>
      <w:r w:rsidRPr="00613BD5">
        <w:rPr>
          <w:bCs/>
          <w:sz w:val="24"/>
        </w:rPr>
        <w:t>3</w:t>
      </w:r>
      <w:r w:rsidRPr="00613BD5">
        <w:rPr>
          <w:bCs/>
          <w:sz w:val="24"/>
        </w:rPr>
        <w:t>、全国银行间债券市场交易的债券、资产支持证券等固定收益品种，采用估值技术确定公允价值。</w:t>
      </w:r>
    </w:p>
    <w:p w:rsidR="00225DDF" w:rsidRPr="00613BD5" w:rsidRDefault="00225DDF" w:rsidP="00225DDF">
      <w:pPr>
        <w:adjustRightInd w:val="0"/>
        <w:snapToGrid w:val="0"/>
        <w:spacing w:line="360" w:lineRule="auto"/>
        <w:ind w:firstLineChars="200" w:firstLine="480"/>
        <w:rPr>
          <w:bCs/>
          <w:sz w:val="24"/>
        </w:rPr>
      </w:pPr>
      <w:r w:rsidRPr="00613BD5">
        <w:rPr>
          <w:bCs/>
          <w:sz w:val="24"/>
        </w:rPr>
        <w:t>4</w:t>
      </w:r>
      <w:r w:rsidRPr="00613BD5">
        <w:rPr>
          <w:bCs/>
          <w:sz w:val="24"/>
        </w:rPr>
        <w:t>、</w:t>
      </w:r>
      <w:r w:rsidRPr="00613BD5">
        <w:rPr>
          <w:rFonts w:ascii="宋体" w:hAnsi="宋体" w:hint="eastAsia"/>
          <w:sz w:val="24"/>
        </w:rPr>
        <w:t>同一债券同时在两个或两个以上市场交易的，按债券所处的市场分别估</w:t>
      </w:r>
      <w:r w:rsidRPr="00613BD5">
        <w:rPr>
          <w:rFonts w:ascii="宋体" w:hAnsi="宋体" w:hint="eastAsia"/>
          <w:sz w:val="24"/>
        </w:rPr>
        <w:lastRenderedPageBreak/>
        <w:t>值。</w:t>
      </w:r>
    </w:p>
    <w:p w:rsidR="00225DDF" w:rsidRPr="00613BD5" w:rsidRDefault="00225DDF" w:rsidP="00225DDF">
      <w:pPr>
        <w:adjustRightInd w:val="0"/>
        <w:snapToGrid w:val="0"/>
        <w:spacing w:line="360" w:lineRule="auto"/>
        <w:ind w:firstLineChars="200" w:firstLine="480"/>
        <w:rPr>
          <w:rFonts w:ascii="宋体" w:hAnsi="宋体"/>
          <w:bCs/>
          <w:sz w:val="24"/>
        </w:rPr>
      </w:pPr>
      <w:r>
        <w:rPr>
          <w:bCs/>
          <w:sz w:val="24"/>
        </w:rPr>
        <w:t>5</w:t>
      </w:r>
      <w:r w:rsidRPr="00613BD5">
        <w:rPr>
          <w:rFonts w:hint="eastAsia"/>
          <w:bCs/>
          <w:sz w:val="24"/>
        </w:rPr>
        <w:t>、</w:t>
      </w:r>
      <w:r w:rsidRPr="00613BD5">
        <w:rPr>
          <w:bCs/>
          <w:sz w:val="24"/>
        </w:rPr>
        <w:t>如有确凿证据表明按上述方法进行估值不能客观反映其公允价值的，基金管</w:t>
      </w:r>
      <w:r w:rsidRPr="00613BD5">
        <w:rPr>
          <w:rFonts w:ascii="宋体" w:hAnsi="宋体"/>
          <w:bCs/>
          <w:sz w:val="24"/>
        </w:rPr>
        <w:t>理人可根据具体情况与基金托管人商定后，按最能反映公允价值的价格估值。</w:t>
      </w:r>
    </w:p>
    <w:p w:rsidR="00225DDF" w:rsidRPr="00613BD5" w:rsidRDefault="00225DDF" w:rsidP="00225DDF">
      <w:pPr>
        <w:adjustRightInd w:val="0"/>
        <w:snapToGrid w:val="0"/>
        <w:spacing w:line="360" w:lineRule="auto"/>
        <w:ind w:firstLineChars="200" w:firstLine="480"/>
        <w:rPr>
          <w:rFonts w:ascii="宋体" w:hAnsi="宋体"/>
          <w:bCs/>
          <w:sz w:val="24"/>
        </w:rPr>
      </w:pPr>
      <w:r>
        <w:rPr>
          <w:bCs/>
          <w:sz w:val="24"/>
        </w:rPr>
        <w:t>6</w:t>
      </w:r>
      <w:r w:rsidRPr="00613BD5">
        <w:rPr>
          <w:rFonts w:ascii="宋体" w:hAnsi="宋体"/>
          <w:bCs/>
          <w:sz w:val="24"/>
        </w:rPr>
        <w:t>、相关法律法规以及监管部门有强制规定的，从其规定。如有新增事项，按国家最新规定估值。</w:t>
      </w:r>
    </w:p>
    <w:p w:rsidR="00225DDF" w:rsidRPr="00613BD5" w:rsidRDefault="00225DDF" w:rsidP="00225DDF">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25DDF" w:rsidRDefault="00225DDF" w:rsidP="00225DDF">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（二）</w:t>
      </w:r>
      <w:r w:rsidRPr="00613BD5">
        <w:rPr>
          <w:bCs/>
          <w:sz w:val="24"/>
        </w:rPr>
        <w:t>估值程序</w:t>
      </w:r>
    </w:p>
    <w:p w:rsidR="00225DDF" w:rsidRPr="00613BD5"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、基金份额净值是按照每个工作日闭市后，基金资产净值除以当日基金份额的余额数量计算，精确到</w:t>
      </w:r>
      <w:r w:rsidRPr="00613BD5">
        <w:rPr>
          <w:rFonts w:hint="eastAsia"/>
          <w:bCs/>
          <w:sz w:val="24"/>
        </w:rPr>
        <w:t>0.001</w:t>
      </w:r>
      <w:r w:rsidRPr="00613BD5">
        <w:rPr>
          <w:bCs/>
          <w:sz w:val="24"/>
        </w:rPr>
        <w:t>元，小数点后第</w:t>
      </w:r>
      <w:r w:rsidRPr="00613BD5">
        <w:rPr>
          <w:rFonts w:hint="eastAsia"/>
          <w:bCs/>
          <w:sz w:val="24"/>
        </w:rPr>
        <w:t>四</w:t>
      </w:r>
      <w:r w:rsidRPr="00613BD5">
        <w:rPr>
          <w:bCs/>
          <w:sz w:val="24"/>
        </w:rPr>
        <w:t>位四舍五入。国家另有规定的，从其规定。</w:t>
      </w:r>
    </w:p>
    <w:p w:rsidR="00225DDF" w:rsidRPr="00613BD5" w:rsidRDefault="00225DDF" w:rsidP="00225DDF">
      <w:pPr>
        <w:adjustRightInd w:val="0"/>
        <w:snapToGrid w:val="0"/>
        <w:spacing w:line="360" w:lineRule="auto"/>
        <w:ind w:firstLineChars="200" w:firstLine="480"/>
        <w:rPr>
          <w:bCs/>
          <w:sz w:val="24"/>
        </w:rPr>
      </w:pPr>
      <w:r w:rsidRPr="00613BD5">
        <w:rPr>
          <w:bCs/>
          <w:sz w:val="24"/>
        </w:rPr>
        <w:t>每个</w:t>
      </w:r>
      <w:r w:rsidRPr="00613BD5">
        <w:rPr>
          <w:rFonts w:hint="eastAsia"/>
          <w:bCs/>
          <w:sz w:val="24"/>
        </w:rPr>
        <w:t>工作日</w:t>
      </w:r>
      <w:r w:rsidRPr="00613BD5">
        <w:rPr>
          <w:bCs/>
          <w:sz w:val="24"/>
        </w:rPr>
        <w:t>计算基金资产净值及基金份额净值，并按规定公告。</w:t>
      </w:r>
    </w:p>
    <w:p w:rsidR="00225DDF"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（三）</w:t>
      </w:r>
      <w:r w:rsidRPr="00613BD5">
        <w:rPr>
          <w:bCs/>
          <w:sz w:val="24"/>
        </w:rPr>
        <w:t>暂停估值的情形</w:t>
      </w:r>
    </w:p>
    <w:p w:rsidR="00225DDF" w:rsidRPr="00613BD5"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rsidR="00225DDF" w:rsidRPr="00613BD5"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rsidR="00225DDF" w:rsidRDefault="00225DDF" w:rsidP="00225DDF">
      <w:pPr>
        <w:adjustRightInd w:val="0"/>
        <w:snapToGrid w:val="0"/>
        <w:spacing w:line="360" w:lineRule="auto"/>
        <w:ind w:firstLineChars="200" w:firstLine="480"/>
        <w:rPr>
          <w:bCs/>
          <w:sz w:val="24"/>
        </w:rPr>
      </w:pPr>
      <w:r w:rsidRPr="006D5E20">
        <w:rPr>
          <w:bCs/>
          <w:sz w:val="24"/>
        </w:rPr>
        <w:t>3</w:t>
      </w:r>
      <w:r w:rsidRPr="00613BD5">
        <w:rPr>
          <w:rFonts w:hint="eastAsia"/>
          <w:bCs/>
          <w:sz w:val="24"/>
        </w:rPr>
        <w:t>、</w:t>
      </w:r>
      <w:r w:rsidRPr="005922F5">
        <w:rPr>
          <w:rFonts w:hint="eastAsia"/>
          <w:bCs/>
          <w:sz w:val="24"/>
        </w:rPr>
        <w:t>当前一估值日基金资产净值</w:t>
      </w:r>
      <w:r w:rsidRPr="005922F5">
        <w:rPr>
          <w:rFonts w:hint="eastAsia"/>
          <w:bCs/>
          <w:sz w:val="24"/>
        </w:rPr>
        <w:t>50%</w:t>
      </w:r>
      <w:r w:rsidRPr="005922F5">
        <w:rPr>
          <w:rFonts w:hint="eastAsia"/>
          <w:bCs/>
          <w:sz w:val="24"/>
        </w:rPr>
        <w:t>以上的资产出现无可参考的活跃市场价格且采用估值技术仍导致公允价值存在重大不确定性时，经与基金托管人协商</w:t>
      </w:r>
      <w:r>
        <w:rPr>
          <w:rFonts w:hint="eastAsia"/>
          <w:bCs/>
          <w:sz w:val="24"/>
        </w:rPr>
        <w:t>确认后</w:t>
      </w:r>
      <w:r w:rsidRPr="005922F5">
        <w:rPr>
          <w:rFonts w:hint="eastAsia"/>
          <w:bCs/>
          <w:sz w:val="24"/>
        </w:rPr>
        <w:t>，基金管理人应当暂停估值；</w:t>
      </w:r>
    </w:p>
    <w:p w:rsidR="00225DDF" w:rsidRDefault="00225DDF" w:rsidP="00225DDF">
      <w:pPr>
        <w:adjustRightInd w:val="0"/>
        <w:snapToGrid w:val="0"/>
        <w:spacing w:line="360" w:lineRule="auto"/>
        <w:ind w:firstLineChars="200" w:firstLine="480"/>
        <w:rPr>
          <w:bCs/>
          <w:sz w:val="24"/>
        </w:rPr>
      </w:pPr>
      <w:r>
        <w:rPr>
          <w:bCs/>
          <w:sz w:val="24"/>
        </w:rPr>
        <w:t>4</w:t>
      </w:r>
      <w:r>
        <w:rPr>
          <w:rFonts w:hint="eastAsia"/>
          <w:bCs/>
          <w:sz w:val="24"/>
        </w:rPr>
        <w:t>、</w:t>
      </w:r>
      <w:r w:rsidRPr="00613BD5">
        <w:rPr>
          <w:bCs/>
          <w:sz w:val="24"/>
        </w:rPr>
        <w:t>中国证监会和基金合同认定的其它情形。</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（四）基金资产净值的公告方式</w:t>
      </w:r>
    </w:p>
    <w:p w:rsidR="00225DDF" w:rsidRDefault="00225DDF" w:rsidP="00225DDF">
      <w:pPr>
        <w:adjustRightInd w:val="0"/>
        <w:snapToGrid w:val="0"/>
        <w:spacing w:line="360" w:lineRule="auto"/>
        <w:ind w:firstLineChars="200" w:firstLine="480"/>
        <w:rPr>
          <w:bCs/>
          <w:sz w:val="24"/>
        </w:rPr>
      </w:pPr>
      <w:r w:rsidRPr="00613BD5">
        <w:rPr>
          <w:bCs/>
          <w:sz w:val="24"/>
        </w:rPr>
        <w:lastRenderedPageBreak/>
        <w:t>基金合同生效后，在开始办理基金份额申购或者赎回前，基金管理人应当至少每周公告一次基金资产净值和基金份额净值。</w:t>
      </w:r>
    </w:p>
    <w:p w:rsidR="00225DDF" w:rsidRDefault="00225DDF" w:rsidP="00225DDF">
      <w:pPr>
        <w:adjustRightInd w:val="0"/>
        <w:snapToGrid w:val="0"/>
        <w:spacing w:line="360" w:lineRule="auto"/>
        <w:ind w:firstLineChars="200" w:firstLine="480"/>
        <w:rPr>
          <w:bCs/>
          <w:sz w:val="24"/>
        </w:rPr>
      </w:pPr>
      <w:r w:rsidRPr="00613BD5">
        <w:rPr>
          <w:bCs/>
          <w:sz w:val="24"/>
        </w:rPr>
        <w:t>在开始办理基金份额申购或者赎回后，基金管理人应当在每个开放日的次日，通过网站、基金份额</w:t>
      </w:r>
      <w:r>
        <w:rPr>
          <w:rFonts w:hint="eastAsia"/>
          <w:bCs/>
          <w:sz w:val="24"/>
        </w:rPr>
        <w:t>销售</w:t>
      </w:r>
      <w:r w:rsidRPr="00613BD5">
        <w:rPr>
          <w:bCs/>
          <w:sz w:val="24"/>
        </w:rPr>
        <w:t>网点以及其他媒介，披露开放日的基金份额净值和基金份额累计净值。</w:t>
      </w:r>
    </w:p>
    <w:p w:rsidR="00225DDF" w:rsidRDefault="00225DDF" w:rsidP="00225DDF">
      <w:pPr>
        <w:adjustRightInd w:val="0"/>
        <w:snapToGrid w:val="0"/>
        <w:spacing w:line="360" w:lineRule="auto"/>
        <w:ind w:firstLineChars="200" w:firstLine="480"/>
        <w:rPr>
          <w:bCs/>
          <w:sz w:val="24"/>
        </w:rPr>
      </w:pPr>
      <w:r w:rsidRPr="00613BD5">
        <w:rPr>
          <w:bCs/>
          <w:sz w:val="24"/>
        </w:rPr>
        <w:t>基金管理人应当公告半年度和年度最后一个市场交易日</w:t>
      </w:r>
      <w:r w:rsidRPr="00613BD5">
        <w:rPr>
          <w:rFonts w:hint="eastAsia"/>
          <w:bCs/>
          <w:sz w:val="24"/>
        </w:rPr>
        <w:t>（或自然日）</w:t>
      </w:r>
      <w:r w:rsidRPr="00613BD5">
        <w:rPr>
          <w:bCs/>
          <w:sz w:val="24"/>
        </w:rPr>
        <w:t>基金资产净值和基金份额净值。基金管理人应当在前款规定的市场交易日</w:t>
      </w:r>
      <w:r w:rsidRPr="00613BD5">
        <w:rPr>
          <w:rFonts w:hint="eastAsia"/>
          <w:bCs/>
          <w:sz w:val="24"/>
        </w:rPr>
        <w:t>（或自然日）</w:t>
      </w:r>
      <w:r w:rsidRPr="00613BD5">
        <w:rPr>
          <w:bCs/>
          <w:sz w:val="24"/>
        </w:rPr>
        <w:t>的次日，将基金资产净值、基金份额净值和基金份额累计净值登载在指定</w:t>
      </w:r>
      <w:r w:rsidRPr="00613BD5">
        <w:rPr>
          <w:rFonts w:hint="eastAsia"/>
          <w:bCs/>
          <w:sz w:val="24"/>
        </w:rPr>
        <w:t>报刊和网站</w:t>
      </w:r>
      <w:r w:rsidRPr="00613BD5">
        <w:rPr>
          <w:bCs/>
          <w:sz w:val="24"/>
        </w:rPr>
        <w:t>上。</w:t>
      </w:r>
    </w:p>
    <w:p w:rsidR="00225DDF" w:rsidRDefault="00225DDF" w:rsidP="00225DDF">
      <w:pPr>
        <w:adjustRightInd w:val="0"/>
        <w:snapToGrid w:val="0"/>
        <w:spacing w:line="360" w:lineRule="auto"/>
        <w:ind w:firstLineChars="200" w:firstLine="480"/>
        <w:rPr>
          <w:bCs/>
          <w:sz w:val="24"/>
        </w:rPr>
      </w:pPr>
    </w:p>
    <w:p w:rsidR="00225DDF" w:rsidRPr="00225DDF" w:rsidRDefault="00225DDF" w:rsidP="00225DDF">
      <w:pPr>
        <w:adjustRightInd w:val="0"/>
        <w:snapToGrid w:val="0"/>
        <w:spacing w:line="360" w:lineRule="auto"/>
        <w:ind w:firstLineChars="200" w:firstLine="482"/>
        <w:rPr>
          <w:b/>
          <w:bCs/>
          <w:sz w:val="24"/>
        </w:rPr>
      </w:pPr>
      <w:r w:rsidRPr="00225DDF">
        <w:rPr>
          <w:rFonts w:hint="eastAsia"/>
          <w:b/>
          <w:bCs/>
          <w:sz w:val="24"/>
        </w:rPr>
        <w:t>七、</w:t>
      </w:r>
      <w:r w:rsidRPr="00225DDF">
        <w:rPr>
          <w:rFonts w:cs="Arial Unicode MS"/>
          <w:b/>
          <w:bCs/>
          <w:sz w:val="24"/>
        </w:rPr>
        <w:t>基金合同解除和终止的事由、程序以及基金财产清算方式</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基金合同的终止事由</w:t>
      </w:r>
    </w:p>
    <w:p w:rsidR="00225DDF" w:rsidRPr="00613BD5" w:rsidRDefault="00225DDF" w:rsidP="00225DDF">
      <w:pPr>
        <w:adjustRightInd w:val="0"/>
        <w:snapToGrid w:val="0"/>
        <w:spacing w:line="360" w:lineRule="auto"/>
        <w:ind w:firstLineChars="200" w:firstLine="480"/>
        <w:rPr>
          <w:bCs/>
          <w:sz w:val="24"/>
        </w:rPr>
      </w:pPr>
      <w:r w:rsidRPr="00613BD5">
        <w:rPr>
          <w:bCs/>
          <w:sz w:val="24"/>
        </w:rPr>
        <w:t>有下列情形之一的，基金合同应当终止：</w:t>
      </w:r>
    </w:p>
    <w:p w:rsidR="00225DDF" w:rsidRPr="00613BD5"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rsidR="00225DDF" w:rsidRPr="00613BD5"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rsidR="00225DDF" w:rsidRPr="00613BD5" w:rsidRDefault="00225DDF" w:rsidP="00225DDF">
      <w:pPr>
        <w:adjustRightInd w:val="0"/>
        <w:snapToGrid w:val="0"/>
        <w:spacing w:line="360" w:lineRule="auto"/>
        <w:ind w:firstLineChars="200" w:firstLine="480"/>
        <w:rPr>
          <w:bCs/>
          <w:sz w:val="24"/>
        </w:rPr>
      </w:pPr>
      <w:r w:rsidRPr="00613BD5">
        <w:rPr>
          <w:bCs/>
          <w:sz w:val="24"/>
        </w:rPr>
        <w:t>3</w:t>
      </w:r>
      <w:r w:rsidRPr="00613BD5">
        <w:rPr>
          <w:bCs/>
          <w:sz w:val="24"/>
        </w:rPr>
        <w:t>、基金合同约定的其他情形；</w:t>
      </w:r>
    </w:p>
    <w:p w:rsidR="00225DDF" w:rsidRDefault="00225DDF" w:rsidP="00225DDF">
      <w:pPr>
        <w:adjustRightInd w:val="0"/>
        <w:snapToGrid w:val="0"/>
        <w:spacing w:line="360" w:lineRule="auto"/>
        <w:ind w:firstLineChars="200" w:firstLine="480"/>
        <w:rPr>
          <w:bCs/>
          <w:sz w:val="24"/>
        </w:rPr>
      </w:pPr>
      <w:r w:rsidRPr="00613BD5">
        <w:rPr>
          <w:bCs/>
          <w:sz w:val="24"/>
        </w:rPr>
        <w:t>4</w:t>
      </w:r>
      <w:r w:rsidRPr="00613BD5">
        <w:rPr>
          <w:bCs/>
          <w:sz w:val="24"/>
        </w:rPr>
        <w:t>、相关法律法规和中国证监会规定的其他情况。</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基金财产的清算</w:t>
      </w:r>
    </w:p>
    <w:p w:rsidR="00225DDF" w:rsidRPr="00613BD5" w:rsidRDefault="00225DDF" w:rsidP="00225DDF">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rsidR="00225DDF" w:rsidRPr="00613BD5" w:rsidRDefault="00225DDF" w:rsidP="00225DDF">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25DDF" w:rsidRPr="00613BD5" w:rsidRDefault="00225DDF" w:rsidP="00225DDF">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rsidR="00225DDF" w:rsidRPr="00613BD5" w:rsidRDefault="00225DDF" w:rsidP="00225DDF">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rsidR="00225DDF" w:rsidRPr="00613BD5" w:rsidRDefault="00225DDF" w:rsidP="00225DDF">
      <w:pPr>
        <w:adjustRightInd w:val="0"/>
        <w:snapToGrid w:val="0"/>
        <w:spacing w:line="360" w:lineRule="auto"/>
        <w:ind w:firstLineChars="200" w:firstLine="480"/>
        <w:rPr>
          <w:bCs/>
          <w:sz w:val="24"/>
        </w:rPr>
      </w:pPr>
      <w:r w:rsidRPr="00613BD5">
        <w:rPr>
          <w:bCs/>
          <w:sz w:val="24"/>
        </w:rPr>
        <w:lastRenderedPageBreak/>
        <w:t>（</w:t>
      </w:r>
      <w:r w:rsidRPr="00613BD5">
        <w:rPr>
          <w:bCs/>
          <w:sz w:val="24"/>
        </w:rPr>
        <w:t>3</w:t>
      </w:r>
      <w:r w:rsidRPr="00613BD5">
        <w:rPr>
          <w:bCs/>
          <w:sz w:val="24"/>
        </w:rPr>
        <w:t>）对基金财产进行估值和变现；</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rsidR="00225DDF" w:rsidRPr="00613BD5" w:rsidRDefault="00225DDF" w:rsidP="00225DDF">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rsidR="00225DDF" w:rsidRDefault="00225DDF" w:rsidP="00225DDF">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（三）</w:t>
      </w:r>
      <w:r w:rsidRPr="00613BD5">
        <w:rPr>
          <w:bCs/>
          <w:sz w:val="24"/>
        </w:rPr>
        <w:t>清算费用</w:t>
      </w:r>
    </w:p>
    <w:p w:rsidR="00225DDF" w:rsidRDefault="00225DDF" w:rsidP="00225DDF">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基金财产清算剩余资产的分配</w:t>
      </w:r>
    </w:p>
    <w:p w:rsidR="00225DDF" w:rsidRDefault="00225DDF" w:rsidP="00225DDF">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（五）</w:t>
      </w:r>
      <w:r w:rsidRPr="00613BD5">
        <w:rPr>
          <w:bCs/>
          <w:sz w:val="24"/>
        </w:rPr>
        <w:t>基金财产清算的公告</w:t>
      </w:r>
    </w:p>
    <w:p w:rsidR="00225DDF" w:rsidRDefault="00225DDF" w:rsidP="00225DDF">
      <w:pPr>
        <w:adjustRightInd w:val="0"/>
        <w:snapToGrid w:val="0"/>
        <w:spacing w:line="360" w:lineRule="auto"/>
        <w:ind w:firstLineChars="200" w:firstLine="480"/>
        <w:rPr>
          <w:bCs/>
          <w:sz w:val="24"/>
        </w:rPr>
      </w:pPr>
      <w:r w:rsidRPr="00613BD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p>
    <w:p w:rsidR="00225DDF" w:rsidRDefault="00225DDF" w:rsidP="00225DDF">
      <w:pPr>
        <w:adjustRightInd w:val="0"/>
        <w:snapToGrid w:val="0"/>
        <w:spacing w:line="360" w:lineRule="auto"/>
        <w:ind w:firstLineChars="200" w:firstLine="480"/>
        <w:rPr>
          <w:bCs/>
          <w:sz w:val="24"/>
        </w:rPr>
      </w:pPr>
      <w:r w:rsidRPr="00613BD5">
        <w:rPr>
          <w:rFonts w:hint="eastAsia"/>
          <w:bCs/>
          <w:sz w:val="24"/>
        </w:rPr>
        <w:t>（六）</w:t>
      </w:r>
      <w:r w:rsidRPr="00613BD5">
        <w:rPr>
          <w:bCs/>
          <w:sz w:val="24"/>
        </w:rPr>
        <w:t>基金财产清算账册及文件的保存</w:t>
      </w:r>
    </w:p>
    <w:p w:rsidR="00225DDF" w:rsidRDefault="00225DDF" w:rsidP="00225DDF">
      <w:pPr>
        <w:adjustRightInd w:val="0"/>
        <w:snapToGrid w:val="0"/>
        <w:spacing w:line="360" w:lineRule="auto"/>
        <w:ind w:firstLineChars="200" w:firstLine="480"/>
        <w:rPr>
          <w:bCs/>
          <w:sz w:val="24"/>
        </w:rPr>
      </w:pPr>
      <w:r w:rsidRPr="00613BD5">
        <w:rPr>
          <w:bCs/>
          <w:sz w:val="24"/>
        </w:rPr>
        <w:t>基金财产清算账册及有关文件由基金托管人保存</w:t>
      </w:r>
      <w:r w:rsidRPr="00613BD5">
        <w:rPr>
          <w:rFonts w:hint="eastAsia"/>
          <w:bCs/>
          <w:sz w:val="24"/>
        </w:rPr>
        <w:t>15</w:t>
      </w:r>
      <w:r w:rsidRPr="00613BD5">
        <w:rPr>
          <w:bCs/>
          <w:sz w:val="24"/>
        </w:rPr>
        <w:t>年以上。</w:t>
      </w:r>
    </w:p>
    <w:p w:rsidR="00225DDF" w:rsidRDefault="00225DDF" w:rsidP="00225DDF">
      <w:pPr>
        <w:adjustRightInd w:val="0"/>
        <w:snapToGrid w:val="0"/>
        <w:spacing w:line="360" w:lineRule="auto"/>
        <w:ind w:firstLineChars="200" w:firstLine="480"/>
        <w:rPr>
          <w:bCs/>
          <w:sz w:val="24"/>
        </w:rPr>
      </w:pPr>
    </w:p>
    <w:p w:rsidR="00225DDF" w:rsidRPr="00225DDF" w:rsidRDefault="00225DDF" w:rsidP="00225DDF">
      <w:pPr>
        <w:adjustRightInd w:val="0"/>
        <w:snapToGrid w:val="0"/>
        <w:spacing w:line="360" w:lineRule="auto"/>
        <w:ind w:firstLineChars="200" w:firstLine="482"/>
        <w:rPr>
          <w:b/>
          <w:bCs/>
          <w:sz w:val="24"/>
        </w:rPr>
      </w:pPr>
      <w:r w:rsidRPr="00225DDF">
        <w:rPr>
          <w:rFonts w:hint="eastAsia"/>
          <w:b/>
          <w:bCs/>
          <w:sz w:val="24"/>
        </w:rPr>
        <w:t>八、</w:t>
      </w:r>
      <w:r w:rsidRPr="00225DDF">
        <w:rPr>
          <w:b/>
          <w:bCs/>
          <w:sz w:val="24"/>
        </w:rPr>
        <w:t>争议解决方式</w:t>
      </w:r>
    </w:p>
    <w:p w:rsidR="00225DDF" w:rsidRPr="00613BD5" w:rsidRDefault="00225DDF" w:rsidP="00225DDF">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w:t>
      </w:r>
      <w:bookmarkStart w:id="17" w:name="_GoBack"/>
      <w:bookmarkEnd w:id="17"/>
      <w:r w:rsidRPr="00613BD5">
        <w:rPr>
          <w:rFonts w:ascii="宋体" w:hAnsi="宋体" w:hint="eastAsia"/>
          <w:sz w:val="24"/>
        </w:rPr>
        <w:t>局的，对各方当事人均有约束力，仲裁费用由败诉方承担。</w:t>
      </w:r>
    </w:p>
    <w:p w:rsidR="00225DDF" w:rsidRDefault="00225DDF" w:rsidP="00225DDF">
      <w:pPr>
        <w:adjustRightInd w:val="0"/>
        <w:snapToGrid w:val="0"/>
        <w:spacing w:line="360" w:lineRule="auto"/>
        <w:ind w:firstLineChars="200" w:firstLine="480"/>
        <w:rPr>
          <w:bCs/>
          <w:sz w:val="24"/>
        </w:rPr>
      </w:pPr>
      <w:r w:rsidRPr="00613BD5">
        <w:rPr>
          <w:bCs/>
          <w:sz w:val="24"/>
        </w:rPr>
        <w:t>基金合同受中国法律管辖。</w:t>
      </w:r>
    </w:p>
    <w:p w:rsidR="00225DDF" w:rsidRDefault="00225DDF" w:rsidP="00225DDF">
      <w:pPr>
        <w:adjustRightInd w:val="0"/>
        <w:snapToGrid w:val="0"/>
        <w:spacing w:line="360" w:lineRule="auto"/>
        <w:ind w:firstLineChars="200" w:firstLine="480"/>
        <w:rPr>
          <w:bCs/>
          <w:sz w:val="24"/>
        </w:rPr>
      </w:pPr>
    </w:p>
    <w:p w:rsidR="00225DDF" w:rsidRPr="00225DDF" w:rsidRDefault="00225DDF" w:rsidP="00225DDF">
      <w:pPr>
        <w:adjustRightInd w:val="0"/>
        <w:snapToGrid w:val="0"/>
        <w:spacing w:line="360" w:lineRule="auto"/>
        <w:ind w:firstLineChars="200" w:firstLine="482"/>
        <w:rPr>
          <w:b/>
          <w:bCs/>
          <w:sz w:val="24"/>
        </w:rPr>
      </w:pPr>
      <w:r w:rsidRPr="00225DDF">
        <w:rPr>
          <w:rFonts w:hint="eastAsia"/>
          <w:b/>
          <w:bCs/>
          <w:sz w:val="24"/>
        </w:rPr>
        <w:lastRenderedPageBreak/>
        <w:t>九、</w:t>
      </w:r>
      <w:r w:rsidRPr="00225DDF">
        <w:rPr>
          <w:b/>
          <w:bCs/>
          <w:sz w:val="24"/>
        </w:rPr>
        <w:t>基金合同存放地和投资者取得基金合同的方式</w:t>
      </w:r>
    </w:p>
    <w:p w:rsidR="00225DDF" w:rsidRPr="00613BD5" w:rsidRDefault="00225DDF" w:rsidP="00225DDF">
      <w:pPr>
        <w:adjustRightInd w:val="0"/>
        <w:snapToGrid w:val="0"/>
        <w:spacing w:line="360" w:lineRule="auto"/>
        <w:ind w:firstLineChars="200" w:firstLine="480"/>
        <w:rPr>
          <w:bCs/>
          <w:sz w:val="24"/>
        </w:rPr>
      </w:pPr>
      <w:r w:rsidRPr="00613BD5">
        <w:rPr>
          <w:bCs/>
          <w:sz w:val="24"/>
        </w:rPr>
        <w:t>基金合同正本一式六份，除上报有关监管机构一式二份外，基金管理人、基金托管人各持有二份，每份具有同等的法律效力。</w:t>
      </w:r>
    </w:p>
    <w:p w:rsidR="00225DDF" w:rsidRDefault="00225DDF" w:rsidP="00225DDF">
      <w:pPr>
        <w:spacing w:line="360" w:lineRule="auto"/>
        <w:ind w:firstLineChars="200" w:firstLine="480"/>
        <w:rPr>
          <w:rFonts w:hAnsi="宋体"/>
          <w:b/>
          <w:sz w:val="24"/>
          <w:szCs w:val="24"/>
        </w:rPr>
      </w:pP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rsidR="00225DDF" w:rsidRDefault="00225DDF" w:rsidP="00BA1358">
      <w:pPr>
        <w:spacing w:line="360" w:lineRule="auto"/>
        <w:ind w:firstLineChars="200" w:firstLine="482"/>
        <w:rPr>
          <w:rFonts w:hAnsi="宋体"/>
          <w:b/>
          <w:sz w:val="24"/>
          <w:szCs w:val="24"/>
        </w:rPr>
      </w:pPr>
    </w:p>
    <w:p w:rsidR="00225DDF" w:rsidRDefault="00225DDF" w:rsidP="00BA1358">
      <w:pPr>
        <w:spacing w:line="360" w:lineRule="auto"/>
        <w:ind w:firstLineChars="200" w:firstLine="482"/>
        <w:rPr>
          <w:rFonts w:hAnsi="宋体"/>
          <w:b/>
          <w:sz w:val="24"/>
          <w:szCs w:val="24"/>
        </w:rPr>
      </w:pPr>
    </w:p>
    <w:p w:rsidR="00225DDF" w:rsidRDefault="00225DDF" w:rsidP="00BA1358">
      <w:pPr>
        <w:spacing w:line="360" w:lineRule="auto"/>
        <w:ind w:firstLineChars="200" w:firstLine="482"/>
        <w:rPr>
          <w:rFonts w:hAnsi="宋体"/>
          <w:b/>
          <w:sz w:val="24"/>
          <w:szCs w:val="24"/>
        </w:rPr>
      </w:pPr>
    </w:p>
    <w:p w:rsidR="00BA1358" w:rsidRDefault="00BA1358" w:rsidP="00AB4A4F">
      <w:pPr>
        <w:spacing w:line="360" w:lineRule="auto"/>
        <w:ind w:firstLineChars="200" w:firstLine="482"/>
        <w:rPr>
          <w:rFonts w:hAnsi="宋体"/>
          <w:b/>
          <w:sz w:val="24"/>
          <w:szCs w:val="24"/>
        </w:rPr>
      </w:pPr>
    </w:p>
    <w:p w:rsidR="00D67793" w:rsidRPr="00A33B26" w:rsidRDefault="00D67793" w:rsidP="00A11739">
      <w:pPr>
        <w:spacing w:line="360" w:lineRule="auto"/>
        <w:ind w:firstLineChars="200" w:firstLine="480"/>
        <w:rPr>
          <w:bCs/>
          <w:sz w:val="24"/>
        </w:rPr>
      </w:pP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DE" w:rsidRDefault="001F3DDE">
      <w:r>
        <w:separator/>
      </w:r>
    </w:p>
  </w:endnote>
  <w:endnote w:type="continuationSeparator" w:id="0">
    <w:p w:rsidR="001F3DDE" w:rsidRDefault="001F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225DDF" w:rsidRPr="00225DDF">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DE" w:rsidRDefault="001F3DDE">
      <w:r>
        <w:separator/>
      </w:r>
    </w:p>
  </w:footnote>
  <w:footnote w:type="continuationSeparator" w:id="0">
    <w:p w:rsidR="001F3DDE" w:rsidRDefault="001F3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776"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A11739" w:rsidRPr="00A11739">
      <w:rPr>
        <w:rFonts w:hint="eastAsia"/>
        <w:szCs w:val="18"/>
      </w:rPr>
      <w:t>交银施罗德</w:t>
    </w:r>
    <w:r w:rsidR="00225DDF">
      <w:rPr>
        <w:rFonts w:hint="eastAsia"/>
        <w:szCs w:val="18"/>
      </w:rPr>
      <w:t>稳固收益债券型</w:t>
    </w:r>
    <w:r w:rsidR="002C0C98">
      <w:rPr>
        <w:szCs w:val="18"/>
      </w:rPr>
      <w:t>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1"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1"/>
  </w:num>
  <w:num w:numId="6">
    <w:abstractNumId w:val="13"/>
  </w:num>
  <w:num w:numId="7">
    <w:abstractNumId w:val="5"/>
  </w:num>
  <w:num w:numId="8">
    <w:abstractNumId w:val="7"/>
  </w:num>
  <w:num w:numId="9">
    <w:abstractNumId w:val="9"/>
  </w:num>
  <w:num w:numId="10">
    <w:abstractNumId w:val="8"/>
  </w:num>
  <w:num w:numId="11">
    <w:abstractNumId w:val="6"/>
  </w:num>
  <w:num w:numId="12">
    <w:abstractNumId w:val="12"/>
  </w:num>
  <w:num w:numId="13">
    <w:abstractNumId w:val="0"/>
  </w:num>
  <w:num w:numId="14">
    <w:abstractNumId w:val="10"/>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1DF847-5657-4594-AFAE-362AE39B6626}">
  <ds:schemaRefs>
    <ds:schemaRef ds:uri="http://schemas.openxmlformats.org/officeDocument/2006/bibliography"/>
  </ds:schemaRefs>
</ds:datastoreItem>
</file>

<file path=customXml/itemProps2.xml><?xml version="1.0" encoding="utf-8"?>
<ds:datastoreItem xmlns:ds="http://schemas.openxmlformats.org/officeDocument/2006/customXml" ds:itemID="{B7E9B9DA-A98B-4D91-A89C-9BD7A0D8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2638</Words>
  <Characters>15037</Characters>
  <Application>Microsoft Office Word</Application>
  <DocSecurity>0</DocSecurity>
  <Lines>125</Lines>
  <Paragraphs>35</Paragraphs>
  <ScaleCrop>false</ScaleCrop>
  <Company>Sky123.Org</Company>
  <LinksUpToDate>false</LinksUpToDate>
  <CharactersWithSpaces>17640</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34</cp:revision>
  <dcterms:created xsi:type="dcterms:W3CDTF">2016-10-24T01:15:00Z</dcterms:created>
  <dcterms:modified xsi:type="dcterms:W3CDTF">2019-05-15T06:36:00Z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