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916EE1" w14:textId="6EA12218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D4243B">
        <w:rPr>
          <w:rFonts w:eastAsiaTheme="minorEastAsia" w:hint="eastAsia"/>
          <w:b/>
          <w:kern w:val="0"/>
          <w:sz w:val="30"/>
          <w:szCs w:val="30"/>
        </w:rPr>
        <w:t>天运宝</w:t>
      </w:r>
      <w:r w:rsidR="00EC31FE" w:rsidRPr="00EC31FE">
        <w:rPr>
          <w:rFonts w:eastAsiaTheme="minorEastAsia" w:hint="eastAsia"/>
          <w:b/>
          <w:kern w:val="0"/>
          <w:sz w:val="30"/>
          <w:szCs w:val="30"/>
        </w:rPr>
        <w:t>货币市场基金</w:t>
      </w:r>
      <w:r w:rsidRPr="00EB5388">
        <w:rPr>
          <w:rFonts w:eastAsiaTheme="minorEastAsia" w:hint="eastAsia"/>
          <w:b/>
          <w:kern w:val="0"/>
          <w:sz w:val="30"/>
          <w:szCs w:val="30"/>
        </w:rPr>
        <w:t>暂停申购</w:t>
      </w:r>
      <w:r w:rsidR="00D4243B">
        <w:rPr>
          <w:rFonts w:eastAsiaTheme="minorEastAsia" w:hint="eastAsia"/>
          <w:b/>
          <w:kern w:val="0"/>
          <w:sz w:val="30"/>
          <w:szCs w:val="30"/>
        </w:rPr>
        <w:t>（</w:t>
      </w:r>
      <w:r w:rsidR="00D4243B">
        <w:rPr>
          <w:rFonts w:eastAsiaTheme="minorEastAsia"/>
          <w:b/>
          <w:kern w:val="0"/>
          <w:sz w:val="30"/>
          <w:szCs w:val="30"/>
        </w:rPr>
        <w:t>含转换转入）</w:t>
      </w:r>
      <w:r w:rsidRPr="00EB5388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61577B4A" w14:textId="3056E5B7" w:rsidR="001A3CA1" w:rsidRPr="00327E01" w:rsidRDefault="00EB5388" w:rsidP="008472DB">
      <w:pPr>
        <w:spacing w:line="560" w:lineRule="exact"/>
        <w:jc w:val="center"/>
        <w:rPr>
          <w:rFonts w:eastAsiaTheme="minorEastAsia" w:hint="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AF6200">
        <w:rPr>
          <w:rFonts w:eastAsiaTheme="minorEastAsia"/>
          <w:bCs/>
          <w:sz w:val="24"/>
          <w:szCs w:val="24"/>
        </w:rPr>
        <w:t>2019</w:t>
      </w:r>
      <w:r w:rsidR="00AF6200">
        <w:rPr>
          <w:rFonts w:eastAsiaTheme="minorEastAsia"/>
          <w:bCs/>
          <w:sz w:val="24"/>
          <w:szCs w:val="24"/>
        </w:rPr>
        <w:t>年</w:t>
      </w:r>
      <w:r w:rsidR="00AF6200">
        <w:rPr>
          <w:rFonts w:eastAsiaTheme="minorEastAsia"/>
          <w:bCs/>
          <w:sz w:val="24"/>
          <w:szCs w:val="24"/>
        </w:rPr>
        <w:t>5</w:t>
      </w:r>
      <w:r w:rsidR="00AF6200">
        <w:rPr>
          <w:rFonts w:eastAsiaTheme="minorEastAsia"/>
          <w:bCs/>
          <w:sz w:val="24"/>
          <w:szCs w:val="24"/>
        </w:rPr>
        <w:t>月</w:t>
      </w:r>
      <w:r w:rsidR="00AF6200">
        <w:rPr>
          <w:rFonts w:eastAsiaTheme="minorEastAsia"/>
          <w:bCs/>
          <w:sz w:val="24"/>
          <w:szCs w:val="24"/>
        </w:rPr>
        <w:t>16</w:t>
      </w:r>
      <w:r w:rsidR="00AF6200">
        <w:rPr>
          <w:rFonts w:eastAsiaTheme="minorEastAsia"/>
          <w:bCs/>
          <w:sz w:val="24"/>
          <w:szCs w:val="24"/>
        </w:rPr>
        <w:t>日</w:t>
      </w:r>
    </w:p>
    <w:p w14:paraId="74219FA5" w14:textId="77777777" w:rsidR="00D327FA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9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2852"/>
        <w:gridCol w:w="7"/>
        <w:gridCol w:w="3157"/>
      </w:tblGrid>
      <w:tr w:rsidR="00AF6200" w:rsidRPr="00281FDC" w14:paraId="2824747F" w14:textId="77777777" w:rsidTr="00AF6200">
        <w:trPr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F21C8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基金名称</w:t>
            </w: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3FDD95" w14:textId="57A0223F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货币市场基金</w:t>
            </w:r>
          </w:p>
        </w:tc>
      </w:tr>
      <w:tr w:rsidR="00AF6200" w:rsidRPr="00281FDC" w14:paraId="5D66F7C0" w14:textId="77777777" w:rsidTr="00AF6200">
        <w:trPr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5FE09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基金简称</w:t>
            </w: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F6734" w14:textId="75FC998B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</w:t>
            </w:r>
          </w:p>
        </w:tc>
      </w:tr>
      <w:tr w:rsidR="00AF6200" w:rsidRPr="00281FDC" w14:paraId="4937615E" w14:textId="77777777" w:rsidTr="00AF6200">
        <w:trPr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B73FD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基金主代码</w:t>
            </w: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98AF" w14:textId="0A452E69" w:rsidR="00AF6200" w:rsidRPr="00924BBA" w:rsidRDefault="00AF6200" w:rsidP="00AF6200">
            <w:pPr>
              <w:rPr>
                <w:rFonts w:eastAsia="宋体"/>
                <w:sz w:val="24"/>
                <w:szCs w:val="24"/>
              </w:rPr>
            </w:pPr>
            <w:r>
              <w:rPr>
                <w:sz w:val="24"/>
              </w:rPr>
              <w:t>005002</w:t>
            </w:r>
          </w:p>
        </w:tc>
      </w:tr>
      <w:tr w:rsidR="00AF6200" w:rsidRPr="00281FDC" w14:paraId="5DE2503B" w14:textId="77777777" w:rsidTr="00AF6200">
        <w:trPr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F2D49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基金管理人名称</w:t>
            </w: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93711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AF6200" w:rsidRPr="00281FDC" w14:paraId="4AEA1342" w14:textId="77777777" w:rsidTr="00AF6200">
        <w:trPr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2CC518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公告依据</w:t>
            </w:r>
          </w:p>
        </w:tc>
        <w:tc>
          <w:tcPr>
            <w:tcW w:w="6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920582" w14:textId="535D331C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货币市场基金基金合同》、《交银施罗德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货币市场基金招募说明书》等</w:t>
            </w:r>
          </w:p>
        </w:tc>
      </w:tr>
      <w:tr w:rsidR="00AF6200" w:rsidRPr="00281FDC" w14:paraId="6060153A" w14:textId="77777777" w:rsidTr="00AF620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1AC50" w14:textId="4C89FC6A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暂停相关业务的起始日及原因说明</w:t>
            </w:r>
          </w:p>
          <w:p w14:paraId="226C2AAB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/>
                <w:color w:val="000000"/>
                <w:sz w:val="24"/>
                <w:szCs w:val="24"/>
              </w:rPr>
              <w:tab/>
            </w: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9F0A" w14:textId="60D689DD" w:rsidR="00AF6200" w:rsidRPr="00281FDC" w:rsidRDefault="00AF6200" w:rsidP="00AF6200">
            <w:pPr>
              <w:rPr>
                <w:rFonts w:eastAsia="宋体"/>
                <w:sz w:val="24"/>
                <w:szCs w:val="24"/>
              </w:rPr>
            </w:pPr>
            <w:r w:rsidRPr="00281FDC">
              <w:rPr>
                <w:rFonts w:eastAsia="宋体" w:hint="eastAsia"/>
                <w:sz w:val="24"/>
                <w:szCs w:val="24"/>
              </w:rPr>
              <w:t>暂停申购起始日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0FF5" w14:textId="32F25F6C" w:rsidR="00AF6200" w:rsidRPr="00281FDC" w:rsidRDefault="00AF6200" w:rsidP="00AF620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201</w:t>
            </w:r>
            <w:r>
              <w:rPr>
                <w:rFonts w:eastAsia="宋体"/>
                <w:color w:val="000000"/>
                <w:sz w:val="24"/>
                <w:szCs w:val="24"/>
              </w:rPr>
              <w:t>9</w:t>
            </w:r>
            <w:r w:rsidRPr="00281FDC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5</w:t>
            </w:r>
            <w:r w:rsidRPr="00281FDC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</w:t>
            </w:r>
            <w:r>
              <w:rPr>
                <w:rFonts w:eastAsia="宋体"/>
                <w:sz w:val="24"/>
                <w:szCs w:val="24"/>
              </w:rPr>
              <w:t>6</w:t>
            </w:r>
            <w:r w:rsidRPr="00281FD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AF6200" w:rsidRPr="00281FDC" w14:paraId="190687A7" w14:textId="77777777" w:rsidTr="00AF6200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2923" w14:textId="77777777" w:rsidR="00AF6200" w:rsidRPr="00281FDC" w:rsidRDefault="00AF6200" w:rsidP="005940CA">
            <w:pPr>
              <w:rPr>
                <w:rFonts w:eastAsia="宋体"/>
                <w:sz w:val="24"/>
                <w:szCs w:val="24"/>
              </w:rPr>
            </w:pPr>
          </w:p>
        </w:tc>
        <w:tc>
          <w:tcPr>
            <w:tcW w:w="2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60019" w14:textId="5BBD7B0B" w:rsidR="00AF6200" w:rsidRPr="00281FDC" w:rsidRDefault="00AF6200" w:rsidP="00AF6200">
            <w:pPr>
              <w:rPr>
                <w:rFonts w:eastAsia="宋体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暂停</w:t>
            </w:r>
            <w:r>
              <w:rPr>
                <w:rFonts w:eastAsia="宋体"/>
                <w:sz w:val="24"/>
                <w:szCs w:val="24"/>
              </w:rPr>
              <w:t>转换转入起始日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DDD" w14:textId="382A0675" w:rsidR="00AF6200" w:rsidDel="004D3349" w:rsidRDefault="00AF6200" w:rsidP="005940CA">
            <w:pPr>
              <w:rPr>
                <w:rFonts w:eastAsia="宋体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color w:val="000000"/>
                <w:sz w:val="24"/>
                <w:szCs w:val="24"/>
              </w:rPr>
              <w:t>201</w:t>
            </w:r>
            <w:r>
              <w:rPr>
                <w:rFonts w:eastAsia="宋体"/>
                <w:color w:val="000000"/>
                <w:sz w:val="24"/>
                <w:szCs w:val="24"/>
              </w:rPr>
              <w:t>9</w:t>
            </w:r>
            <w:r w:rsidRPr="00281FDC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5</w:t>
            </w:r>
            <w:r w:rsidRPr="00281FDC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16</w:t>
            </w:r>
            <w:r w:rsidRPr="00281FD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AF6200" w:rsidRPr="00281FDC" w14:paraId="063C069B" w14:textId="77777777" w:rsidTr="00AF6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09E6" w14:textId="77777777" w:rsidR="00AF6200" w:rsidRPr="00281FDC" w:rsidRDefault="00AF6200" w:rsidP="005940CA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6B364" w14:textId="572D07C0" w:rsidR="00AF6200" w:rsidRPr="00281FDC" w:rsidRDefault="00AF6200" w:rsidP="00AF6200">
            <w:pPr>
              <w:rPr>
                <w:rFonts w:ascii="宋体" w:eastAsia="宋体" w:hAnsi="宋体"/>
                <w:color w:val="000000"/>
                <w:kern w:val="0"/>
                <w:sz w:val="24"/>
                <w:szCs w:val="24"/>
              </w:rPr>
            </w:pPr>
            <w:r w:rsidRPr="00AF6200">
              <w:rPr>
                <w:rFonts w:eastAsia="宋体" w:hint="eastAsia"/>
                <w:sz w:val="24"/>
                <w:szCs w:val="24"/>
              </w:rPr>
              <w:t>暂停申购</w:t>
            </w:r>
            <w:r w:rsidRPr="00AF6200">
              <w:rPr>
                <w:rFonts w:eastAsia="宋体" w:hint="eastAsia"/>
                <w:sz w:val="24"/>
                <w:szCs w:val="24"/>
              </w:rPr>
              <w:t>（</w:t>
            </w:r>
            <w:r w:rsidRPr="00AF6200">
              <w:rPr>
                <w:rFonts w:eastAsia="宋体"/>
                <w:sz w:val="24"/>
                <w:szCs w:val="24"/>
              </w:rPr>
              <w:t>转换转入</w:t>
            </w:r>
            <w:r w:rsidRPr="00AF6200">
              <w:rPr>
                <w:rFonts w:eastAsia="宋体" w:hint="eastAsia"/>
                <w:sz w:val="24"/>
                <w:szCs w:val="24"/>
              </w:rPr>
              <w:t>）</w:t>
            </w:r>
            <w:r w:rsidRPr="00AF6200">
              <w:rPr>
                <w:rFonts w:eastAsia="宋体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E077" w14:textId="1C3D2D93" w:rsidR="00AF6200" w:rsidRPr="00281FDC" w:rsidRDefault="00AF6200" w:rsidP="00AF6200">
            <w:pPr>
              <w:rPr>
                <w:rFonts w:ascii="宋体" w:eastAsia="宋体" w:hAnsi="宋体"/>
                <w:sz w:val="24"/>
                <w:szCs w:val="24"/>
              </w:rPr>
            </w:pPr>
            <w:r w:rsidRPr="00556A4D">
              <w:rPr>
                <w:rFonts w:ascii="宋体" w:eastAsia="宋体" w:hAnsi="宋体" w:hint="eastAsia"/>
                <w:sz w:val="24"/>
                <w:szCs w:val="24"/>
              </w:rPr>
              <w:t>为保护基金份额持有人利益</w:t>
            </w:r>
          </w:p>
        </w:tc>
      </w:tr>
      <w:tr w:rsidR="00AF6200" w:rsidRPr="00281FDC" w14:paraId="0FADC9C6" w14:textId="77777777" w:rsidTr="00AF6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25D3" w14:textId="77777777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EE5C" w14:textId="67B1FFD0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</w:t>
            </w: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6300A" w14:textId="16BF76BA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天运宝</w:t>
            </w:r>
            <w:r>
              <w:rPr>
                <w:rFonts w:hint="eastAsia"/>
                <w:sz w:val="24"/>
              </w:rPr>
              <w:t>货币</w:t>
            </w:r>
            <w:r>
              <w:rPr>
                <w:sz w:val="24"/>
              </w:rPr>
              <w:t>E</w:t>
            </w:r>
          </w:p>
        </w:tc>
      </w:tr>
      <w:tr w:rsidR="00AF6200" w:rsidRPr="00281FDC" w14:paraId="3768D6F6" w14:textId="77777777" w:rsidTr="00AF6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2781D" w14:textId="77777777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B970" w14:textId="19D1073C" w:rsidR="00AF6200" w:rsidRPr="007658D3" w:rsidRDefault="00AF6200" w:rsidP="00AF6200">
            <w:pPr>
              <w:rPr>
                <w:sz w:val="24"/>
              </w:rPr>
            </w:pPr>
            <w:r w:rsidRPr="007D32BD">
              <w:rPr>
                <w:sz w:val="24"/>
              </w:rPr>
              <w:t>00</w:t>
            </w:r>
            <w:r>
              <w:rPr>
                <w:sz w:val="24"/>
              </w:rPr>
              <w:t>5002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F3C7" w14:textId="069F063A" w:rsidR="00AF6200" w:rsidRPr="007658D3" w:rsidRDefault="00AF6200" w:rsidP="005940CA">
            <w:pPr>
              <w:rPr>
                <w:sz w:val="24"/>
              </w:rPr>
            </w:pPr>
            <w:r>
              <w:rPr>
                <w:sz w:val="24"/>
              </w:rPr>
              <w:t>005003</w:t>
            </w:r>
          </w:p>
        </w:tc>
      </w:tr>
      <w:tr w:rsidR="00AF6200" w:rsidRPr="00281FDC" w14:paraId="7FD928B6" w14:textId="77777777" w:rsidTr="00AF62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61A6" w14:textId="4A7D9160" w:rsidR="00AF6200" w:rsidRDefault="00AF6200" w:rsidP="00AF62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该分级基金是否暂停申购</w:t>
            </w:r>
            <w:r w:rsidRPr="003C787A">
              <w:rPr>
                <w:rFonts w:hint="eastAsia"/>
                <w:sz w:val="24"/>
              </w:rPr>
              <w:t>（转换转入）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E05AD" w14:textId="77777777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BF07" w14:textId="77777777" w:rsidR="00AF6200" w:rsidRDefault="00AF6200" w:rsidP="005940C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14:paraId="2E68F2DB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6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Start w:id="2" w:name="_GoBack"/>
      <w:bookmarkEnd w:id="1"/>
      <w:bookmarkEnd w:id="2"/>
    </w:p>
    <w:p w14:paraId="0B39861E" w14:textId="0A62FE3E" w:rsidR="005934E1" w:rsidRPr="00327E01" w:rsidRDefault="00AF6200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23112A">
        <w:rPr>
          <w:rFonts w:eastAsia="宋体" w:hint="eastAsia"/>
          <w:sz w:val="24"/>
        </w:rPr>
        <w:t>本基金</w:t>
      </w:r>
      <w:r w:rsidR="0023112A">
        <w:rPr>
          <w:rFonts w:eastAsia="宋体"/>
          <w:sz w:val="24"/>
        </w:rPr>
        <w:t>自</w:t>
      </w:r>
      <w:r w:rsidRPr="00AF6200">
        <w:rPr>
          <w:rFonts w:eastAsia="宋体" w:hint="eastAsia"/>
          <w:sz w:val="24"/>
        </w:rPr>
        <w:t>2019</w:t>
      </w:r>
      <w:r w:rsidRPr="00AF6200">
        <w:rPr>
          <w:rFonts w:eastAsia="宋体" w:hint="eastAsia"/>
          <w:sz w:val="24"/>
        </w:rPr>
        <w:t>年</w:t>
      </w:r>
      <w:r w:rsidRPr="00AF6200">
        <w:rPr>
          <w:rFonts w:eastAsia="宋体" w:hint="eastAsia"/>
          <w:sz w:val="24"/>
        </w:rPr>
        <w:t>5</w:t>
      </w:r>
      <w:r w:rsidRPr="00AF6200">
        <w:rPr>
          <w:rFonts w:eastAsia="宋体" w:hint="eastAsia"/>
          <w:sz w:val="24"/>
        </w:rPr>
        <w:t>月</w:t>
      </w:r>
      <w:r w:rsidRPr="00AF6200">
        <w:rPr>
          <w:rFonts w:eastAsia="宋体" w:hint="eastAsia"/>
          <w:sz w:val="24"/>
        </w:rPr>
        <w:t>16</w:t>
      </w:r>
      <w:r w:rsidRPr="00AF6200">
        <w:rPr>
          <w:rFonts w:eastAsia="宋体" w:hint="eastAsia"/>
          <w:sz w:val="24"/>
        </w:rPr>
        <w:t>日</w:t>
      </w:r>
      <w:r w:rsidR="0023112A">
        <w:rPr>
          <w:rFonts w:eastAsia="宋体"/>
          <w:sz w:val="24"/>
        </w:rPr>
        <w:t>起暂停接受个人投资者的申购（含转换转入）业务申请，</w:t>
      </w:r>
      <w:r w:rsidR="00EB5388" w:rsidRPr="00EB5388">
        <w:rPr>
          <w:rFonts w:eastAsia="宋体" w:hint="eastAsia"/>
          <w:color w:val="000000"/>
          <w:sz w:val="24"/>
        </w:rPr>
        <w:t>在</w:t>
      </w:r>
      <w:r w:rsidR="0023112A">
        <w:rPr>
          <w:rFonts w:eastAsia="宋体" w:hint="eastAsia"/>
          <w:color w:val="000000"/>
          <w:sz w:val="24"/>
        </w:rPr>
        <w:t>此</w:t>
      </w:r>
      <w:r w:rsidR="00EB5388" w:rsidRPr="00EB5388">
        <w:rPr>
          <w:rFonts w:eastAsia="宋体" w:hint="eastAsia"/>
          <w:color w:val="000000"/>
          <w:sz w:val="24"/>
        </w:rPr>
        <w:t>期间，本基金的赎回</w:t>
      </w:r>
      <w:r w:rsidR="0023112A">
        <w:rPr>
          <w:rFonts w:eastAsia="宋体" w:hint="eastAsia"/>
          <w:color w:val="000000"/>
          <w:sz w:val="24"/>
        </w:rPr>
        <w:t>（</w:t>
      </w:r>
      <w:r w:rsidR="0023112A">
        <w:rPr>
          <w:rFonts w:eastAsia="宋体"/>
          <w:color w:val="000000"/>
          <w:sz w:val="24"/>
        </w:rPr>
        <w:t>含转换转出）</w:t>
      </w:r>
      <w:r w:rsidR="0023112A">
        <w:rPr>
          <w:rFonts w:eastAsia="宋体" w:hint="eastAsia"/>
          <w:color w:val="000000"/>
          <w:sz w:val="24"/>
        </w:rPr>
        <w:t>业务</w:t>
      </w:r>
      <w:r w:rsidR="0023112A">
        <w:rPr>
          <w:rFonts w:eastAsia="宋体"/>
          <w:color w:val="000000"/>
          <w:sz w:val="24"/>
        </w:rPr>
        <w:t>及</w:t>
      </w:r>
      <w:r w:rsidR="0023112A">
        <w:rPr>
          <w:rFonts w:eastAsia="宋体" w:hint="eastAsia"/>
          <w:color w:val="000000"/>
          <w:sz w:val="24"/>
        </w:rPr>
        <w:t>机构</w:t>
      </w:r>
      <w:r w:rsidR="0023112A">
        <w:rPr>
          <w:rFonts w:eastAsia="宋体"/>
          <w:color w:val="000000"/>
          <w:sz w:val="24"/>
        </w:rPr>
        <w:t>投资者的申购</w:t>
      </w:r>
      <w:r w:rsidR="0023112A">
        <w:rPr>
          <w:rFonts w:eastAsia="宋体"/>
          <w:sz w:val="24"/>
        </w:rPr>
        <w:t>（含转换转入）</w:t>
      </w:r>
      <w:r w:rsidR="00EB5388" w:rsidRPr="00EB5388">
        <w:rPr>
          <w:rFonts w:eastAsia="宋体" w:hint="eastAsia"/>
          <w:color w:val="000000"/>
          <w:sz w:val="24"/>
        </w:rPr>
        <w:t>业务正常进行。</w:t>
      </w:r>
    </w:p>
    <w:p w14:paraId="38DAD61C" w14:textId="12C054F0" w:rsidR="00250A78" w:rsidRPr="00327E01" w:rsidRDefault="00AF6200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关于取消上述暂停</w:t>
      </w:r>
      <w:r w:rsidR="001E5705">
        <w:rPr>
          <w:rFonts w:eastAsia="宋体" w:hint="eastAsia"/>
          <w:color w:val="000000"/>
          <w:sz w:val="24"/>
        </w:rPr>
        <w:t>接受个人</w:t>
      </w:r>
      <w:r w:rsidR="001E5705">
        <w:rPr>
          <w:rFonts w:eastAsia="宋体"/>
          <w:color w:val="000000"/>
          <w:sz w:val="24"/>
        </w:rPr>
        <w:t>投资者</w:t>
      </w:r>
      <w:r w:rsidR="00EB5388" w:rsidRPr="00EB5388">
        <w:rPr>
          <w:rFonts w:eastAsia="宋体" w:hint="eastAsia"/>
          <w:color w:val="000000"/>
          <w:sz w:val="24"/>
        </w:rPr>
        <w:t>申购</w:t>
      </w:r>
      <w:r w:rsidR="001E5705">
        <w:rPr>
          <w:rFonts w:eastAsia="宋体"/>
          <w:sz w:val="24"/>
        </w:rPr>
        <w:t>（含转换转入）</w:t>
      </w:r>
      <w:r w:rsidR="00EB5388" w:rsidRPr="00EB5388">
        <w:rPr>
          <w:rFonts w:eastAsia="宋体" w:hint="eastAsia"/>
          <w:color w:val="000000"/>
          <w:sz w:val="24"/>
        </w:rPr>
        <w:t>业务限制的时间，本基金管理人将另行公告。</w:t>
      </w:r>
    </w:p>
    <w:p w14:paraId="3E54C644" w14:textId="77872871" w:rsidR="00250A78" w:rsidRPr="00327E01" w:rsidRDefault="00AF6200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5546ED3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D07B1B3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</w:t>
      </w:r>
      <w:r w:rsidRPr="00EB5388">
        <w:rPr>
          <w:rFonts w:eastAsia="宋体" w:hint="eastAsia"/>
          <w:color w:val="000000"/>
          <w:sz w:val="24"/>
        </w:rPr>
        <w:lastRenderedPageBreak/>
        <w:t>身风险承受能力的投资品种进行投资。</w:t>
      </w:r>
    </w:p>
    <w:p w14:paraId="4B38DB85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73BEAAD0" w14:textId="3C1F1ECE" w:rsidR="00387AF9" w:rsidRPr="00327E01" w:rsidRDefault="00EB5388" w:rsidP="00BD40BF">
      <w:pPr>
        <w:spacing w:line="360" w:lineRule="auto"/>
        <w:ind w:firstLineChars="200" w:firstLine="480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B3B7F" w14:textId="77777777" w:rsidR="00770329" w:rsidRDefault="00770329" w:rsidP="00D327FA">
      <w:r>
        <w:separator/>
      </w:r>
    </w:p>
  </w:endnote>
  <w:endnote w:type="continuationSeparator" w:id="0">
    <w:p w14:paraId="70262E04" w14:textId="77777777" w:rsidR="00770329" w:rsidRDefault="00770329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EA9A3" w14:textId="77777777" w:rsidR="00770329" w:rsidRDefault="00770329" w:rsidP="00D327FA">
      <w:r>
        <w:separator/>
      </w:r>
    </w:p>
  </w:footnote>
  <w:footnote w:type="continuationSeparator" w:id="0">
    <w:p w14:paraId="546F8626" w14:textId="77777777" w:rsidR="00770329" w:rsidRDefault="00770329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52EA6"/>
    <w:rsid w:val="000746EF"/>
    <w:rsid w:val="00076F52"/>
    <w:rsid w:val="000B460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D09A6"/>
    <w:rsid w:val="001E4CD3"/>
    <w:rsid w:val="001E5705"/>
    <w:rsid w:val="001F193F"/>
    <w:rsid w:val="002061D4"/>
    <w:rsid w:val="00207484"/>
    <w:rsid w:val="0023112A"/>
    <w:rsid w:val="00236B30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E37D1"/>
    <w:rsid w:val="00423ECF"/>
    <w:rsid w:val="004569F5"/>
    <w:rsid w:val="0048692B"/>
    <w:rsid w:val="00491C0A"/>
    <w:rsid w:val="004966BA"/>
    <w:rsid w:val="00496C13"/>
    <w:rsid w:val="00496CEB"/>
    <w:rsid w:val="004D6346"/>
    <w:rsid w:val="004E2421"/>
    <w:rsid w:val="004F0521"/>
    <w:rsid w:val="004F51E8"/>
    <w:rsid w:val="00524907"/>
    <w:rsid w:val="00540343"/>
    <w:rsid w:val="00564298"/>
    <w:rsid w:val="00577CF2"/>
    <w:rsid w:val="005934E1"/>
    <w:rsid w:val="005C4E7B"/>
    <w:rsid w:val="005E0B5C"/>
    <w:rsid w:val="005E39FA"/>
    <w:rsid w:val="005F1AF0"/>
    <w:rsid w:val="00614995"/>
    <w:rsid w:val="00646522"/>
    <w:rsid w:val="00667DE7"/>
    <w:rsid w:val="006F028B"/>
    <w:rsid w:val="0071339B"/>
    <w:rsid w:val="00727899"/>
    <w:rsid w:val="00751A3E"/>
    <w:rsid w:val="00753DDE"/>
    <w:rsid w:val="0075449B"/>
    <w:rsid w:val="00754BF4"/>
    <w:rsid w:val="00760ADD"/>
    <w:rsid w:val="00770329"/>
    <w:rsid w:val="00770DB7"/>
    <w:rsid w:val="0078235C"/>
    <w:rsid w:val="007B1D31"/>
    <w:rsid w:val="007E15FD"/>
    <w:rsid w:val="0082571C"/>
    <w:rsid w:val="00827D4A"/>
    <w:rsid w:val="0083445C"/>
    <w:rsid w:val="00841AFE"/>
    <w:rsid w:val="008472DB"/>
    <w:rsid w:val="00853A75"/>
    <w:rsid w:val="00862191"/>
    <w:rsid w:val="00875F57"/>
    <w:rsid w:val="008923FE"/>
    <w:rsid w:val="008D3261"/>
    <w:rsid w:val="008F225D"/>
    <w:rsid w:val="0091304D"/>
    <w:rsid w:val="0091589B"/>
    <w:rsid w:val="00931B33"/>
    <w:rsid w:val="00932FF1"/>
    <w:rsid w:val="00936257"/>
    <w:rsid w:val="00956B0F"/>
    <w:rsid w:val="009959B0"/>
    <w:rsid w:val="009968BA"/>
    <w:rsid w:val="009A0B67"/>
    <w:rsid w:val="009B269C"/>
    <w:rsid w:val="009B403A"/>
    <w:rsid w:val="009C33A5"/>
    <w:rsid w:val="009C5858"/>
    <w:rsid w:val="009F2805"/>
    <w:rsid w:val="00A443AB"/>
    <w:rsid w:val="00A516C4"/>
    <w:rsid w:val="00A65CFB"/>
    <w:rsid w:val="00A81371"/>
    <w:rsid w:val="00A85AEC"/>
    <w:rsid w:val="00AA7C31"/>
    <w:rsid w:val="00AE6A19"/>
    <w:rsid w:val="00AF6200"/>
    <w:rsid w:val="00AF68A9"/>
    <w:rsid w:val="00B0547A"/>
    <w:rsid w:val="00B101F7"/>
    <w:rsid w:val="00B13229"/>
    <w:rsid w:val="00B243AE"/>
    <w:rsid w:val="00B36746"/>
    <w:rsid w:val="00B40A5A"/>
    <w:rsid w:val="00B5053A"/>
    <w:rsid w:val="00B548A3"/>
    <w:rsid w:val="00BA6967"/>
    <w:rsid w:val="00BB78A2"/>
    <w:rsid w:val="00BC2F54"/>
    <w:rsid w:val="00BD40BF"/>
    <w:rsid w:val="00BD601B"/>
    <w:rsid w:val="00BD6D93"/>
    <w:rsid w:val="00C50193"/>
    <w:rsid w:val="00C74043"/>
    <w:rsid w:val="00C84FBF"/>
    <w:rsid w:val="00C902C9"/>
    <w:rsid w:val="00C94351"/>
    <w:rsid w:val="00CB21B3"/>
    <w:rsid w:val="00D0420C"/>
    <w:rsid w:val="00D100C9"/>
    <w:rsid w:val="00D114B7"/>
    <w:rsid w:val="00D327FA"/>
    <w:rsid w:val="00D33E60"/>
    <w:rsid w:val="00D4243B"/>
    <w:rsid w:val="00D64175"/>
    <w:rsid w:val="00D82740"/>
    <w:rsid w:val="00D82CB4"/>
    <w:rsid w:val="00D906EB"/>
    <w:rsid w:val="00DB2A18"/>
    <w:rsid w:val="00DE5E75"/>
    <w:rsid w:val="00DE678B"/>
    <w:rsid w:val="00DF2EF8"/>
    <w:rsid w:val="00E14417"/>
    <w:rsid w:val="00E31264"/>
    <w:rsid w:val="00E72255"/>
    <w:rsid w:val="00E77D74"/>
    <w:rsid w:val="00E94314"/>
    <w:rsid w:val="00EB5388"/>
    <w:rsid w:val="00EC31FE"/>
    <w:rsid w:val="00EC3AEC"/>
    <w:rsid w:val="00ED0C20"/>
    <w:rsid w:val="00EE1823"/>
    <w:rsid w:val="00EE3F14"/>
    <w:rsid w:val="00EF318C"/>
    <w:rsid w:val="00F03EEE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691764"/>
  <w15:docId w15:val="{7F912A2D-D282-4111-BB1F-CD31D0191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E66A09-A42B-4698-81BC-C300768C9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108</Words>
  <Characters>617</Characters>
  <Application>Microsoft Office Word</Application>
  <DocSecurity>0</DocSecurity>
  <Lines>5</Lines>
  <Paragraphs>1</Paragraphs>
  <ScaleCrop>false</ScaleCrop>
  <Company>微软中国</Company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23</cp:revision>
  <dcterms:created xsi:type="dcterms:W3CDTF">2017-06-28T01:21:00Z</dcterms:created>
  <dcterms:modified xsi:type="dcterms:W3CDTF">2019-05-14T06:33:00Z</dcterms:modified>
</cp:coreProperties>
</file>