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23</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7,444,547,939.27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w:t>
            </w:r>
            <w:proofErr w:type="gramStart"/>
            <w:r w:rsidRPr="007F52FA">
              <w:rPr>
                <w:color w:val="000000"/>
                <w:kern w:val="0"/>
                <w:sz w:val="24"/>
              </w:rPr>
              <w:t>券</w:t>
            </w:r>
            <w:proofErr w:type="gramEnd"/>
            <w:r w:rsidRPr="007F52FA">
              <w:rPr>
                <w:color w:val="000000"/>
                <w:kern w:val="0"/>
                <w:sz w:val="24"/>
              </w:rPr>
              <w:t>和备选成份</w:t>
            </w:r>
            <w:proofErr w:type="gramStart"/>
            <w:r w:rsidRPr="007F52FA">
              <w:rPr>
                <w:color w:val="000000"/>
                <w:kern w:val="0"/>
                <w:sz w:val="24"/>
              </w:rPr>
              <w:t>券</w:t>
            </w:r>
            <w:proofErr w:type="gramEnd"/>
            <w:r w:rsidRPr="007F52FA">
              <w:rPr>
                <w:color w:val="000000"/>
                <w:kern w:val="0"/>
                <w:sz w:val="24"/>
              </w:rPr>
              <w:t>，或选择非成份</w:t>
            </w:r>
            <w:proofErr w:type="gramStart"/>
            <w:r w:rsidRPr="007F52FA">
              <w:rPr>
                <w:color w:val="000000"/>
                <w:kern w:val="0"/>
                <w:sz w:val="24"/>
              </w:rPr>
              <w:t>券</w:t>
            </w:r>
            <w:proofErr w:type="gramEnd"/>
            <w:r w:rsidRPr="007F52FA">
              <w:rPr>
                <w:color w:val="000000"/>
                <w:kern w:val="0"/>
                <w:sz w:val="24"/>
              </w:rPr>
              <w:t>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7,444,547,939.27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15"/>
      </w:tblGrid>
      <w:tr w:rsidR="009E549D" w:rsidRPr="007F52FA" w:rsidTr="00DC0B04">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46"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23</w:t>
            </w:r>
            <w:r w:rsidRPr="00414345">
              <w:rPr>
                <w:color w:val="000000"/>
                <w:sz w:val="24"/>
              </w:rPr>
              <w:t>日（基金合同生效日）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DC0B04">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615"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DC0B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43,502,073.56</w:t>
            </w:r>
          </w:p>
        </w:tc>
        <w:tc>
          <w:tcPr>
            <w:tcW w:w="2615"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DC0B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39,220,853.06</w:t>
            </w:r>
          </w:p>
        </w:tc>
        <w:tc>
          <w:tcPr>
            <w:tcW w:w="2615"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DC0B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0.0044</w:t>
            </w:r>
          </w:p>
        </w:tc>
        <w:tc>
          <w:tcPr>
            <w:tcW w:w="2615"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DC0B0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7,461,845,053.08</w:t>
            </w:r>
          </w:p>
        </w:tc>
        <w:tc>
          <w:tcPr>
            <w:tcW w:w="2615"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DC0B04">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1.0023</w:t>
            </w:r>
          </w:p>
        </w:tc>
        <w:tc>
          <w:tcPr>
            <w:tcW w:w="2615" w:type="dxa"/>
            <w:vAlign w:val="center"/>
          </w:tcPr>
          <w:p w:rsidR="005F293E" w:rsidRPr="007F52FA" w:rsidRDefault="00DC0B04" w:rsidP="007C14DF">
            <w:pPr>
              <w:adjustRightInd w:val="0"/>
              <w:spacing w:before="29" w:line="288" w:lineRule="auto"/>
              <w:ind w:left="17"/>
              <w:jc w:val="right"/>
              <w:rPr>
                <w:color w:val="000000"/>
                <w:sz w:val="24"/>
              </w:rPr>
            </w:pPr>
            <w:r w:rsidRPr="00DC0B04">
              <w:rPr>
                <w:color w:val="000000"/>
                <w:sz w:val="24"/>
              </w:rPr>
              <w:t>1.0000</w:t>
            </w:r>
          </w:p>
        </w:tc>
      </w:tr>
    </w:tbl>
    <w:p w:rsidR="00D33420" w:rsidRDefault="00CE03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D33420" w:rsidRDefault="00CE038D" w:rsidP="004E32BA">
      <w:pPr>
        <w:autoSpaceDE w:val="0"/>
        <w:autoSpaceDN w:val="0"/>
        <w:adjustRightInd w:val="0"/>
        <w:spacing w:before="29" w:line="288" w:lineRule="auto"/>
        <w:ind w:firstLine="480"/>
        <w:jc w:val="left"/>
        <w:rPr>
          <w:rFonts w:eastAsiaTheme="minorEastAsia"/>
          <w:color w:val="000000"/>
          <w:sz w:val="24"/>
        </w:rPr>
      </w:pPr>
      <w:r>
        <w:rPr>
          <w:rFonts w:eastAsiaTheme="minorEastAsia"/>
          <w:color w:val="000000"/>
          <w:sz w:val="24"/>
        </w:rPr>
        <w:t>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4E32BA" w:rsidRPr="004E32BA" w:rsidRDefault="004E32BA" w:rsidP="004E32BA">
      <w:pPr>
        <w:autoSpaceDE w:val="0"/>
        <w:autoSpaceDN w:val="0"/>
        <w:adjustRightInd w:val="0"/>
        <w:spacing w:before="29" w:line="288" w:lineRule="auto"/>
        <w:ind w:firstLineChars="200" w:firstLine="480"/>
        <w:jc w:val="left"/>
        <w:rPr>
          <w:rFonts w:eastAsiaTheme="minorEastAsia"/>
          <w:color w:val="000000"/>
          <w:sz w:val="24"/>
        </w:rPr>
      </w:pPr>
      <w:r w:rsidRPr="004E32BA">
        <w:rPr>
          <w:rFonts w:eastAsiaTheme="minorEastAsia" w:hint="eastAsia"/>
          <w:color w:val="000000"/>
          <w:sz w:val="24"/>
        </w:rPr>
        <w:t>3</w:t>
      </w:r>
      <w:r w:rsidRPr="004E32BA">
        <w:rPr>
          <w:rFonts w:eastAsiaTheme="minorEastAsia" w:hint="eastAsia"/>
          <w:color w:val="000000"/>
          <w:sz w:val="24"/>
        </w:rPr>
        <w:t>、本基金合同生效日为</w:t>
      </w:r>
      <w:r>
        <w:rPr>
          <w:rFonts w:eastAsiaTheme="minorEastAsia"/>
          <w:color w:val="000000"/>
          <w:sz w:val="24"/>
        </w:rPr>
        <w:t>2019</w:t>
      </w:r>
      <w:r w:rsidRPr="004E32BA">
        <w:rPr>
          <w:rFonts w:eastAsiaTheme="minorEastAsia" w:hint="eastAsia"/>
          <w:color w:val="000000"/>
          <w:sz w:val="24"/>
        </w:rPr>
        <w:t>年</w:t>
      </w:r>
      <w:r>
        <w:rPr>
          <w:rFonts w:eastAsiaTheme="minorEastAsia"/>
          <w:color w:val="000000"/>
          <w:sz w:val="24"/>
        </w:rPr>
        <w:t>1</w:t>
      </w:r>
      <w:r w:rsidRPr="004E32BA">
        <w:rPr>
          <w:rFonts w:eastAsiaTheme="minorEastAsia" w:hint="eastAsia"/>
          <w:color w:val="000000"/>
          <w:sz w:val="24"/>
        </w:rPr>
        <w:t>月</w:t>
      </w:r>
      <w:r>
        <w:rPr>
          <w:rFonts w:eastAsiaTheme="minorEastAsia"/>
          <w:color w:val="000000"/>
          <w:sz w:val="24"/>
        </w:rPr>
        <w:t>23</w:t>
      </w:r>
      <w:r w:rsidRPr="004E32BA">
        <w:rPr>
          <w:rFonts w:eastAsiaTheme="minorEastAsia" w:hint="eastAsia"/>
          <w:color w:val="000000"/>
          <w:sz w:val="24"/>
        </w:rPr>
        <w:t>日，基金合同生效日至本报告期期末，本基金运作时间未满三个月。</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4E32BA">
        <w:rPr>
          <w:rFonts w:eastAsiaTheme="minorEastAsia"/>
          <w:color w:val="000000"/>
          <w:sz w:val="24"/>
        </w:rPr>
        <w:t>4</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4A1F48">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0D0A">
        <w:trPr>
          <w:jc w:val="center"/>
        </w:trPr>
        <w:tc>
          <w:tcPr>
            <w:tcW w:w="1266" w:type="dxa"/>
            <w:vAlign w:val="center"/>
          </w:tcPr>
          <w:p w:rsidR="00380D0A" w:rsidRDefault="00380D0A" w:rsidP="00380D0A">
            <w:pPr>
              <w:jc w:val="left"/>
            </w:pPr>
            <w:r>
              <w:rPr>
                <w:color w:val="000000"/>
                <w:sz w:val="24"/>
              </w:rPr>
              <w:t>基金合同生效</w:t>
            </w:r>
            <w:proofErr w:type="gramStart"/>
            <w:r>
              <w:rPr>
                <w:color w:val="000000"/>
                <w:sz w:val="24"/>
              </w:rPr>
              <w:t>日至今</w:t>
            </w:r>
            <w:proofErr w:type="gramEnd"/>
          </w:p>
        </w:tc>
        <w:tc>
          <w:tcPr>
            <w:tcW w:w="1267" w:type="dxa"/>
            <w:vAlign w:val="center"/>
          </w:tcPr>
          <w:p w:rsidR="00380D0A" w:rsidRDefault="00380D0A" w:rsidP="00380D0A">
            <w:pPr>
              <w:jc w:val="center"/>
            </w:pPr>
            <w:r>
              <w:rPr>
                <w:color w:val="000000"/>
                <w:sz w:val="24"/>
              </w:rPr>
              <w:t>0.43%</w:t>
            </w:r>
          </w:p>
        </w:tc>
        <w:tc>
          <w:tcPr>
            <w:tcW w:w="1267" w:type="dxa"/>
            <w:vAlign w:val="center"/>
          </w:tcPr>
          <w:p w:rsidR="00380D0A" w:rsidRDefault="00380D0A" w:rsidP="00380D0A">
            <w:pPr>
              <w:jc w:val="center"/>
            </w:pPr>
            <w:r>
              <w:rPr>
                <w:color w:val="000000"/>
                <w:sz w:val="24"/>
              </w:rPr>
              <w:t>0.01%</w:t>
            </w:r>
          </w:p>
        </w:tc>
        <w:tc>
          <w:tcPr>
            <w:tcW w:w="1267" w:type="dxa"/>
            <w:vAlign w:val="center"/>
          </w:tcPr>
          <w:p w:rsidR="00380D0A" w:rsidRDefault="00380D0A" w:rsidP="00380D0A">
            <w:pPr>
              <w:jc w:val="center"/>
            </w:pPr>
            <w:r>
              <w:rPr>
                <w:color w:val="000000"/>
                <w:sz w:val="24"/>
              </w:rPr>
              <w:t>-0.17%</w:t>
            </w:r>
          </w:p>
        </w:tc>
        <w:tc>
          <w:tcPr>
            <w:tcW w:w="1267" w:type="dxa"/>
            <w:vAlign w:val="center"/>
          </w:tcPr>
          <w:p w:rsidR="00380D0A" w:rsidRDefault="00380D0A" w:rsidP="00380D0A">
            <w:pPr>
              <w:jc w:val="center"/>
            </w:pPr>
            <w:r>
              <w:rPr>
                <w:color w:val="000000"/>
                <w:sz w:val="24"/>
              </w:rPr>
              <w:t>0.05%</w:t>
            </w:r>
          </w:p>
        </w:tc>
        <w:tc>
          <w:tcPr>
            <w:tcW w:w="1267" w:type="dxa"/>
            <w:vAlign w:val="center"/>
          </w:tcPr>
          <w:p w:rsidR="00380D0A" w:rsidRDefault="00380D0A" w:rsidP="00380D0A">
            <w:pPr>
              <w:jc w:val="center"/>
            </w:pPr>
            <w:r>
              <w:rPr>
                <w:color w:val="000000"/>
                <w:sz w:val="24"/>
              </w:rPr>
              <w:t>0.60%</w:t>
            </w:r>
          </w:p>
        </w:tc>
        <w:tc>
          <w:tcPr>
            <w:tcW w:w="1267" w:type="dxa"/>
            <w:vAlign w:val="center"/>
          </w:tcPr>
          <w:p w:rsidR="00380D0A" w:rsidRDefault="00380D0A" w:rsidP="00380D0A">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3420">
        <w:trPr>
          <w:jc w:val="center"/>
        </w:trPr>
        <w:tc>
          <w:tcPr>
            <w:tcW w:w="1266" w:type="dxa"/>
            <w:vAlign w:val="center"/>
          </w:tcPr>
          <w:p w:rsidR="00D33420" w:rsidRDefault="00CE038D">
            <w:pPr>
              <w:jc w:val="left"/>
            </w:pPr>
            <w:r>
              <w:rPr>
                <w:color w:val="000000"/>
                <w:sz w:val="24"/>
              </w:rPr>
              <w:t>基金合同生效日至今</w:t>
            </w:r>
          </w:p>
        </w:tc>
        <w:tc>
          <w:tcPr>
            <w:tcW w:w="1267" w:type="dxa"/>
            <w:vAlign w:val="center"/>
          </w:tcPr>
          <w:p w:rsidR="00D33420" w:rsidRDefault="00CE038D">
            <w:pPr>
              <w:jc w:val="center"/>
            </w:pPr>
            <w:r>
              <w:rPr>
                <w:color w:val="000000"/>
                <w:sz w:val="24"/>
              </w:rPr>
              <w:t>-</w:t>
            </w:r>
          </w:p>
        </w:tc>
        <w:tc>
          <w:tcPr>
            <w:tcW w:w="1267" w:type="dxa"/>
            <w:vAlign w:val="center"/>
          </w:tcPr>
          <w:p w:rsidR="00D33420" w:rsidRDefault="00CE038D">
            <w:pPr>
              <w:jc w:val="center"/>
            </w:pPr>
            <w:r>
              <w:rPr>
                <w:color w:val="000000"/>
                <w:sz w:val="24"/>
              </w:rPr>
              <w:t>-</w:t>
            </w:r>
          </w:p>
        </w:tc>
        <w:tc>
          <w:tcPr>
            <w:tcW w:w="1267" w:type="dxa"/>
            <w:vAlign w:val="center"/>
          </w:tcPr>
          <w:p w:rsidR="00D33420" w:rsidRDefault="00CE038D">
            <w:pPr>
              <w:jc w:val="center"/>
            </w:pPr>
            <w:r>
              <w:rPr>
                <w:color w:val="000000"/>
                <w:sz w:val="24"/>
              </w:rPr>
              <w:t>-</w:t>
            </w:r>
          </w:p>
        </w:tc>
        <w:tc>
          <w:tcPr>
            <w:tcW w:w="1267" w:type="dxa"/>
            <w:vAlign w:val="center"/>
          </w:tcPr>
          <w:p w:rsidR="00D33420" w:rsidRDefault="00CE038D">
            <w:pPr>
              <w:jc w:val="center"/>
            </w:pPr>
            <w:r>
              <w:rPr>
                <w:color w:val="000000"/>
                <w:sz w:val="24"/>
              </w:rPr>
              <w:t>-</w:t>
            </w:r>
          </w:p>
        </w:tc>
        <w:tc>
          <w:tcPr>
            <w:tcW w:w="1267" w:type="dxa"/>
            <w:vAlign w:val="center"/>
          </w:tcPr>
          <w:p w:rsidR="00D33420" w:rsidRDefault="00CE038D">
            <w:pPr>
              <w:jc w:val="center"/>
            </w:pPr>
            <w:r>
              <w:rPr>
                <w:color w:val="000000"/>
                <w:sz w:val="24"/>
              </w:rPr>
              <w:t>-</w:t>
            </w:r>
          </w:p>
        </w:tc>
        <w:tc>
          <w:tcPr>
            <w:tcW w:w="1267" w:type="dxa"/>
            <w:vAlign w:val="center"/>
          </w:tcPr>
          <w:p w:rsidR="00D33420" w:rsidRDefault="00CE038D">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380D0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14:anchorId="2D0E903F" wp14:editId="22C08706">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D12D04" w:rsidRPr="007F52FA" w:rsidRDefault="009238DB" w:rsidP="00CE038D">
      <w:pPr>
        <w:snapToGrid w:val="0"/>
        <w:spacing w:before="29" w:line="288" w:lineRule="auto"/>
        <w:rPr>
          <w:rFonts w:eastAsiaTheme="minorEastAsia"/>
          <w:color w:val="000000"/>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42785F" w:rsidRPr="007F52FA" w:rsidRDefault="00FE7FBD" w:rsidP="00CE038D">
      <w:pPr>
        <w:spacing w:before="29" w:line="288" w:lineRule="auto"/>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bookmarkStart w:id="0" w:name="_GoBack"/>
      <w:bookmarkEnd w:id="0"/>
    </w:p>
    <w:p w:rsidR="00757FD7" w:rsidRPr="007F52FA" w:rsidRDefault="00757FD7" w:rsidP="007C14DF">
      <w:pPr>
        <w:spacing w:before="29" w:line="288" w:lineRule="auto"/>
        <w:ind w:firstLineChars="200" w:firstLine="480"/>
        <w:rPr>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33420">
        <w:trPr>
          <w:jc w:val="center"/>
        </w:trPr>
        <w:tc>
          <w:tcPr>
            <w:tcW w:w="946" w:type="dxa"/>
            <w:vAlign w:val="center"/>
          </w:tcPr>
          <w:p w:rsidR="00D33420" w:rsidRDefault="00CE038D">
            <w:pPr>
              <w:jc w:val="center"/>
            </w:pPr>
            <w:r>
              <w:rPr>
                <w:color w:val="000000"/>
                <w:sz w:val="24"/>
              </w:rPr>
              <w:t>魏玉敏</w:t>
            </w:r>
          </w:p>
        </w:tc>
        <w:tc>
          <w:tcPr>
            <w:tcW w:w="924" w:type="dxa"/>
            <w:vAlign w:val="center"/>
          </w:tcPr>
          <w:p w:rsidR="00D33420" w:rsidRDefault="00CE038D">
            <w:pPr>
              <w:jc w:val="center"/>
            </w:pPr>
            <w:r>
              <w:rPr>
                <w:color w:val="000000"/>
                <w:sz w:val="24"/>
              </w:rPr>
              <w:t>交银增利债券、交银纯债债券发起、交银丰润</w:t>
            </w:r>
            <w:r>
              <w:rPr>
                <w:color w:val="000000"/>
                <w:sz w:val="24"/>
              </w:rPr>
              <w:lastRenderedPageBreak/>
              <w:t>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D33420" w:rsidRDefault="00CE038D">
            <w:pPr>
              <w:jc w:val="center"/>
            </w:pPr>
            <w:r>
              <w:rPr>
                <w:color w:val="000000"/>
                <w:sz w:val="24"/>
              </w:rPr>
              <w:lastRenderedPageBreak/>
              <w:t>2019-01-23</w:t>
            </w:r>
          </w:p>
        </w:tc>
        <w:tc>
          <w:tcPr>
            <w:tcW w:w="1300" w:type="dxa"/>
            <w:vAlign w:val="center"/>
          </w:tcPr>
          <w:p w:rsidR="00D33420" w:rsidRDefault="00CE038D">
            <w:pPr>
              <w:jc w:val="center"/>
            </w:pPr>
            <w:r>
              <w:rPr>
                <w:color w:val="000000"/>
                <w:sz w:val="24"/>
              </w:rPr>
              <w:t>-</w:t>
            </w:r>
          </w:p>
        </w:tc>
        <w:tc>
          <w:tcPr>
            <w:tcW w:w="1245" w:type="dxa"/>
            <w:vAlign w:val="center"/>
          </w:tcPr>
          <w:p w:rsidR="00D33420" w:rsidRDefault="00CE038D">
            <w:pPr>
              <w:jc w:val="center"/>
            </w:pPr>
            <w:r>
              <w:rPr>
                <w:color w:val="000000"/>
                <w:sz w:val="24"/>
              </w:rPr>
              <w:t>7</w:t>
            </w:r>
            <w:r>
              <w:rPr>
                <w:color w:val="000000"/>
                <w:sz w:val="24"/>
              </w:rPr>
              <w:t>年</w:t>
            </w:r>
          </w:p>
        </w:tc>
        <w:tc>
          <w:tcPr>
            <w:tcW w:w="3251" w:type="dxa"/>
            <w:vAlign w:val="center"/>
          </w:tcPr>
          <w:p w:rsidR="00D33420" w:rsidRDefault="00CE038D">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33420" w:rsidRDefault="00CE03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3420" w:rsidRDefault="00CE03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3420" w:rsidRDefault="00CE03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33420" w:rsidRDefault="00CE038D">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D33420" w:rsidRDefault="00CE038D">
      <w:pPr>
        <w:spacing w:before="29" w:line="288" w:lineRule="auto"/>
        <w:ind w:firstLineChars="200" w:firstLine="480"/>
        <w:rPr>
          <w:color w:val="000000"/>
          <w:sz w:val="24"/>
        </w:rPr>
      </w:pPr>
      <w:r>
        <w:rPr>
          <w:color w:val="000000"/>
          <w:sz w:val="24"/>
        </w:rPr>
        <w:t>本基金为指数基金，本报告期内，组合逐步进行了指数复制，并结合指数的变动，进行了券种配置的动态调整。</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组合将根据指数动态进行复制调整，保持组合与指数的偏离在控制范围之中。</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7,321,065,000.00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7,321,065,000.00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25,213,285.03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117,474,001.65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7,463,752,286.68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1D3EF3" w:rsidRPr="007F52FA" w:rsidRDefault="001D3EF3"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7,321,065,000.00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7,321,065,000.00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7,321,065,000.00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33420">
        <w:trPr>
          <w:jc w:val="center"/>
        </w:trPr>
        <w:tc>
          <w:tcPr>
            <w:tcW w:w="1075" w:type="dxa"/>
            <w:vAlign w:val="center"/>
          </w:tcPr>
          <w:p w:rsidR="00D33420" w:rsidRDefault="00CE038D">
            <w:pPr>
              <w:jc w:val="center"/>
            </w:pPr>
            <w:r>
              <w:rPr>
                <w:color w:val="000000"/>
                <w:sz w:val="24"/>
              </w:rPr>
              <w:t>1</w:t>
            </w:r>
          </w:p>
        </w:tc>
        <w:tc>
          <w:tcPr>
            <w:tcW w:w="1533" w:type="dxa"/>
            <w:vAlign w:val="center"/>
          </w:tcPr>
          <w:p w:rsidR="00D33420" w:rsidRDefault="00CE038D">
            <w:pPr>
              <w:jc w:val="center"/>
            </w:pPr>
            <w:r>
              <w:rPr>
                <w:color w:val="000000"/>
                <w:sz w:val="24"/>
              </w:rPr>
              <w:t>180412</w:t>
            </w:r>
          </w:p>
        </w:tc>
        <w:tc>
          <w:tcPr>
            <w:tcW w:w="1533" w:type="dxa"/>
            <w:vAlign w:val="center"/>
          </w:tcPr>
          <w:p w:rsidR="00D33420" w:rsidRDefault="00CE038D">
            <w:pPr>
              <w:jc w:val="center"/>
            </w:pPr>
            <w:r>
              <w:rPr>
                <w:color w:val="000000"/>
                <w:sz w:val="24"/>
              </w:rPr>
              <w:t>18</w:t>
            </w:r>
            <w:r>
              <w:rPr>
                <w:color w:val="000000"/>
                <w:sz w:val="24"/>
              </w:rPr>
              <w:t>农发</w:t>
            </w:r>
            <w:r>
              <w:rPr>
                <w:color w:val="000000"/>
                <w:sz w:val="24"/>
              </w:rPr>
              <w:t>12</w:t>
            </w:r>
          </w:p>
        </w:tc>
        <w:tc>
          <w:tcPr>
            <w:tcW w:w="1394" w:type="dxa"/>
            <w:vAlign w:val="center"/>
          </w:tcPr>
          <w:p w:rsidR="00D33420" w:rsidRDefault="00CE038D">
            <w:pPr>
              <w:jc w:val="right"/>
            </w:pPr>
            <w:r>
              <w:rPr>
                <w:color w:val="000000"/>
                <w:sz w:val="24"/>
              </w:rPr>
              <w:t>20,700,000</w:t>
            </w:r>
          </w:p>
        </w:tc>
        <w:tc>
          <w:tcPr>
            <w:tcW w:w="1944" w:type="dxa"/>
            <w:vAlign w:val="center"/>
          </w:tcPr>
          <w:p w:rsidR="00D33420" w:rsidRDefault="00CE038D">
            <w:pPr>
              <w:jc w:val="right"/>
            </w:pPr>
            <w:r>
              <w:rPr>
                <w:color w:val="000000"/>
                <w:sz w:val="24"/>
              </w:rPr>
              <w:t>2,076,210,000.00</w:t>
            </w:r>
          </w:p>
        </w:tc>
        <w:tc>
          <w:tcPr>
            <w:tcW w:w="1389" w:type="dxa"/>
            <w:vAlign w:val="center"/>
          </w:tcPr>
          <w:p w:rsidR="00D33420" w:rsidRDefault="00CE038D">
            <w:pPr>
              <w:jc w:val="right"/>
            </w:pPr>
            <w:r>
              <w:rPr>
                <w:color w:val="000000"/>
                <w:sz w:val="24"/>
              </w:rPr>
              <w:t>27.82</w:t>
            </w:r>
          </w:p>
        </w:tc>
      </w:tr>
      <w:tr w:rsidR="00D33420">
        <w:trPr>
          <w:jc w:val="center"/>
        </w:trPr>
        <w:tc>
          <w:tcPr>
            <w:tcW w:w="1075" w:type="dxa"/>
            <w:vAlign w:val="center"/>
          </w:tcPr>
          <w:p w:rsidR="00D33420" w:rsidRDefault="00CE038D">
            <w:pPr>
              <w:jc w:val="center"/>
            </w:pPr>
            <w:r>
              <w:rPr>
                <w:color w:val="000000"/>
                <w:sz w:val="24"/>
              </w:rPr>
              <w:t>2</w:t>
            </w:r>
          </w:p>
        </w:tc>
        <w:tc>
          <w:tcPr>
            <w:tcW w:w="1533" w:type="dxa"/>
            <w:vAlign w:val="center"/>
          </w:tcPr>
          <w:p w:rsidR="00D33420" w:rsidRDefault="00CE038D">
            <w:pPr>
              <w:jc w:val="center"/>
            </w:pPr>
            <w:r>
              <w:rPr>
                <w:color w:val="000000"/>
                <w:sz w:val="24"/>
              </w:rPr>
              <w:t>180410</w:t>
            </w:r>
          </w:p>
        </w:tc>
        <w:tc>
          <w:tcPr>
            <w:tcW w:w="1533" w:type="dxa"/>
            <w:vAlign w:val="center"/>
          </w:tcPr>
          <w:p w:rsidR="00D33420" w:rsidRDefault="00CE038D">
            <w:pPr>
              <w:jc w:val="center"/>
            </w:pPr>
            <w:r>
              <w:rPr>
                <w:color w:val="000000"/>
                <w:sz w:val="24"/>
              </w:rPr>
              <w:t>18</w:t>
            </w:r>
            <w:r>
              <w:rPr>
                <w:color w:val="000000"/>
                <w:sz w:val="24"/>
              </w:rPr>
              <w:t>农发</w:t>
            </w:r>
            <w:r>
              <w:rPr>
                <w:color w:val="000000"/>
                <w:sz w:val="24"/>
              </w:rPr>
              <w:t>10</w:t>
            </w:r>
          </w:p>
        </w:tc>
        <w:tc>
          <w:tcPr>
            <w:tcW w:w="1394" w:type="dxa"/>
            <w:vAlign w:val="center"/>
          </w:tcPr>
          <w:p w:rsidR="00D33420" w:rsidRDefault="00CE038D">
            <w:pPr>
              <w:jc w:val="right"/>
            </w:pPr>
            <w:r>
              <w:rPr>
                <w:color w:val="000000"/>
                <w:sz w:val="24"/>
              </w:rPr>
              <w:t>18,200,000</w:t>
            </w:r>
          </w:p>
        </w:tc>
        <w:tc>
          <w:tcPr>
            <w:tcW w:w="1944" w:type="dxa"/>
            <w:vAlign w:val="center"/>
          </w:tcPr>
          <w:p w:rsidR="00D33420" w:rsidRDefault="00CE038D">
            <w:pPr>
              <w:jc w:val="right"/>
            </w:pPr>
            <w:r>
              <w:rPr>
                <w:color w:val="000000"/>
                <w:sz w:val="24"/>
              </w:rPr>
              <w:t>1,821,456,000.00</w:t>
            </w:r>
          </w:p>
        </w:tc>
        <w:tc>
          <w:tcPr>
            <w:tcW w:w="1389" w:type="dxa"/>
            <w:vAlign w:val="center"/>
          </w:tcPr>
          <w:p w:rsidR="00D33420" w:rsidRDefault="00CE038D">
            <w:pPr>
              <w:jc w:val="right"/>
            </w:pPr>
            <w:r>
              <w:rPr>
                <w:color w:val="000000"/>
                <w:sz w:val="24"/>
              </w:rPr>
              <w:t>24.41</w:t>
            </w:r>
          </w:p>
        </w:tc>
      </w:tr>
      <w:tr w:rsidR="00D33420">
        <w:trPr>
          <w:jc w:val="center"/>
        </w:trPr>
        <w:tc>
          <w:tcPr>
            <w:tcW w:w="1075" w:type="dxa"/>
            <w:vAlign w:val="center"/>
          </w:tcPr>
          <w:p w:rsidR="00D33420" w:rsidRDefault="00CE038D">
            <w:pPr>
              <w:jc w:val="center"/>
            </w:pPr>
            <w:r>
              <w:rPr>
                <w:color w:val="000000"/>
                <w:sz w:val="24"/>
              </w:rPr>
              <w:t>3</w:t>
            </w:r>
          </w:p>
        </w:tc>
        <w:tc>
          <w:tcPr>
            <w:tcW w:w="1533" w:type="dxa"/>
            <w:vAlign w:val="center"/>
          </w:tcPr>
          <w:p w:rsidR="00D33420" w:rsidRDefault="00CE038D">
            <w:pPr>
              <w:jc w:val="center"/>
            </w:pPr>
            <w:r>
              <w:rPr>
                <w:color w:val="000000"/>
                <w:sz w:val="24"/>
              </w:rPr>
              <w:t>190402</w:t>
            </w:r>
          </w:p>
        </w:tc>
        <w:tc>
          <w:tcPr>
            <w:tcW w:w="1533" w:type="dxa"/>
            <w:vAlign w:val="center"/>
          </w:tcPr>
          <w:p w:rsidR="00D33420" w:rsidRDefault="00CE038D">
            <w:pPr>
              <w:jc w:val="center"/>
            </w:pPr>
            <w:r>
              <w:rPr>
                <w:color w:val="000000"/>
                <w:sz w:val="24"/>
              </w:rPr>
              <w:t>19</w:t>
            </w:r>
            <w:r>
              <w:rPr>
                <w:color w:val="000000"/>
                <w:sz w:val="24"/>
              </w:rPr>
              <w:t>农发</w:t>
            </w:r>
            <w:r>
              <w:rPr>
                <w:color w:val="000000"/>
                <w:sz w:val="24"/>
              </w:rPr>
              <w:t>02</w:t>
            </w:r>
          </w:p>
        </w:tc>
        <w:tc>
          <w:tcPr>
            <w:tcW w:w="1394" w:type="dxa"/>
            <w:vAlign w:val="center"/>
          </w:tcPr>
          <w:p w:rsidR="00D33420" w:rsidRDefault="00CE038D">
            <w:pPr>
              <w:jc w:val="right"/>
            </w:pPr>
            <w:r>
              <w:rPr>
                <w:color w:val="000000"/>
                <w:sz w:val="24"/>
              </w:rPr>
              <w:t>10,500,000</w:t>
            </w:r>
          </w:p>
        </w:tc>
        <w:tc>
          <w:tcPr>
            <w:tcW w:w="1944" w:type="dxa"/>
            <w:vAlign w:val="center"/>
          </w:tcPr>
          <w:p w:rsidR="00D33420" w:rsidRDefault="00CE038D">
            <w:pPr>
              <w:jc w:val="right"/>
            </w:pPr>
            <w:r>
              <w:rPr>
                <w:color w:val="000000"/>
                <w:sz w:val="24"/>
              </w:rPr>
              <w:t>1,048,635,000.00</w:t>
            </w:r>
          </w:p>
        </w:tc>
        <w:tc>
          <w:tcPr>
            <w:tcW w:w="1389" w:type="dxa"/>
            <w:vAlign w:val="center"/>
          </w:tcPr>
          <w:p w:rsidR="00D33420" w:rsidRDefault="00CE038D">
            <w:pPr>
              <w:jc w:val="right"/>
            </w:pPr>
            <w:r>
              <w:rPr>
                <w:color w:val="000000"/>
                <w:sz w:val="24"/>
              </w:rPr>
              <w:t>14.05</w:t>
            </w:r>
          </w:p>
        </w:tc>
      </w:tr>
      <w:tr w:rsidR="00D33420">
        <w:trPr>
          <w:jc w:val="center"/>
        </w:trPr>
        <w:tc>
          <w:tcPr>
            <w:tcW w:w="1075" w:type="dxa"/>
            <w:vAlign w:val="center"/>
          </w:tcPr>
          <w:p w:rsidR="00D33420" w:rsidRDefault="00CE038D">
            <w:pPr>
              <w:jc w:val="center"/>
            </w:pPr>
            <w:r>
              <w:rPr>
                <w:color w:val="000000"/>
                <w:sz w:val="24"/>
              </w:rPr>
              <w:t>4</w:t>
            </w:r>
          </w:p>
        </w:tc>
        <w:tc>
          <w:tcPr>
            <w:tcW w:w="1533" w:type="dxa"/>
            <w:vAlign w:val="center"/>
          </w:tcPr>
          <w:p w:rsidR="00D33420" w:rsidRDefault="00CE038D">
            <w:pPr>
              <w:jc w:val="center"/>
            </w:pPr>
            <w:r>
              <w:rPr>
                <w:color w:val="000000"/>
                <w:sz w:val="24"/>
              </w:rPr>
              <w:t>180409</w:t>
            </w:r>
          </w:p>
        </w:tc>
        <w:tc>
          <w:tcPr>
            <w:tcW w:w="1533" w:type="dxa"/>
            <w:vAlign w:val="center"/>
          </w:tcPr>
          <w:p w:rsidR="00D33420" w:rsidRDefault="00CE038D">
            <w:pPr>
              <w:jc w:val="center"/>
            </w:pPr>
            <w:r>
              <w:rPr>
                <w:color w:val="000000"/>
                <w:sz w:val="24"/>
              </w:rPr>
              <w:t>18</w:t>
            </w:r>
            <w:r>
              <w:rPr>
                <w:color w:val="000000"/>
                <w:sz w:val="24"/>
              </w:rPr>
              <w:t>农发</w:t>
            </w:r>
            <w:r>
              <w:rPr>
                <w:color w:val="000000"/>
                <w:sz w:val="24"/>
              </w:rPr>
              <w:t>09</w:t>
            </w:r>
          </w:p>
        </w:tc>
        <w:tc>
          <w:tcPr>
            <w:tcW w:w="1394" w:type="dxa"/>
            <w:vAlign w:val="center"/>
          </w:tcPr>
          <w:p w:rsidR="00D33420" w:rsidRDefault="00CE038D">
            <w:pPr>
              <w:jc w:val="right"/>
            </w:pPr>
            <w:r>
              <w:rPr>
                <w:color w:val="000000"/>
                <w:sz w:val="24"/>
              </w:rPr>
              <w:t>10,100,000</w:t>
            </w:r>
          </w:p>
        </w:tc>
        <w:tc>
          <w:tcPr>
            <w:tcW w:w="1944" w:type="dxa"/>
            <w:vAlign w:val="center"/>
          </w:tcPr>
          <w:p w:rsidR="00D33420" w:rsidRDefault="00CE038D">
            <w:pPr>
              <w:jc w:val="right"/>
            </w:pPr>
            <w:r>
              <w:rPr>
                <w:color w:val="000000"/>
                <w:sz w:val="24"/>
              </w:rPr>
              <w:t>1,033,937,000.00</w:t>
            </w:r>
          </w:p>
        </w:tc>
        <w:tc>
          <w:tcPr>
            <w:tcW w:w="1389" w:type="dxa"/>
            <w:vAlign w:val="center"/>
          </w:tcPr>
          <w:p w:rsidR="00D33420" w:rsidRDefault="00CE038D">
            <w:pPr>
              <w:jc w:val="right"/>
            </w:pPr>
            <w:r>
              <w:rPr>
                <w:color w:val="000000"/>
                <w:sz w:val="24"/>
              </w:rPr>
              <w:t>13.86</w:t>
            </w:r>
          </w:p>
        </w:tc>
      </w:tr>
      <w:tr w:rsidR="00D33420">
        <w:trPr>
          <w:jc w:val="center"/>
        </w:trPr>
        <w:tc>
          <w:tcPr>
            <w:tcW w:w="1075" w:type="dxa"/>
            <w:vAlign w:val="center"/>
          </w:tcPr>
          <w:p w:rsidR="00D33420" w:rsidRDefault="00CE038D">
            <w:pPr>
              <w:jc w:val="center"/>
            </w:pPr>
            <w:r>
              <w:rPr>
                <w:color w:val="000000"/>
                <w:sz w:val="24"/>
              </w:rPr>
              <w:t>5</w:t>
            </w:r>
          </w:p>
        </w:tc>
        <w:tc>
          <w:tcPr>
            <w:tcW w:w="1533" w:type="dxa"/>
            <w:vAlign w:val="center"/>
          </w:tcPr>
          <w:p w:rsidR="00D33420" w:rsidRDefault="00CE038D">
            <w:pPr>
              <w:jc w:val="center"/>
            </w:pPr>
            <w:r>
              <w:rPr>
                <w:color w:val="000000"/>
                <w:sz w:val="24"/>
              </w:rPr>
              <w:t>170411</w:t>
            </w:r>
          </w:p>
        </w:tc>
        <w:tc>
          <w:tcPr>
            <w:tcW w:w="1533" w:type="dxa"/>
            <w:vAlign w:val="center"/>
          </w:tcPr>
          <w:p w:rsidR="00D33420" w:rsidRDefault="00CE038D">
            <w:pPr>
              <w:jc w:val="center"/>
            </w:pPr>
            <w:r>
              <w:rPr>
                <w:color w:val="000000"/>
                <w:sz w:val="24"/>
              </w:rPr>
              <w:t>17</w:t>
            </w:r>
            <w:r>
              <w:rPr>
                <w:color w:val="000000"/>
                <w:sz w:val="24"/>
              </w:rPr>
              <w:t>农发</w:t>
            </w:r>
            <w:r>
              <w:rPr>
                <w:color w:val="000000"/>
                <w:sz w:val="24"/>
              </w:rPr>
              <w:t>11</w:t>
            </w:r>
          </w:p>
        </w:tc>
        <w:tc>
          <w:tcPr>
            <w:tcW w:w="1394" w:type="dxa"/>
            <w:vAlign w:val="center"/>
          </w:tcPr>
          <w:p w:rsidR="00D33420" w:rsidRDefault="00CE038D">
            <w:pPr>
              <w:jc w:val="right"/>
            </w:pPr>
            <w:r>
              <w:rPr>
                <w:color w:val="000000"/>
                <w:sz w:val="24"/>
              </w:rPr>
              <w:t>6,500,000</w:t>
            </w:r>
          </w:p>
        </w:tc>
        <w:tc>
          <w:tcPr>
            <w:tcW w:w="1944" w:type="dxa"/>
            <w:vAlign w:val="center"/>
          </w:tcPr>
          <w:p w:rsidR="00D33420" w:rsidRDefault="00CE038D">
            <w:pPr>
              <w:jc w:val="right"/>
            </w:pPr>
            <w:r>
              <w:rPr>
                <w:color w:val="000000"/>
                <w:sz w:val="24"/>
              </w:rPr>
              <w:t>661,050,000.00</w:t>
            </w:r>
          </w:p>
        </w:tc>
        <w:tc>
          <w:tcPr>
            <w:tcW w:w="1389" w:type="dxa"/>
            <w:vAlign w:val="center"/>
          </w:tcPr>
          <w:p w:rsidR="00D33420" w:rsidRDefault="00CE038D">
            <w:pPr>
              <w:jc w:val="right"/>
            </w:pPr>
            <w:r>
              <w:rPr>
                <w:color w:val="000000"/>
                <w:sz w:val="24"/>
              </w:rPr>
              <w:t>8.86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117,474,001.65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117,474,001.65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无。</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10,205,490,746.33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499,501,819.21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3,260,444,626.27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7,444,547,939.27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D33420" w:rsidRDefault="00CE03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33420">
        <w:tc>
          <w:tcPr>
            <w:tcW w:w="992" w:type="dxa"/>
            <w:vMerge w:val="restart"/>
          </w:tcPr>
          <w:p w:rsidR="00D33420" w:rsidRDefault="00D33420"/>
          <w:p w:rsidR="00D33420" w:rsidRDefault="00CE038D">
            <w:r>
              <w:rPr>
                <w:rFonts w:ascii="宋体" w:hAnsi="宋体" w:hint="eastAsia"/>
                <w:bCs/>
                <w:color w:val="000000"/>
                <w:kern w:val="0"/>
                <w:szCs w:val="21"/>
              </w:rPr>
              <w:t>机构</w:t>
            </w:r>
          </w:p>
        </w:tc>
        <w:tc>
          <w:tcPr>
            <w:tcW w:w="991" w:type="dxa"/>
            <w:vAlign w:val="center"/>
          </w:tcPr>
          <w:p w:rsidR="00D33420" w:rsidRDefault="00CE038D">
            <w:pPr>
              <w:jc w:val="center"/>
            </w:pPr>
            <w:r>
              <w:rPr>
                <w:rFonts w:ascii="宋体" w:hAnsi="宋体" w:hint="eastAsia"/>
                <w:color w:val="000000"/>
                <w:kern w:val="0"/>
                <w:szCs w:val="21"/>
              </w:rPr>
              <w:t>1</w:t>
            </w:r>
          </w:p>
        </w:tc>
        <w:tc>
          <w:tcPr>
            <w:tcW w:w="1843" w:type="dxa"/>
            <w:vAlign w:val="center"/>
          </w:tcPr>
          <w:p w:rsidR="00D33420" w:rsidRDefault="00CE038D">
            <w:pPr>
              <w:jc w:val="center"/>
            </w:pPr>
            <w:r>
              <w:rPr>
                <w:rFonts w:ascii="宋体" w:hAnsi="宋体" w:hint="eastAsia"/>
                <w:color w:val="000000"/>
                <w:kern w:val="0"/>
                <w:szCs w:val="21"/>
              </w:rPr>
              <w:t>2019/1/1-2019/3/31</w:t>
            </w:r>
          </w:p>
        </w:tc>
        <w:tc>
          <w:tcPr>
            <w:tcW w:w="851" w:type="dxa"/>
            <w:vAlign w:val="center"/>
          </w:tcPr>
          <w:p w:rsidR="00D33420" w:rsidRDefault="00CE038D">
            <w:pPr>
              <w:jc w:val="center"/>
            </w:pPr>
            <w:r>
              <w:rPr>
                <w:rFonts w:ascii="宋体" w:hAnsi="宋体" w:hint="eastAsia"/>
                <w:color w:val="000000"/>
                <w:kern w:val="0"/>
                <w:szCs w:val="21"/>
              </w:rPr>
              <w:t>1,499,999,000.00</w:t>
            </w:r>
          </w:p>
        </w:tc>
        <w:tc>
          <w:tcPr>
            <w:tcW w:w="850" w:type="dxa"/>
            <w:vAlign w:val="center"/>
          </w:tcPr>
          <w:p w:rsidR="00D33420" w:rsidRDefault="00CE038D">
            <w:pPr>
              <w:jc w:val="center"/>
            </w:pPr>
            <w:r>
              <w:rPr>
                <w:rFonts w:ascii="宋体" w:hAnsi="宋体" w:hint="eastAsia"/>
                <w:color w:val="000000"/>
                <w:kern w:val="0"/>
                <w:szCs w:val="21"/>
              </w:rPr>
              <w:t>-</w:t>
            </w:r>
          </w:p>
        </w:tc>
        <w:tc>
          <w:tcPr>
            <w:tcW w:w="1134" w:type="dxa"/>
            <w:vAlign w:val="center"/>
          </w:tcPr>
          <w:p w:rsidR="00D33420" w:rsidRDefault="00CE038D">
            <w:pPr>
              <w:jc w:val="center"/>
            </w:pPr>
            <w:r>
              <w:rPr>
                <w:rFonts w:ascii="宋体" w:hAnsi="宋体" w:hint="eastAsia"/>
                <w:color w:val="000000"/>
                <w:kern w:val="0"/>
                <w:szCs w:val="21"/>
              </w:rPr>
              <w:t>-</w:t>
            </w:r>
          </w:p>
        </w:tc>
        <w:tc>
          <w:tcPr>
            <w:tcW w:w="1419" w:type="dxa"/>
            <w:vAlign w:val="center"/>
          </w:tcPr>
          <w:p w:rsidR="00D33420" w:rsidRDefault="00CE038D">
            <w:pPr>
              <w:jc w:val="center"/>
            </w:pPr>
            <w:r>
              <w:rPr>
                <w:rFonts w:ascii="宋体" w:hAnsi="宋体" w:hint="eastAsia"/>
                <w:color w:val="000000"/>
                <w:kern w:val="0"/>
                <w:szCs w:val="21"/>
              </w:rPr>
              <w:t>1,499,999,000.00</w:t>
            </w:r>
          </w:p>
        </w:tc>
        <w:tc>
          <w:tcPr>
            <w:tcW w:w="1130" w:type="dxa"/>
            <w:vAlign w:val="center"/>
          </w:tcPr>
          <w:p w:rsidR="00D33420" w:rsidRDefault="00CE038D">
            <w:pPr>
              <w:jc w:val="center"/>
            </w:pPr>
            <w:r>
              <w:rPr>
                <w:rFonts w:ascii="宋体" w:hAnsi="宋体" w:hint="eastAsia"/>
                <w:color w:val="000000"/>
                <w:kern w:val="0"/>
                <w:szCs w:val="21"/>
              </w:rPr>
              <w:t>20.15%</w:t>
            </w:r>
          </w:p>
        </w:tc>
      </w:tr>
      <w:tr w:rsidR="00D33420">
        <w:tc>
          <w:tcPr>
            <w:tcW w:w="992" w:type="dxa"/>
            <w:vMerge/>
          </w:tcPr>
          <w:p w:rsidR="00D33420" w:rsidRDefault="00D33420"/>
        </w:tc>
        <w:tc>
          <w:tcPr>
            <w:tcW w:w="991" w:type="dxa"/>
            <w:vAlign w:val="center"/>
          </w:tcPr>
          <w:p w:rsidR="00D33420" w:rsidRDefault="00CE038D">
            <w:pPr>
              <w:jc w:val="center"/>
            </w:pPr>
            <w:r>
              <w:rPr>
                <w:rFonts w:ascii="宋体" w:hAnsi="宋体" w:hint="eastAsia"/>
                <w:color w:val="000000"/>
                <w:kern w:val="0"/>
                <w:szCs w:val="21"/>
              </w:rPr>
              <w:t>2</w:t>
            </w:r>
          </w:p>
        </w:tc>
        <w:tc>
          <w:tcPr>
            <w:tcW w:w="1843" w:type="dxa"/>
            <w:vAlign w:val="center"/>
          </w:tcPr>
          <w:p w:rsidR="00D33420" w:rsidRDefault="00CE038D">
            <w:pPr>
              <w:jc w:val="center"/>
            </w:pPr>
            <w:r>
              <w:rPr>
                <w:rFonts w:ascii="宋体" w:hAnsi="宋体" w:hint="eastAsia"/>
                <w:color w:val="000000"/>
                <w:kern w:val="0"/>
                <w:szCs w:val="21"/>
              </w:rPr>
              <w:t>2019/1/1-2019/3/31</w:t>
            </w:r>
          </w:p>
        </w:tc>
        <w:tc>
          <w:tcPr>
            <w:tcW w:w="851" w:type="dxa"/>
            <w:vAlign w:val="center"/>
          </w:tcPr>
          <w:p w:rsidR="00D33420" w:rsidRDefault="00CE038D">
            <w:pPr>
              <w:jc w:val="center"/>
            </w:pPr>
            <w:r>
              <w:rPr>
                <w:rFonts w:ascii="宋体" w:hAnsi="宋体" w:hint="eastAsia"/>
                <w:color w:val="000000"/>
                <w:kern w:val="0"/>
                <w:szCs w:val="21"/>
              </w:rPr>
              <w:t>2,000,989,000.00</w:t>
            </w:r>
          </w:p>
        </w:tc>
        <w:tc>
          <w:tcPr>
            <w:tcW w:w="850" w:type="dxa"/>
            <w:vAlign w:val="center"/>
          </w:tcPr>
          <w:p w:rsidR="00D33420" w:rsidRDefault="00CE038D">
            <w:pPr>
              <w:jc w:val="center"/>
            </w:pPr>
            <w:r>
              <w:rPr>
                <w:rFonts w:ascii="宋体" w:hAnsi="宋体" w:hint="eastAsia"/>
                <w:color w:val="000000"/>
                <w:kern w:val="0"/>
                <w:szCs w:val="21"/>
              </w:rPr>
              <w:t>-</w:t>
            </w:r>
          </w:p>
        </w:tc>
        <w:tc>
          <w:tcPr>
            <w:tcW w:w="1134" w:type="dxa"/>
            <w:vAlign w:val="center"/>
          </w:tcPr>
          <w:p w:rsidR="00D33420" w:rsidRDefault="00CE038D">
            <w:pPr>
              <w:jc w:val="center"/>
            </w:pPr>
            <w:r>
              <w:rPr>
                <w:rFonts w:ascii="宋体" w:hAnsi="宋体" w:hint="eastAsia"/>
                <w:color w:val="000000"/>
                <w:kern w:val="0"/>
                <w:szCs w:val="21"/>
              </w:rPr>
              <w:t>500,000,000.00</w:t>
            </w:r>
          </w:p>
        </w:tc>
        <w:tc>
          <w:tcPr>
            <w:tcW w:w="1419" w:type="dxa"/>
            <w:vAlign w:val="center"/>
          </w:tcPr>
          <w:p w:rsidR="00D33420" w:rsidRDefault="00CE038D">
            <w:pPr>
              <w:jc w:val="center"/>
            </w:pPr>
            <w:r>
              <w:rPr>
                <w:rFonts w:ascii="宋体" w:hAnsi="宋体" w:hint="eastAsia"/>
                <w:color w:val="000000"/>
                <w:kern w:val="0"/>
                <w:szCs w:val="21"/>
              </w:rPr>
              <w:t>1,500,989,000.00</w:t>
            </w:r>
          </w:p>
        </w:tc>
        <w:tc>
          <w:tcPr>
            <w:tcW w:w="1130" w:type="dxa"/>
            <w:vAlign w:val="center"/>
          </w:tcPr>
          <w:p w:rsidR="00D33420" w:rsidRDefault="00CE038D">
            <w:pPr>
              <w:jc w:val="center"/>
            </w:pPr>
            <w:r>
              <w:rPr>
                <w:rFonts w:ascii="宋体" w:hAnsi="宋体" w:hint="eastAsia"/>
                <w:color w:val="000000"/>
                <w:kern w:val="0"/>
                <w:szCs w:val="21"/>
              </w:rPr>
              <w:t>20.16%</w:t>
            </w:r>
          </w:p>
        </w:tc>
      </w:tr>
      <w:tr w:rsidR="00D33420">
        <w:tc>
          <w:tcPr>
            <w:tcW w:w="992" w:type="dxa"/>
            <w:vMerge/>
          </w:tcPr>
          <w:p w:rsidR="00D33420" w:rsidRDefault="00D33420"/>
        </w:tc>
        <w:tc>
          <w:tcPr>
            <w:tcW w:w="991" w:type="dxa"/>
            <w:vAlign w:val="center"/>
          </w:tcPr>
          <w:p w:rsidR="00D33420" w:rsidRDefault="00CE038D">
            <w:pPr>
              <w:jc w:val="center"/>
            </w:pPr>
            <w:r>
              <w:rPr>
                <w:rFonts w:ascii="宋体" w:hAnsi="宋体" w:hint="eastAsia"/>
                <w:color w:val="000000"/>
                <w:kern w:val="0"/>
                <w:szCs w:val="21"/>
              </w:rPr>
              <w:t>3</w:t>
            </w:r>
          </w:p>
        </w:tc>
        <w:tc>
          <w:tcPr>
            <w:tcW w:w="1843" w:type="dxa"/>
            <w:vAlign w:val="center"/>
          </w:tcPr>
          <w:p w:rsidR="00D33420" w:rsidRDefault="00CE038D">
            <w:pPr>
              <w:jc w:val="center"/>
            </w:pPr>
            <w:r>
              <w:rPr>
                <w:rFonts w:ascii="宋体" w:hAnsi="宋体" w:hint="eastAsia"/>
                <w:color w:val="000000"/>
                <w:kern w:val="0"/>
                <w:szCs w:val="21"/>
              </w:rPr>
              <w:t>2019/1/1-2019/3/31</w:t>
            </w:r>
          </w:p>
        </w:tc>
        <w:tc>
          <w:tcPr>
            <w:tcW w:w="851" w:type="dxa"/>
            <w:vAlign w:val="center"/>
          </w:tcPr>
          <w:p w:rsidR="00D33420" w:rsidRDefault="00CE038D">
            <w:pPr>
              <w:jc w:val="center"/>
            </w:pPr>
            <w:r>
              <w:rPr>
                <w:rFonts w:ascii="宋体" w:hAnsi="宋体" w:hint="eastAsia"/>
                <w:color w:val="000000"/>
                <w:kern w:val="0"/>
                <w:szCs w:val="21"/>
              </w:rPr>
              <w:t>1,999,999,000.00</w:t>
            </w:r>
          </w:p>
        </w:tc>
        <w:tc>
          <w:tcPr>
            <w:tcW w:w="850" w:type="dxa"/>
            <w:vAlign w:val="center"/>
          </w:tcPr>
          <w:p w:rsidR="00D33420" w:rsidRDefault="00CE038D">
            <w:pPr>
              <w:jc w:val="center"/>
            </w:pPr>
            <w:r>
              <w:rPr>
                <w:rFonts w:ascii="宋体" w:hAnsi="宋体" w:hint="eastAsia"/>
                <w:color w:val="000000"/>
                <w:kern w:val="0"/>
                <w:szCs w:val="21"/>
              </w:rPr>
              <w:t>-</w:t>
            </w:r>
          </w:p>
        </w:tc>
        <w:tc>
          <w:tcPr>
            <w:tcW w:w="1134" w:type="dxa"/>
            <w:vAlign w:val="center"/>
          </w:tcPr>
          <w:p w:rsidR="00D33420" w:rsidRDefault="00CE038D">
            <w:pPr>
              <w:jc w:val="center"/>
            </w:pPr>
            <w:r>
              <w:rPr>
                <w:rFonts w:ascii="宋体" w:hAnsi="宋体" w:hint="eastAsia"/>
                <w:color w:val="000000"/>
                <w:kern w:val="0"/>
                <w:szCs w:val="21"/>
              </w:rPr>
              <w:t>-</w:t>
            </w:r>
          </w:p>
        </w:tc>
        <w:tc>
          <w:tcPr>
            <w:tcW w:w="1419" w:type="dxa"/>
            <w:vAlign w:val="center"/>
          </w:tcPr>
          <w:p w:rsidR="00D33420" w:rsidRDefault="00CE038D">
            <w:pPr>
              <w:jc w:val="center"/>
            </w:pPr>
            <w:r>
              <w:rPr>
                <w:rFonts w:ascii="宋体" w:hAnsi="宋体" w:hint="eastAsia"/>
                <w:color w:val="000000"/>
                <w:kern w:val="0"/>
                <w:szCs w:val="21"/>
              </w:rPr>
              <w:t>1,999,999,000.00</w:t>
            </w:r>
          </w:p>
        </w:tc>
        <w:tc>
          <w:tcPr>
            <w:tcW w:w="1130" w:type="dxa"/>
            <w:vAlign w:val="center"/>
          </w:tcPr>
          <w:p w:rsidR="00D33420" w:rsidRDefault="00CE038D">
            <w:pPr>
              <w:jc w:val="center"/>
            </w:pPr>
            <w:r>
              <w:rPr>
                <w:rFonts w:ascii="宋体" w:hAnsi="宋体" w:hint="eastAsia"/>
                <w:color w:val="000000"/>
                <w:kern w:val="0"/>
                <w:szCs w:val="21"/>
              </w:rPr>
              <w:t>26.87%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年农发行债券指数证券投资基金的法律意见书；</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、报告期内交银施罗德中债</w:t>
      </w:r>
      <w:r w:rsidRPr="007F52FA">
        <w:rPr>
          <w:rFonts w:eastAsiaTheme="minorEastAsia"/>
          <w:color w:val="000000"/>
          <w:sz w:val="24"/>
        </w:rPr>
        <w:t>1-3</w:t>
      </w:r>
      <w:r w:rsidRPr="007F52FA">
        <w:rPr>
          <w:rFonts w:eastAsiaTheme="minorEastAsia"/>
          <w:color w:val="000000"/>
          <w:sz w:val="24"/>
        </w:rPr>
        <w:t>年农发行债券指数证券投资基金在指定报刊上各项公告的原稿。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D33420" w:rsidRDefault="00CE038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B8" w:rsidRDefault="000819B8">
      <w:r>
        <w:separator/>
      </w:r>
    </w:p>
  </w:endnote>
  <w:endnote w:type="continuationSeparator" w:id="0">
    <w:p w:rsidR="000819B8" w:rsidRDefault="0008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80D0A">
      <w:rPr>
        <w:noProof/>
        <w:kern w:val="0"/>
        <w:szCs w:val="21"/>
      </w:rPr>
      <w:t>13</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380D0A">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B8" w:rsidRDefault="000819B8">
      <w:r>
        <w:separator/>
      </w:r>
    </w:p>
  </w:footnote>
  <w:footnote w:type="continuationSeparator" w:id="0">
    <w:p w:rsidR="000819B8" w:rsidRDefault="0008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9B8"/>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6FA8"/>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3EF3"/>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0D0A"/>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1F48"/>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32BA"/>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38D"/>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420"/>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0B04"/>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0F617EB-3731-4960-B639-6974C10C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9C8A-64F9-4EDF-9331-FFFEE4E6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238</TotalTime>
  <Pages>13</Pages>
  <Words>1100</Words>
  <Characters>6272</Characters>
  <Application>Microsoft Office Word</Application>
  <DocSecurity>0</DocSecurity>
  <Lines>52</Lines>
  <Paragraphs>14</Paragraphs>
  <ScaleCrop>false</ScaleCrop>
  <Company>TRT. Ltd. Co.</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383</cp:revision>
  <cp:lastPrinted>2007-07-19T00:46:00Z</cp:lastPrinted>
  <dcterms:created xsi:type="dcterms:W3CDTF">2014-01-17T06:19:00Z</dcterms:created>
  <dcterms:modified xsi:type="dcterms:W3CDTF">2019-04-19T11:47:00Z</dcterms:modified>
</cp:coreProperties>
</file>