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4</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12</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二〇一九年一月二十一日</w:t>
      </w:r>
    </w:p>
    <w:p w:rsidR="00220542" w:rsidRPr="00324C76" w:rsidRDefault="00220542" w:rsidP="00820FB9">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C5055E" w:rsidRDefault="009B548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5055E" w:rsidRDefault="009B548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5055E" w:rsidRDefault="009B548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5055E" w:rsidRDefault="009B548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5055E" w:rsidRDefault="009B548F">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12</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44,016,293.91</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FA2732" w:rsidRPr="00324C76" w:rsidTr="00FA273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FA2732" w:rsidRPr="00324C76" w:rsidTr="00FA273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-203,525.42</w:t>
            </w:r>
          </w:p>
        </w:tc>
      </w:tr>
      <w:tr w:rsidR="00FA2732" w:rsidRPr="00324C76" w:rsidTr="00FA273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-6,731,329.68</w:t>
            </w:r>
          </w:p>
        </w:tc>
      </w:tr>
      <w:tr w:rsidR="00FA2732" w:rsidRPr="00324C76" w:rsidTr="00FA273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-0.1544</w:t>
            </w:r>
          </w:p>
        </w:tc>
      </w:tr>
      <w:tr w:rsidR="00FA2732" w:rsidRPr="00324C76" w:rsidTr="00FA273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56,624,043.43</w:t>
            </w:r>
          </w:p>
        </w:tc>
      </w:tr>
      <w:tr w:rsidR="00FA2732" w:rsidRPr="00324C76" w:rsidTr="00FA2732">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1.286</w:t>
            </w:r>
          </w:p>
        </w:tc>
      </w:tr>
    </w:tbl>
    <w:p w:rsidR="00C5055E" w:rsidRDefault="009B548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C5055E">
        <w:trPr>
          <w:jc w:val="center"/>
        </w:trPr>
        <w:tc>
          <w:tcPr>
            <w:tcW w:w="1469" w:type="dxa"/>
            <w:vAlign w:val="center"/>
          </w:tcPr>
          <w:p w:rsidR="00C5055E" w:rsidRDefault="009B548F">
            <w:pPr>
              <w:jc w:val="left"/>
            </w:pPr>
            <w:r>
              <w:rPr>
                <w:color w:val="000000"/>
                <w:sz w:val="24"/>
              </w:rPr>
              <w:t>过去三个月</w:t>
            </w:r>
          </w:p>
        </w:tc>
        <w:tc>
          <w:tcPr>
            <w:tcW w:w="1150" w:type="dxa"/>
            <w:vAlign w:val="center"/>
          </w:tcPr>
          <w:p w:rsidR="00C5055E" w:rsidRDefault="009B548F">
            <w:pPr>
              <w:jc w:val="center"/>
            </w:pPr>
            <w:r>
              <w:rPr>
                <w:color w:val="000000"/>
                <w:sz w:val="24"/>
              </w:rPr>
              <w:t>-10.82%</w:t>
            </w:r>
          </w:p>
        </w:tc>
        <w:tc>
          <w:tcPr>
            <w:tcW w:w="1223" w:type="dxa"/>
            <w:vAlign w:val="center"/>
          </w:tcPr>
          <w:p w:rsidR="00C5055E" w:rsidRDefault="009B548F">
            <w:pPr>
              <w:jc w:val="center"/>
            </w:pPr>
            <w:r>
              <w:rPr>
                <w:color w:val="000000"/>
                <w:sz w:val="24"/>
              </w:rPr>
              <w:t>1.61%</w:t>
            </w:r>
          </w:p>
        </w:tc>
        <w:tc>
          <w:tcPr>
            <w:tcW w:w="1244" w:type="dxa"/>
            <w:vAlign w:val="center"/>
          </w:tcPr>
          <w:p w:rsidR="00C5055E" w:rsidRDefault="009B548F">
            <w:pPr>
              <w:jc w:val="center"/>
            </w:pPr>
            <w:r>
              <w:rPr>
                <w:color w:val="000000"/>
                <w:sz w:val="24"/>
              </w:rPr>
              <w:t>-11.02%</w:t>
            </w:r>
          </w:p>
        </w:tc>
        <w:tc>
          <w:tcPr>
            <w:tcW w:w="1251" w:type="dxa"/>
            <w:vAlign w:val="center"/>
          </w:tcPr>
          <w:p w:rsidR="00C5055E" w:rsidRDefault="009B548F">
            <w:pPr>
              <w:jc w:val="center"/>
            </w:pPr>
            <w:r>
              <w:rPr>
                <w:color w:val="000000"/>
                <w:sz w:val="24"/>
              </w:rPr>
              <w:t>1.67%</w:t>
            </w:r>
          </w:p>
        </w:tc>
        <w:tc>
          <w:tcPr>
            <w:tcW w:w="1263" w:type="dxa"/>
            <w:vAlign w:val="center"/>
          </w:tcPr>
          <w:p w:rsidR="00C5055E" w:rsidRDefault="009B548F">
            <w:pPr>
              <w:jc w:val="center"/>
            </w:pPr>
            <w:r>
              <w:rPr>
                <w:color w:val="000000"/>
                <w:sz w:val="24"/>
              </w:rPr>
              <w:t>0.20%</w:t>
            </w:r>
          </w:p>
        </w:tc>
        <w:tc>
          <w:tcPr>
            <w:tcW w:w="1268" w:type="dxa"/>
            <w:vAlign w:val="center"/>
          </w:tcPr>
          <w:p w:rsidR="00C5055E" w:rsidRDefault="009B548F">
            <w:pPr>
              <w:jc w:val="center"/>
            </w:pPr>
            <w:r>
              <w:rPr>
                <w:color w:val="000000"/>
                <w:sz w:val="24"/>
              </w:rPr>
              <w:t>-0.06%</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lastRenderedPageBreak/>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12</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C5055E">
        <w:trPr>
          <w:jc w:val="center"/>
        </w:trPr>
        <w:tc>
          <w:tcPr>
            <w:tcW w:w="846" w:type="dxa"/>
            <w:vAlign w:val="center"/>
          </w:tcPr>
          <w:p w:rsidR="00C5055E" w:rsidRDefault="009B548F">
            <w:pPr>
              <w:jc w:val="center"/>
            </w:pPr>
            <w:r>
              <w:rPr>
                <w:color w:val="000000"/>
                <w:sz w:val="24"/>
              </w:rPr>
              <w:t>蔡铮</w:t>
            </w:r>
          </w:p>
        </w:tc>
        <w:tc>
          <w:tcPr>
            <w:tcW w:w="845" w:type="dxa"/>
            <w:vAlign w:val="center"/>
          </w:tcPr>
          <w:p w:rsidR="00C5055E" w:rsidRDefault="009B548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w:t>
            </w:r>
            <w:r>
              <w:rPr>
                <w:color w:val="000000"/>
                <w:sz w:val="24"/>
              </w:rPr>
              <w:lastRenderedPageBreak/>
              <w:t>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w:t>
            </w:r>
            <w:r>
              <w:rPr>
                <w:color w:val="000000"/>
                <w:sz w:val="24"/>
              </w:rPr>
              <w:lastRenderedPageBreak/>
              <w:t>监</w:t>
            </w:r>
          </w:p>
        </w:tc>
        <w:tc>
          <w:tcPr>
            <w:tcW w:w="1549" w:type="dxa"/>
            <w:vAlign w:val="center"/>
          </w:tcPr>
          <w:p w:rsidR="00C5055E" w:rsidRDefault="009B548F">
            <w:pPr>
              <w:jc w:val="center"/>
            </w:pPr>
            <w:r>
              <w:rPr>
                <w:color w:val="000000"/>
                <w:sz w:val="24"/>
              </w:rPr>
              <w:lastRenderedPageBreak/>
              <w:t>2012-12-27</w:t>
            </w:r>
          </w:p>
        </w:tc>
        <w:tc>
          <w:tcPr>
            <w:tcW w:w="1548" w:type="dxa"/>
            <w:vAlign w:val="center"/>
          </w:tcPr>
          <w:p w:rsidR="00C5055E" w:rsidRDefault="009B548F">
            <w:pPr>
              <w:jc w:val="center"/>
            </w:pPr>
            <w:r>
              <w:rPr>
                <w:color w:val="000000"/>
                <w:sz w:val="24"/>
              </w:rPr>
              <w:t>-</w:t>
            </w:r>
          </w:p>
        </w:tc>
        <w:tc>
          <w:tcPr>
            <w:tcW w:w="1407" w:type="dxa"/>
            <w:vAlign w:val="center"/>
          </w:tcPr>
          <w:p w:rsidR="00C5055E" w:rsidRDefault="009B548F">
            <w:pPr>
              <w:jc w:val="center"/>
            </w:pPr>
            <w:r>
              <w:rPr>
                <w:color w:val="000000"/>
                <w:sz w:val="24"/>
              </w:rPr>
              <w:t>9</w:t>
            </w:r>
            <w:r>
              <w:rPr>
                <w:color w:val="000000"/>
                <w:sz w:val="24"/>
              </w:rPr>
              <w:t>年</w:t>
            </w:r>
          </w:p>
        </w:tc>
        <w:tc>
          <w:tcPr>
            <w:tcW w:w="2673" w:type="dxa"/>
            <w:vAlign w:val="center"/>
          </w:tcPr>
          <w:p w:rsidR="00C5055E" w:rsidRDefault="009B548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w:t>
            </w:r>
            <w:r>
              <w:rPr>
                <w:color w:val="000000"/>
                <w:sz w:val="24"/>
              </w:rPr>
              <w:lastRenderedPageBreak/>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C5055E" w:rsidRDefault="009B548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5055E" w:rsidRDefault="009B548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5055E" w:rsidRDefault="009B548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C5055E" w:rsidRDefault="009B548F">
      <w:pPr>
        <w:spacing w:before="29" w:line="288" w:lineRule="auto"/>
        <w:ind w:firstLineChars="200" w:firstLine="480"/>
        <w:rPr>
          <w:color w:val="000000"/>
          <w:sz w:val="24"/>
        </w:rPr>
      </w:pPr>
      <w:r>
        <w:rPr>
          <w:color w:val="000000"/>
          <w:sz w:val="24"/>
        </w:rPr>
        <w:t>2018</w:t>
      </w:r>
      <w:r>
        <w:rPr>
          <w:color w:val="000000"/>
          <w:sz w:val="24"/>
        </w:rPr>
        <w:t>年四季度国内经济走势偏弱，消费增速继续回落，投资增速小幅回升，地产投资和制造业投资已现疲软态势，出口增速大幅下滑。在此经济背景下，四季度</w:t>
      </w:r>
      <w:r>
        <w:rPr>
          <w:color w:val="000000"/>
          <w:sz w:val="24"/>
        </w:rPr>
        <w:t>A</w:t>
      </w:r>
      <w:r>
        <w:rPr>
          <w:color w:val="000000"/>
          <w:sz w:val="24"/>
        </w:rPr>
        <w:t>股</w:t>
      </w:r>
      <w:r>
        <w:rPr>
          <w:color w:val="000000"/>
          <w:sz w:val="24"/>
        </w:rPr>
        <w:lastRenderedPageBreak/>
        <w:t>市场阶段性下行，作为跟踪基准指数的指数基金，四季度基金总体呈现震荡向下的走势。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2019</w:t>
      </w:r>
      <w:r w:rsidRPr="00324C76">
        <w:rPr>
          <w:color w:val="000000"/>
          <w:sz w:val="24"/>
        </w:rPr>
        <w:t>年一季度，我们认为通胀仍将维持温和，货币中性稳健，经济下行压力下政策维稳将持续加码，中美贸易摩擦趋于和解。市场经历了</w:t>
      </w:r>
      <w:r w:rsidRPr="00324C76">
        <w:rPr>
          <w:color w:val="000000"/>
          <w:sz w:val="24"/>
        </w:rPr>
        <w:t>2018</w:t>
      </w:r>
      <w:r w:rsidRPr="00324C76">
        <w:rPr>
          <w:color w:val="000000"/>
          <w:sz w:val="24"/>
        </w:rPr>
        <w:t>年二季度至</w:t>
      </w:r>
      <w:r w:rsidRPr="00324C76">
        <w:rPr>
          <w:color w:val="000000"/>
          <w:sz w:val="24"/>
        </w:rPr>
        <w:t>2018</w:t>
      </w:r>
      <w:r w:rsidRPr="00324C76">
        <w:rPr>
          <w:color w:val="000000"/>
          <w:sz w:val="24"/>
        </w:rPr>
        <w:t>年四季度的调整，多数行业指数已处于相对低估值区间。总体而言，从中长期来看我们对</w:t>
      </w:r>
      <w:r w:rsidRPr="00324C76">
        <w:rPr>
          <w:color w:val="000000"/>
          <w:sz w:val="24"/>
        </w:rPr>
        <w:t>A</w:t>
      </w:r>
      <w:r w:rsidRPr="00324C76">
        <w:rPr>
          <w:color w:val="000000"/>
          <w:sz w:val="24"/>
        </w:rPr>
        <w:t>股市场仍维持谨慎中性的看法。</w:t>
      </w:r>
      <w:r w:rsidRPr="00324C76">
        <w:rPr>
          <w:color w:val="000000"/>
          <w:sz w:val="24"/>
        </w:rPr>
        <w:t xml:space="preserve"> </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 xml:space="preserve">“3.1 </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“3.2.1</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182,640.00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0.32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182,640.00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0.32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52,305,770.00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92.12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4,245,621.21</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7.48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lastRenderedPageBreak/>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FA2732" w:rsidP="002D2971">
            <w:pPr>
              <w:spacing w:line="360" w:lineRule="auto"/>
              <w:jc w:val="right"/>
              <w:rPr>
                <w:rFonts w:eastAsiaTheme="minorEastAsia"/>
                <w:color w:val="000000" w:themeColor="text1"/>
                <w:sz w:val="24"/>
              </w:rPr>
            </w:pPr>
            <w:r w:rsidRPr="00FA2732">
              <w:rPr>
                <w:rFonts w:eastAsiaTheme="minorEastAsia"/>
                <w:color w:val="000000" w:themeColor="text1"/>
                <w:sz w:val="24"/>
              </w:rPr>
              <w:t>48,964.86</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0.09</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FA2732" w:rsidP="002D2971">
            <w:pPr>
              <w:spacing w:line="360" w:lineRule="auto"/>
              <w:jc w:val="right"/>
              <w:rPr>
                <w:rFonts w:eastAsiaTheme="minorEastAsia"/>
                <w:color w:val="000000" w:themeColor="text1"/>
                <w:sz w:val="24"/>
              </w:rPr>
            </w:pPr>
            <w:r w:rsidRPr="00FA2732">
              <w:rPr>
                <w:rFonts w:eastAsiaTheme="minorEastAsia"/>
                <w:color w:val="000000" w:themeColor="text1"/>
                <w:sz w:val="24"/>
              </w:rPr>
              <w:t>56,782,996.07</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C5055E">
        <w:trPr>
          <w:jc w:val="center"/>
        </w:trPr>
        <w:tc>
          <w:tcPr>
            <w:tcW w:w="1265" w:type="dxa"/>
            <w:vAlign w:val="center"/>
          </w:tcPr>
          <w:p w:rsidR="00C5055E" w:rsidRDefault="009B548F">
            <w:pPr>
              <w:jc w:val="center"/>
            </w:pPr>
            <w:r>
              <w:rPr>
                <w:sz w:val="24"/>
              </w:rPr>
              <w:t>1</w:t>
            </w:r>
          </w:p>
        </w:tc>
        <w:tc>
          <w:tcPr>
            <w:tcW w:w="1266" w:type="dxa"/>
            <w:vAlign w:val="center"/>
          </w:tcPr>
          <w:p w:rsidR="00C5055E" w:rsidRDefault="009B548F">
            <w:pPr>
              <w:jc w:val="center"/>
            </w:pPr>
            <w:r>
              <w:rPr>
                <w:sz w:val="24"/>
              </w:rPr>
              <w:t>深证</w:t>
            </w:r>
            <w:r>
              <w:rPr>
                <w:sz w:val="24"/>
              </w:rPr>
              <w:t>300</w:t>
            </w:r>
            <w:r>
              <w:rPr>
                <w:sz w:val="24"/>
              </w:rPr>
              <w:t>价值交易型开放式指数证券投资基金</w:t>
            </w:r>
          </w:p>
        </w:tc>
        <w:tc>
          <w:tcPr>
            <w:tcW w:w="1267" w:type="dxa"/>
            <w:vAlign w:val="center"/>
          </w:tcPr>
          <w:p w:rsidR="00C5055E" w:rsidRDefault="009B548F">
            <w:pPr>
              <w:jc w:val="center"/>
            </w:pPr>
            <w:r>
              <w:rPr>
                <w:sz w:val="24"/>
              </w:rPr>
              <w:t>股票型</w:t>
            </w:r>
          </w:p>
        </w:tc>
        <w:tc>
          <w:tcPr>
            <w:tcW w:w="1267" w:type="dxa"/>
            <w:vAlign w:val="center"/>
          </w:tcPr>
          <w:p w:rsidR="00C5055E" w:rsidRDefault="009B548F">
            <w:pPr>
              <w:jc w:val="center"/>
            </w:pPr>
            <w:r>
              <w:rPr>
                <w:sz w:val="24"/>
              </w:rPr>
              <w:t>交易型开放式</w:t>
            </w:r>
          </w:p>
        </w:tc>
        <w:tc>
          <w:tcPr>
            <w:tcW w:w="1267" w:type="dxa"/>
            <w:vAlign w:val="center"/>
          </w:tcPr>
          <w:p w:rsidR="00C5055E" w:rsidRDefault="009B548F">
            <w:pPr>
              <w:jc w:val="center"/>
            </w:pPr>
            <w:r>
              <w:rPr>
                <w:sz w:val="24"/>
              </w:rPr>
              <w:t>交银施罗德基金管理有限公司</w:t>
            </w:r>
          </w:p>
        </w:tc>
        <w:tc>
          <w:tcPr>
            <w:tcW w:w="1268" w:type="dxa"/>
            <w:vAlign w:val="center"/>
          </w:tcPr>
          <w:p w:rsidR="00C5055E" w:rsidRDefault="009B548F">
            <w:pPr>
              <w:jc w:val="right"/>
            </w:pPr>
            <w:r>
              <w:rPr>
                <w:sz w:val="24"/>
              </w:rPr>
              <w:t>52,305,770.00</w:t>
            </w:r>
          </w:p>
        </w:tc>
        <w:tc>
          <w:tcPr>
            <w:tcW w:w="1268" w:type="dxa"/>
            <w:vAlign w:val="center"/>
          </w:tcPr>
          <w:p w:rsidR="00C5055E" w:rsidRDefault="009B548F">
            <w:pPr>
              <w:jc w:val="right"/>
            </w:pPr>
            <w:r>
              <w:rPr>
                <w:sz w:val="24"/>
              </w:rPr>
              <w:t>92.37</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54,368.00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15,433.00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68,667.00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21,600.00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22,572.00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182,640.00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0.32</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C5055E">
        <w:trPr>
          <w:jc w:val="center"/>
        </w:trPr>
        <w:tc>
          <w:tcPr>
            <w:tcW w:w="849" w:type="dxa"/>
            <w:vAlign w:val="center"/>
          </w:tcPr>
          <w:p w:rsidR="00C5055E" w:rsidRDefault="009B548F">
            <w:pPr>
              <w:jc w:val="center"/>
            </w:pPr>
            <w:r>
              <w:rPr>
                <w:color w:val="000000"/>
                <w:sz w:val="24"/>
              </w:rPr>
              <w:t>1</w:t>
            </w:r>
          </w:p>
        </w:tc>
        <w:tc>
          <w:tcPr>
            <w:tcW w:w="1327" w:type="dxa"/>
            <w:vAlign w:val="center"/>
          </w:tcPr>
          <w:p w:rsidR="00C5055E" w:rsidRDefault="009B548F">
            <w:pPr>
              <w:jc w:val="center"/>
            </w:pPr>
            <w:r>
              <w:rPr>
                <w:color w:val="000000"/>
                <w:sz w:val="24"/>
              </w:rPr>
              <w:t>000540</w:t>
            </w:r>
          </w:p>
        </w:tc>
        <w:tc>
          <w:tcPr>
            <w:tcW w:w="1621" w:type="dxa"/>
            <w:vAlign w:val="center"/>
          </w:tcPr>
          <w:p w:rsidR="00C5055E" w:rsidRDefault="009B548F">
            <w:pPr>
              <w:jc w:val="center"/>
            </w:pPr>
            <w:r>
              <w:rPr>
                <w:color w:val="000000"/>
                <w:sz w:val="24"/>
              </w:rPr>
              <w:t>中天金融</w:t>
            </w:r>
          </w:p>
        </w:tc>
        <w:tc>
          <w:tcPr>
            <w:tcW w:w="1769" w:type="dxa"/>
            <w:vAlign w:val="center"/>
          </w:tcPr>
          <w:p w:rsidR="00C5055E" w:rsidRDefault="009B548F">
            <w:pPr>
              <w:jc w:val="right"/>
            </w:pPr>
            <w:r>
              <w:rPr>
                <w:color w:val="000000"/>
                <w:sz w:val="24"/>
              </w:rPr>
              <w:t>14,100</w:t>
            </w:r>
          </w:p>
        </w:tc>
        <w:tc>
          <w:tcPr>
            <w:tcW w:w="2211" w:type="dxa"/>
            <w:vAlign w:val="center"/>
          </w:tcPr>
          <w:p w:rsidR="00C5055E" w:rsidRDefault="009B548F">
            <w:pPr>
              <w:jc w:val="right"/>
            </w:pPr>
            <w:r>
              <w:rPr>
                <w:color w:val="000000"/>
                <w:sz w:val="24"/>
              </w:rPr>
              <w:t>68,667.00</w:t>
            </w:r>
          </w:p>
        </w:tc>
        <w:tc>
          <w:tcPr>
            <w:tcW w:w="1091" w:type="dxa"/>
            <w:vAlign w:val="center"/>
          </w:tcPr>
          <w:p w:rsidR="00C5055E" w:rsidRDefault="009B548F">
            <w:pPr>
              <w:jc w:val="right"/>
            </w:pPr>
            <w:r>
              <w:rPr>
                <w:color w:val="000000"/>
                <w:sz w:val="24"/>
              </w:rPr>
              <w:t>0.12</w:t>
            </w:r>
          </w:p>
        </w:tc>
      </w:tr>
      <w:tr w:rsidR="00C5055E">
        <w:trPr>
          <w:jc w:val="center"/>
        </w:trPr>
        <w:tc>
          <w:tcPr>
            <w:tcW w:w="849" w:type="dxa"/>
            <w:vAlign w:val="center"/>
          </w:tcPr>
          <w:p w:rsidR="00C5055E" w:rsidRDefault="009B548F">
            <w:pPr>
              <w:jc w:val="center"/>
            </w:pPr>
            <w:r>
              <w:rPr>
                <w:color w:val="000000"/>
                <w:sz w:val="24"/>
              </w:rPr>
              <w:t>2</w:t>
            </w:r>
          </w:p>
        </w:tc>
        <w:tc>
          <w:tcPr>
            <w:tcW w:w="1327" w:type="dxa"/>
            <w:vAlign w:val="center"/>
          </w:tcPr>
          <w:p w:rsidR="00C5055E" w:rsidRDefault="009B548F">
            <w:pPr>
              <w:jc w:val="center"/>
            </w:pPr>
            <w:r>
              <w:rPr>
                <w:color w:val="000000"/>
                <w:sz w:val="24"/>
              </w:rPr>
              <w:t>300146</w:t>
            </w:r>
          </w:p>
        </w:tc>
        <w:tc>
          <w:tcPr>
            <w:tcW w:w="1621" w:type="dxa"/>
            <w:vAlign w:val="center"/>
          </w:tcPr>
          <w:p w:rsidR="00C5055E" w:rsidRDefault="009B548F">
            <w:pPr>
              <w:jc w:val="center"/>
            </w:pPr>
            <w:r>
              <w:rPr>
                <w:color w:val="000000"/>
                <w:sz w:val="24"/>
              </w:rPr>
              <w:t>汤臣倍健</w:t>
            </w:r>
          </w:p>
        </w:tc>
        <w:tc>
          <w:tcPr>
            <w:tcW w:w="1769" w:type="dxa"/>
            <w:vAlign w:val="center"/>
          </w:tcPr>
          <w:p w:rsidR="00C5055E" w:rsidRDefault="009B548F">
            <w:pPr>
              <w:jc w:val="right"/>
            </w:pPr>
            <w:r>
              <w:rPr>
                <w:color w:val="000000"/>
                <w:sz w:val="24"/>
              </w:rPr>
              <w:t>3,200</w:t>
            </w:r>
          </w:p>
        </w:tc>
        <w:tc>
          <w:tcPr>
            <w:tcW w:w="2211" w:type="dxa"/>
            <w:vAlign w:val="center"/>
          </w:tcPr>
          <w:p w:rsidR="00C5055E" w:rsidRDefault="009B548F">
            <w:pPr>
              <w:jc w:val="right"/>
            </w:pPr>
            <w:r>
              <w:rPr>
                <w:color w:val="000000"/>
                <w:sz w:val="24"/>
              </w:rPr>
              <w:t>54,368.00</w:t>
            </w:r>
          </w:p>
        </w:tc>
        <w:tc>
          <w:tcPr>
            <w:tcW w:w="1091" w:type="dxa"/>
            <w:vAlign w:val="center"/>
          </w:tcPr>
          <w:p w:rsidR="00C5055E" w:rsidRDefault="009B548F">
            <w:pPr>
              <w:jc w:val="right"/>
            </w:pPr>
            <w:r>
              <w:rPr>
                <w:color w:val="000000"/>
                <w:sz w:val="24"/>
              </w:rPr>
              <w:t>0.10</w:t>
            </w:r>
          </w:p>
        </w:tc>
      </w:tr>
      <w:tr w:rsidR="00C5055E">
        <w:trPr>
          <w:jc w:val="center"/>
        </w:trPr>
        <w:tc>
          <w:tcPr>
            <w:tcW w:w="849" w:type="dxa"/>
            <w:vAlign w:val="center"/>
          </w:tcPr>
          <w:p w:rsidR="00C5055E" w:rsidRDefault="009B548F">
            <w:pPr>
              <w:jc w:val="center"/>
            </w:pPr>
            <w:r>
              <w:rPr>
                <w:color w:val="000000"/>
                <w:sz w:val="24"/>
              </w:rPr>
              <w:t>3</w:t>
            </w:r>
          </w:p>
        </w:tc>
        <w:tc>
          <w:tcPr>
            <w:tcW w:w="1327" w:type="dxa"/>
            <w:vAlign w:val="center"/>
          </w:tcPr>
          <w:p w:rsidR="00C5055E" w:rsidRDefault="009B548F">
            <w:pPr>
              <w:jc w:val="center"/>
            </w:pPr>
            <w:r>
              <w:rPr>
                <w:color w:val="000000"/>
                <w:sz w:val="24"/>
              </w:rPr>
              <w:t>000793</w:t>
            </w:r>
          </w:p>
        </w:tc>
        <w:tc>
          <w:tcPr>
            <w:tcW w:w="1621" w:type="dxa"/>
            <w:vAlign w:val="center"/>
          </w:tcPr>
          <w:p w:rsidR="00C5055E" w:rsidRDefault="009B548F">
            <w:pPr>
              <w:jc w:val="center"/>
            </w:pPr>
            <w:r>
              <w:rPr>
                <w:color w:val="000000"/>
                <w:sz w:val="24"/>
              </w:rPr>
              <w:t>华闻传媒</w:t>
            </w:r>
          </w:p>
        </w:tc>
        <w:tc>
          <w:tcPr>
            <w:tcW w:w="1769" w:type="dxa"/>
            <w:vAlign w:val="center"/>
          </w:tcPr>
          <w:p w:rsidR="00C5055E" w:rsidRDefault="009B548F">
            <w:pPr>
              <w:jc w:val="right"/>
            </w:pPr>
            <w:r>
              <w:rPr>
                <w:color w:val="000000"/>
                <w:sz w:val="24"/>
              </w:rPr>
              <w:t>7,600</w:t>
            </w:r>
          </w:p>
        </w:tc>
        <w:tc>
          <w:tcPr>
            <w:tcW w:w="2211" w:type="dxa"/>
            <w:vAlign w:val="center"/>
          </w:tcPr>
          <w:p w:rsidR="00C5055E" w:rsidRDefault="009B548F">
            <w:pPr>
              <w:jc w:val="right"/>
            </w:pPr>
            <w:r>
              <w:rPr>
                <w:color w:val="000000"/>
                <w:sz w:val="24"/>
              </w:rPr>
              <w:t>22,572.00</w:t>
            </w:r>
          </w:p>
        </w:tc>
        <w:tc>
          <w:tcPr>
            <w:tcW w:w="1091" w:type="dxa"/>
            <w:vAlign w:val="center"/>
          </w:tcPr>
          <w:p w:rsidR="00C5055E" w:rsidRDefault="009B548F">
            <w:pPr>
              <w:jc w:val="right"/>
            </w:pPr>
            <w:r>
              <w:rPr>
                <w:color w:val="000000"/>
                <w:sz w:val="24"/>
              </w:rPr>
              <w:t>0.04</w:t>
            </w:r>
          </w:p>
        </w:tc>
      </w:tr>
      <w:tr w:rsidR="00C5055E">
        <w:trPr>
          <w:jc w:val="center"/>
        </w:trPr>
        <w:tc>
          <w:tcPr>
            <w:tcW w:w="849" w:type="dxa"/>
            <w:vAlign w:val="center"/>
          </w:tcPr>
          <w:p w:rsidR="00C5055E" w:rsidRDefault="009B548F">
            <w:pPr>
              <w:jc w:val="center"/>
            </w:pPr>
            <w:r>
              <w:rPr>
                <w:color w:val="000000"/>
                <w:sz w:val="24"/>
              </w:rPr>
              <w:t>4</w:t>
            </w:r>
          </w:p>
        </w:tc>
        <w:tc>
          <w:tcPr>
            <w:tcW w:w="1327" w:type="dxa"/>
            <w:vAlign w:val="center"/>
          </w:tcPr>
          <w:p w:rsidR="00C5055E" w:rsidRDefault="009B548F">
            <w:pPr>
              <w:jc w:val="center"/>
            </w:pPr>
            <w:r>
              <w:rPr>
                <w:color w:val="000000"/>
                <w:sz w:val="24"/>
              </w:rPr>
              <w:t>000415</w:t>
            </w:r>
          </w:p>
        </w:tc>
        <w:tc>
          <w:tcPr>
            <w:tcW w:w="1621" w:type="dxa"/>
            <w:vAlign w:val="center"/>
          </w:tcPr>
          <w:p w:rsidR="00C5055E" w:rsidRDefault="009B548F">
            <w:pPr>
              <w:jc w:val="center"/>
            </w:pPr>
            <w:r>
              <w:rPr>
                <w:color w:val="000000"/>
                <w:sz w:val="24"/>
              </w:rPr>
              <w:t>渤海租赁</w:t>
            </w:r>
          </w:p>
        </w:tc>
        <w:tc>
          <w:tcPr>
            <w:tcW w:w="1769" w:type="dxa"/>
            <w:vAlign w:val="center"/>
          </w:tcPr>
          <w:p w:rsidR="00C5055E" w:rsidRDefault="009B548F">
            <w:pPr>
              <w:jc w:val="right"/>
            </w:pPr>
            <w:r>
              <w:rPr>
                <w:color w:val="000000"/>
                <w:sz w:val="24"/>
              </w:rPr>
              <w:t>6,000</w:t>
            </w:r>
          </w:p>
        </w:tc>
        <w:tc>
          <w:tcPr>
            <w:tcW w:w="2211" w:type="dxa"/>
            <w:vAlign w:val="center"/>
          </w:tcPr>
          <w:p w:rsidR="00C5055E" w:rsidRDefault="009B548F">
            <w:pPr>
              <w:jc w:val="right"/>
            </w:pPr>
            <w:r>
              <w:rPr>
                <w:color w:val="000000"/>
                <w:sz w:val="24"/>
              </w:rPr>
              <w:t>21,600.00</w:t>
            </w:r>
          </w:p>
        </w:tc>
        <w:tc>
          <w:tcPr>
            <w:tcW w:w="1091" w:type="dxa"/>
            <w:vAlign w:val="center"/>
          </w:tcPr>
          <w:p w:rsidR="00C5055E" w:rsidRDefault="009B548F">
            <w:pPr>
              <w:jc w:val="right"/>
            </w:pPr>
            <w:r>
              <w:rPr>
                <w:color w:val="000000"/>
                <w:sz w:val="24"/>
              </w:rPr>
              <w:t>0.04</w:t>
            </w:r>
          </w:p>
        </w:tc>
      </w:tr>
      <w:tr w:rsidR="00C5055E">
        <w:trPr>
          <w:jc w:val="center"/>
        </w:trPr>
        <w:tc>
          <w:tcPr>
            <w:tcW w:w="849" w:type="dxa"/>
            <w:vAlign w:val="center"/>
          </w:tcPr>
          <w:p w:rsidR="00C5055E" w:rsidRDefault="009B548F">
            <w:pPr>
              <w:jc w:val="center"/>
            </w:pPr>
            <w:r>
              <w:rPr>
                <w:color w:val="000000"/>
                <w:sz w:val="24"/>
              </w:rPr>
              <w:t>5</w:t>
            </w:r>
          </w:p>
        </w:tc>
        <w:tc>
          <w:tcPr>
            <w:tcW w:w="1327" w:type="dxa"/>
            <w:vAlign w:val="center"/>
          </w:tcPr>
          <w:p w:rsidR="00C5055E" w:rsidRDefault="009B548F">
            <w:pPr>
              <w:jc w:val="center"/>
            </w:pPr>
            <w:r>
              <w:rPr>
                <w:color w:val="000000"/>
                <w:sz w:val="24"/>
              </w:rPr>
              <w:t>000564</w:t>
            </w:r>
          </w:p>
        </w:tc>
        <w:tc>
          <w:tcPr>
            <w:tcW w:w="1621" w:type="dxa"/>
            <w:vAlign w:val="center"/>
          </w:tcPr>
          <w:p w:rsidR="00C5055E" w:rsidRDefault="009B548F">
            <w:pPr>
              <w:jc w:val="center"/>
            </w:pPr>
            <w:r>
              <w:rPr>
                <w:color w:val="000000"/>
                <w:sz w:val="24"/>
              </w:rPr>
              <w:t>供销大集</w:t>
            </w:r>
          </w:p>
        </w:tc>
        <w:tc>
          <w:tcPr>
            <w:tcW w:w="1769" w:type="dxa"/>
            <w:vAlign w:val="center"/>
          </w:tcPr>
          <w:p w:rsidR="00C5055E" w:rsidRDefault="009B548F">
            <w:pPr>
              <w:jc w:val="right"/>
            </w:pPr>
            <w:r>
              <w:rPr>
                <w:color w:val="000000"/>
                <w:sz w:val="24"/>
              </w:rPr>
              <w:t>6,100</w:t>
            </w:r>
          </w:p>
        </w:tc>
        <w:tc>
          <w:tcPr>
            <w:tcW w:w="2211" w:type="dxa"/>
            <w:vAlign w:val="center"/>
          </w:tcPr>
          <w:p w:rsidR="00C5055E" w:rsidRDefault="009B548F">
            <w:pPr>
              <w:jc w:val="right"/>
            </w:pPr>
            <w:r>
              <w:rPr>
                <w:color w:val="000000"/>
                <w:sz w:val="24"/>
              </w:rPr>
              <w:t>15,433.00</w:t>
            </w:r>
          </w:p>
        </w:tc>
        <w:tc>
          <w:tcPr>
            <w:tcW w:w="1091" w:type="dxa"/>
            <w:vAlign w:val="center"/>
          </w:tcPr>
          <w:p w:rsidR="00C5055E" w:rsidRDefault="009B548F">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lastRenderedPageBreak/>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876.12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1F5688" w:rsidP="00B04217">
            <w:pPr>
              <w:autoSpaceDE w:val="0"/>
              <w:autoSpaceDN w:val="0"/>
              <w:adjustRightInd w:val="0"/>
              <w:spacing w:before="29" w:line="288" w:lineRule="auto"/>
              <w:ind w:left="15"/>
              <w:jc w:val="right"/>
              <w:rPr>
                <w:color w:val="000000"/>
                <w:kern w:val="0"/>
                <w:sz w:val="24"/>
              </w:rPr>
            </w:pPr>
            <w:r w:rsidRPr="00565E20">
              <w:rPr>
                <w:color w:val="000000"/>
                <w:kern w:val="0"/>
                <w:sz w:val="24"/>
              </w:rPr>
              <w:t>12,952.82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931.86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34,204.06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1F5688" w:rsidP="00B04217">
            <w:pPr>
              <w:autoSpaceDE w:val="0"/>
              <w:autoSpaceDN w:val="0"/>
              <w:adjustRightInd w:val="0"/>
              <w:spacing w:before="29" w:line="288" w:lineRule="auto"/>
              <w:ind w:left="15"/>
              <w:jc w:val="right"/>
              <w:rPr>
                <w:color w:val="000000"/>
                <w:kern w:val="0"/>
                <w:sz w:val="24"/>
              </w:rPr>
            </w:pPr>
            <w:r>
              <w:rPr>
                <w:rFonts w:hint="eastAsia"/>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565E20" w:rsidP="00B04217">
            <w:pPr>
              <w:autoSpaceDE w:val="0"/>
              <w:autoSpaceDN w:val="0"/>
              <w:adjustRightInd w:val="0"/>
              <w:spacing w:before="29" w:line="288" w:lineRule="auto"/>
              <w:ind w:left="15"/>
              <w:jc w:val="right"/>
              <w:rPr>
                <w:color w:val="000000"/>
                <w:kern w:val="0"/>
                <w:sz w:val="24"/>
              </w:rPr>
            </w:pPr>
            <w:r w:rsidRPr="00565E20">
              <w:rPr>
                <w:color w:val="000000"/>
                <w:kern w:val="0"/>
                <w:sz w:val="24"/>
              </w:rPr>
              <w:t>48,964.86</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C5055E">
        <w:trPr>
          <w:jc w:val="center"/>
        </w:trPr>
        <w:tc>
          <w:tcPr>
            <w:tcW w:w="1129" w:type="dxa"/>
            <w:vAlign w:val="center"/>
          </w:tcPr>
          <w:p w:rsidR="00C5055E" w:rsidRDefault="009B548F">
            <w:pPr>
              <w:jc w:val="center"/>
            </w:pPr>
            <w:r>
              <w:rPr>
                <w:color w:val="000000"/>
                <w:sz w:val="24"/>
              </w:rPr>
              <w:t>1</w:t>
            </w:r>
          </w:p>
        </w:tc>
        <w:tc>
          <w:tcPr>
            <w:tcW w:w="1356" w:type="dxa"/>
            <w:vAlign w:val="center"/>
          </w:tcPr>
          <w:p w:rsidR="00C5055E" w:rsidRDefault="009B548F">
            <w:pPr>
              <w:jc w:val="center"/>
            </w:pPr>
            <w:r>
              <w:rPr>
                <w:color w:val="000000"/>
                <w:sz w:val="24"/>
              </w:rPr>
              <w:t>000540</w:t>
            </w:r>
          </w:p>
        </w:tc>
        <w:tc>
          <w:tcPr>
            <w:tcW w:w="1355" w:type="dxa"/>
            <w:vAlign w:val="center"/>
          </w:tcPr>
          <w:p w:rsidR="00C5055E" w:rsidRDefault="009B548F">
            <w:pPr>
              <w:jc w:val="center"/>
            </w:pPr>
            <w:r>
              <w:rPr>
                <w:color w:val="000000"/>
                <w:sz w:val="24"/>
              </w:rPr>
              <w:t>中天金融</w:t>
            </w:r>
          </w:p>
        </w:tc>
        <w:tc>
          <w:tcPr>
            <w:tcW w:w="1880" w:type="dxa"/>
            <w:vAlign w:val="center"/>
          </w:tcPr>
          <w:p w:rsidR="00C5055E" w:rsidRDefault="009B548F">
            <w:pPr>
              <w:jc w:val="right"/>
            </w:pPr>
            <w:r>
              <w:rPr>
                <w:color w:val="000000"/>
                <w:sz w:val="24"/>
              </w:rPr>
              <w:t>68,667.00</w:t>
            </w:r>
          </w:p>
        </w:tc>
        <w:tc>
          <w:tcPr>
            <w:tcW w:w="1724" w:type="dxa"/>
            <w:vAlign w:val="center"/>
          </w:tcPr>
          <w:p w:rsidR="00C5055E" w:rsidRDefault="009B548F">
            <w:pPr>
              <w:jc w:val="right"/>
            </w:pPr>
            <w:r>
              <w:rPr>
                <w:color w:val="000000"/>
                <w:sz w:val="24"/>
              </w:rPr>
              <w:t>0.12</w:t>
            </w:r>
          </w:p>
        </w:tc>
        <w:tc>
          <w:tcPr>
            <w:tcW w:w="1424" w:type="dxa"/>
            <w:vAlign w:val="center"/>
          </w:tcPr>
          <w:p w:rsidR="00C5055E" w:rsidRDefault="009B548F">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F977B5" w:rsidP="00FF1756">
      <w:pPr>
        <w:pStyle w:val="1"/>
        <w:spacing w:beforeLines="100" w:before="312" w:afterLines="100" w:after="312" w:line="360" w:lineRule="auto"/>
        <w:jc w:val="center"/>
        <w:rPr>
          <w:kern w:val="0"/>
          <w:sz w:val="24"/>
          <w:szCs w:val="24"/>
        </w:rPr>
      </w:pPr>
      <w:r w:rsidRPr="006469DC">
        <w:rPr>
          <w:rFonts w:eastAsiaTheme="minorEastAsia"/>
          <w:color w:val="000000" w:themeColor="text1"/>
          <w:kern w:val="0"/>
          <w:sz w:val="24"/>
          <w:szCs w:val="24"/>
        </w:rPr>
        <w:t>§6</w:t>
      </w:r>
      <w:r w:rsidRPr="006469DC">
        <w:rPr>
          <w:rFonts w:eastAsiaTheme="minorEastAsia" w:hint="eastAsia"/>
          <w:color w:val="000000" w:themeColor="text1"/>
          <w:kern w:val="0"/>
          <w:sz w:val="24"/>
          <w:szCs w:val="24"/>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42,781,098.20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2,761,682.20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1,526,486.49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44,016,293.91</w:t>
            </w:r>
          </w:p>
        </w:tc>
      </w:tr>
    </w:tbl>
    <w:p w:rsidR="00C5055E" w:rsidRDefault="009B548F">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820FB9">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F1756">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FF1756"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29.81</w:t>
            </w:r>
          </w:p>
        </w:tc>
      </w:tr>
    </w:tbl>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F1756"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820FB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00FF1756">
        <w:rPr>
          <w:rFonts w:asciiTheme="minorEastAsia" w:eastAsiaTheme="minorEastAsia" w:hAnsiTheme="minorEastAsia" w:cs="Arial"/>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FF1756" w:rsidP="00696A7B">
      <w:pPr>
        <w:autoSpaceDE w:val="0"/>
        <w:autoSpaceDN w:val="0"/>
        <w:adjustRightInd w:val="0"/>
        <w:spacing w:line="360" w:lineRule="auto"/>
        <w:jc w:val="left"/>
        <w:rPr>
          <w:rFonts w:ascii="宋体" w:hAnsi="宋体"/>
          <w:b/>
          <w:bCs/>
          <w:color w:val="000000"/>
          <w:kern w:val="0"/>
          <w:sz w:val="24"/>
        </w:rPr>
      </w:pPr>
      <w:r>
        <w:rPr>
          <w:rFonts w:ascii="宋体" w:hAnsi="宋体"/>
          <w:b/>
          <w:bCs/>
          <w:color w:val="000000"/>
          <w:kern w:val="0"/>
          <w:sz w:val="24"/>
        </w:rPr>
        <w:t>8</w:t>
      </w:r>
      <w:r w:rsidR="00696A7B">
        <w:rPr>
          <w:rFonts w:ascii="宋体" w:hAnsi="宋体" w:hint="eastAsia"/>
          <w:b/>
          <w:bCs/>
          <w:color w:val="000000"/>
          <w:kern w:val="0"/>
          <w:sz w:val="24"/>
        </w:rPr>
        <w:t>.1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w:t>
            </w:r>
            <w:r>
              <w:rPr>
                <w:rFonts w:ascii="宋体" w:hAnsi="宋体" w:hint="eastAsia"/>
                <w:color w:val="000000"/>
                <w:kern w:val="0"/>
                <w:sz w:val="24"/>
              </w:rPr>
              <w:lastRenderedPageBreak/>
              <w:t>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lastRenderedPageBreak/>
              <w:t>期初</w:t>
            </w:r>
            <w:r>
              <w:rPr>
                <w:rFonts w:ascii="宋体" w:hAnsi="宋体" w:hint="eastAsia"/>
                <w:color w:val="000000"/>
                <w:kern w:val="0"/>
                <w:sz w:val="24"/>
              </w:rPr>
              <w:lastRenderedPageBreak/>
              <w:t>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lastRenderedPageBreak/>
              <w:t>申购</w:t>
            </w:r>
            <w:r>
              <w:rPr>
                <w:rFonts w:ascii="宋体" w:hAnsi="宋体" w:hint="eastAsia"/>
                <w:color w:val="000000"/>
                <w:kern w:val="0"/>
                <w:sz w:val="24"/>
              </w:rPr>
              <w:lastRenderedPageBreak/>
              <w:t>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lastRenderedPageBreak/>
              <w:t>赎回份</w:t>
            </w:r>
            <w:r>
              <w:rPr>
                <w:rFonts w:ascii="宋体" w:hAnsi="宋体" w:hint="eastAsia"/>
                <w:color w:val="000000"/>
                <w:kern w:val="0"/>
                <w:sz w:val="24"/>
              </w:rPr>
              <w:lastRenderedPageBreak/>
              <w:t>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lastRenderedPageBreak/>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w:t>
            </w:r>
            <w:r>
              <w:rPr>
                <w:rFonts w:ascii="宋体" w:hAnsi="宋体" w:hint="eastAsia"/>
                <w:color w:val="000000"/>
                <w:kern w:val="0"/>
                <w:sz w:val="24"/>
              </w:rPr>
              <w:lastRenderedPageBreak/>
              <w:t>比</w:t>
            </w:r>
          </w:p>
        </w:tc>
      </w:tr>
      <w:tr w:rsidR="00C5055E">
        <w:tc>
          <w:tcPr>
            <w:tcW w:w="992" w:type="dxa"/>
            <w:vMerge w:val="restart"/>
          </w:tcPr>
          <w:p w:rsidR="00C5055E" w:rsidRDefault="00C5055E"/>
          <w:p w:rsidR="00C5055E" w:rsidRDefault="009B548F">
            <w:r>
              <w:rPr>
                <w:rFonts w:ascii="宋体" w:hAnsi="宋体" w:hint="eastAsia"/>
                <w:bCs/>
                <w:color w:val="000000"/>
                <w:kern w:val="0"/>
                <w:sz w:val="24"/>
              </w:rPr>
              <w:t>机构</w:t>
            </w:r>
          </w:p>
        </w:tc>
        <w:tc>
          <w:tcPr>
            <w:tcW w:w="991" w:type="dxa"/>
            <w:vAlign w:val="center"/>
          </w:tcPr>
          <w:p w:rsidR="00C5055E" w:rsidRDefault="009B548F">
            <w:pPr>
              <w:jc w:val="center"/>
            </w:pPr>
            <w:r>
              <w:rPr>
                <w:rFonts w:ascii="宋体" w:hAnsi="宋体" w:hint="eastAsia"/>
                <w:color w:val="000000"/>
                <w:kern w:val="0"/>
                <w:sz w:val="24"/>
              </w:rPr>
              <w:t>1</w:t>
            </w:r>
          </w:p>
        </w:tc>
        <w:tc>
          <w:tcPr>
            <w:tcW w:w="1843" w:type="dxa"/>
            <w:vAlign w:val="center"/>
          </w:tcPr>
          <w:p w:rsidR="00C5055E" w:rsidRDefault="009B548F">
            <w:pPr>
              <w:jc w:val="center"/>
            </w:pPr>
            <w:r>
              <w:rPr>
                <w:rFonts w:ascii="宋体" w:hAnsi="宋体" w:hint="eastAsia"/>
                <w:color w:val="000000"/>
                <w:kern w:val="0"/>
                <w:sz w:val="24"/>
              </w:rPr>
              <w:t>2018/10/1-2018/12/31</w:t>
            </w:r>
          </w:p>
        </w:tc>
        <w:tc>
          <w:tcPr>
            <w:tcW w:w="851" w:type="dxa"/>
            <w:vAlign w:val="center"/>
          </w:tcPr>
          <w:p w:rsidR="00C5055E" w:rsidRDefault="009B548F">
            <w:pPr>
              <w:jc w:val="center"/>
            </w:pPr>
            <w:r>
              <w:rPr>
                <w:rFonts w:ascii="宋体" w:hAnsi="宋体" w:hint="eastAsia"/>
                <w:color w:val="000000"/>
                <w:kern w:val="0"/>
                <w:sz w:val="24"/>
              </w:rPr>
              <w:t>13,122,703.41</w:t>
            </w:r>
          </w:p>
        </w:tc>
        <w:tc>
          <w:tcPr>
            <w:tcW w:w="850" w:type="dxa"/>
            <w:vAlign w:val="center"/>
          </w:tcPr>
          <w:p w:rsidR="00C5055E" w:rsidRDefault="009B548F">
            <w:pPr>
              <w:jc w:val="center"/>
            </w:pPr>
            <w:r>
              <w:rPr>
                <w:rFonts w:ascii="宋体" w:hAnsi="宋体" w:hint="eastAsia"/>
                <w:color w:val="000000"/>
                <w:kern w:val="0"/>
                <w:sz w:val="24"/>
              </w:rPr>
              <w:t>-</w:t>
            </w:r>
          </w:p>
        </w:tc>
        <w:tc>
          <w:tcPr>
            <w:tcW w:w="1134" w:type="dxa"/>
            <w:vAlign w:val="center"/>
          </w:tcPr>
          <w:p w:rsidR="00C5055E" w:rsidRDefault="009B548F">
            <w:pPr>
              <w:jc w:val="center"/>
            </w:pPr>
            <w:r>
              <w:rPr>
                <w:rFonts w:ascii="宋体" w:hAnsi="宋体" w:hint="eastAsia"/>
                <w:color w:val="000000"/>
                <w:kern w:val="0"/>
                <w:sz w:val="24"/>
              </w:rPr>
              <w:t>-</w:t>
            </w:r>
          </w:p>
        </w:tc>
        <w:tc>
          <w:tcPr>
            <w:tcW w:w="1419" w:type="dxa"/>
            <w:vAlign w:val="center"/>
          </w:tcPr>
          <w:p w:rsidR="00C5055E" w:rsidRDefault="009B548F">
            <w:pPr>
              <w:jc w:val="center"/>
            </w:pPr>
            <w:r>
              <w:rPr>
                <w:rFonts w:ascii="宋体" w:hAnsi="宋体" w:hint="eastAsia"/>
                <w:color w:val="000000"/>
                <w:kern w:val="0"/>
                <w:sz w:val="24"/>
              </w:rPr>
              <w:t>13,122,703.41</w:t>
            </w:r>
          </w:p>
        </w:tc>
        <w:tc>
          <w:tcPr>
            <w:tcW w:w="1130" w:type="dxa"/>
            <w:vAlign w:val="center"/>
          </w:tcPr>
          <w:p w:rsidR="00C5055E" w:rsidRDefault="009B548F">
            <w:pPr>
              <w:jc w:val="center"/>
            </w:pPr>
            <w:r>
              <w:rPr>
                <w:rFonts w:ascii="宋体" w:hAnsi="宋体" w:hint="eastAsia"/>
                <w:color w:val="000000"/>
                <w:kern w:val="0"/>
                <w:sz w:val="24"/>
              </w:rPr>
              <w:t>29.81%</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820FB9">
      <w:pPr>
        <w:pStyle w:val="1"/>
        <w:spacing w:beforeLines="100" w:before="312" w:afterLines="100" w:after="312" w:line="288" w:lineRule="auto"/>
        <w:jc w:val="center"/>
        <w:rPr>
          <w:kern w:val="0"/>
          <w:sz w:val="24"/>
          <w:szCs w:val="24"/>
        </w:rPr>
      </w:pPr>
      <w:r w:rsidRPr="00324C76">
        <w:rPr>
          <w:kern w:val="0"/>
          <w:sz w:val="24"/>
          <w:szCs w:val="24"/>
        </w:rPr>
        <w:t>§</w:t>
      </w:r>
      <w:r w:rsidR="00FF1756">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FF1756" w:rsidP="00B04217">
      <w:pPr>
        <w:spacing w:before="29" w:line="288" w:lineRule="auto"/>
        <w:rPr>
          <w:b/>
          <w:sz w:val="24"/>
        </w:rPr>
      </w:pPr>
      <w:r>
        <w:rPr>
          <w:b/>
          <w:sz w:val="24"/>
        </w:rPr>
        <w:t>9</w:t>
      </w:r>
      <w:r w:rsidR="00220542" w:rsidRPr="00324C76">
        <w:rPr>
          <w:b/>
          <w:sz w:val="24"/>
        </w:rPr>
        <w:t>.</w:t>
      </w:r>
      <w:r w:rsidR="0083066D" w:rsidRPr="00324C76">
        <w:rPr>
          <w:b/>
          <w:sz w:val="24"/>
        </w:rPr>
        <w:t>1</w:t>
      </w:r>
      <w:r w:rsidR="00220542" w:rsidRPr="00324C76">
        <w:rPr>
          <w:b/>
          <w:sz w:val="24"/>
        </w:rPr>
        <w:t>备查文件目录</w:t>
      </w:r>
    </w:p>
    <w:p w:rsidR="00C5055E" w:rsidRDefault="009B548F">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C5055E" w:rsidRDefault="009B548F">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C5055E" w:rsidRDefault="009B548F">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C5055E" w:rsidRDefault="009B548F">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C5055E" w:rsidRDefault="009B548F">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C5055E" w:rsidRDefault="009B548F">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C5055E" w:rsidRDefault="009B548F">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FF1756" w:rsidP="00B04217">
      <w:pPr>
        <w:spacing w:before="29" w:line="288" w:lineRule="auto"/>
        <w:rPr>
          <w:b/>
          <w:sz w:val="24"/>
        </w:rPr>
      </w:pPr>
      <w:r>
        <w:rPr>
          <w:b/>
          <w:sz w:val="24"/>
        </w:rPr>
        <w:t>9</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FF1756" w:rsidP="00B04217">
      <w:pPr>
        <w:spacing w:before="29" w:line="288" w:lineRule="auto"/>
        <w:rPr>
          <w:b/>
          <w:sz w:val="24"/>
        </w:rPr>
      </w:pPr>
      <w:r>
        <w:rPr>
          <w:b/>
          <w:sz w:val="24"/>
        </w:rPr>
        <w:t>9</w:t>
      </w:r>
      <w:r w:rsidR="0083066D" w:rsidRPr="00324C76">
        <w:rPr>
          <w:b/>
          <w:sz w:val="24"/>
        </w:rPr>
        <w:t>.3</w:t>
      </w:r>
      <w:r w:rsidR="00220542" w:rsidRPr="00324C76">
        <w:rPr>
          <w:b/>
          <w:sz w:val="24"/>
        </w:rPr>
        <w:t>查阅方式</w:t>
      </w:r>
      <w:bookmarkStart w:id="1" w:name="_GoBack"/>
      <w:bookmarkEnd w:id="1"/>
    </w:p>
    <w:p w:rsidR="00C5055E" w:rsidRDefault="009B548F">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915" w:rsidRDefault="00774915">
      <w:r>
        <w:separator/>
      </w:r>
    </w:p>
  </w:endnote>
  <w:endnote w:type="continuationSeparator" w:id="0">
    <w:p w:rsidR="00774915" w:rsidRDefault="0077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278A8">
      <w:rPr>
        <w:kern w:val="0"/>
        <w:szCs w:val="21"/>
      </w:rPr>
      <w:fldChar w:fldCharType="begin"/>
    </w:r>
    <w:r>
      <w:rPr>
        <w:kern w:val="0"/>
        <w:szCs w:val="21"/>
      </w:rPr>
      <w:instrText xml:space="preserve"> PAGE </w:instrText>
    </w:r>
    <w:r w:rsidR="00D278A8">
      <w:rPr>
        <w:kern w:val="0"/>
        <w:szCs w:val="21"/>
      </w:rPr>
      <w:fldChar w:fldCharType="separate"/>
    </w:r>
    <w:r w:rsidR="00FF1756">
      <w:rPr>
        <w:noProof/>
        <w:kern w:val="0"/>
        <w:szCs w:val="21"/>
      </w:rPr>
      <w:t>14</w:t>
    </w:r>
    <w:r w:rsidR="00D278A8">
      <w:rPr>
        <w:kern w:val="0"/>
        <w:szCs w:val="21"/>
      </w:rPr>
      <w:fldChar w:fldCharType="end"/>
    </w:r>
    <w:r>
      <w:rPr>
        <w:rFonts w:hint="eastAsia"/>
        <w:kern w:val="0"/>
        <w:szCs w:val="21"/>
      </w:rPr>
      <w:t>页共</w:t>
    </w:r>
    <w:r w:rsidR="00D278A8">
      <w:rPr>
        <w:kern w:val="0"/>
        <w:szCs w:val="21"/>
      </w:rPr>
      <w:fldChar w:fldCharType="begin"/>
    </w:r>
    <w:r>
      <w:rPr>
        <w:kern w:val="0"/>
        <w:szCs w:val="21"/>
      </w:rPr>
      <w:instrText xml:space="preserve"> NUMPAGES </w:instrText>
    </w:r>
    <w:r w:rsidR="00D278A8">
      <w:rPr>
        <w:kern w:val="0"/>
        <w:szCs w:val="21"/>
      </w:rPr>
      <w:fldChar w:fldCharType="separate"/>
    </w:r>
    <w:r w:rsidR="00FF1756">
      <w:rPr>
        <w:noProof/>
        <w:kern w:val="0"/>
        <w:szCs w:val="21"/>
      </w:rPr>
      <w:t>14</w:t>
    </w:r>
    <w:r w:rsidR="00D278A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278A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915" w:rsidRDefault="00774915">
      <w:r>
        <w:separator/>
      </w:r>
    </w:p>
  </w:footnote>
  <w:footnote w:type="continuationSeparator" w:id="0">
    <w:p w:rsidR="00774915" w:rsidRDefault="0077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1F5688"/>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5E20"/>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4915"/>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548F"/>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55E"/>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07B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732"/>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1756"/>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3E7F2DD-6C07-4E8F-947C-A46C4118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6BEE-30F3-4624-B983-02C25C2D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341</TotalTime>
  <Pages>14</Pages>
  <Words>1109</Words>
  <Characters>6326</Characters>
  <Application>Microsoft Office Word</Application>
  <DocSecurity>0</DocSecurity>
  <Lines>52</Lines>
  <Paragraphs>14</Paragraphs>
  <ScaleCrop>false</ScaleCrop>
  <Company>TRT. Ltd. Co.</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潘蔷</cp:lastModifiedBy>
  <cp:revision>417</cp:revision>
  <cp:lastPrinted>2007-07-19T00:46:00Z</cp:lastPrinted>
  <dcterms:created xsi:type="dcterms:W3CDTF">2012-11-13T02:08:00Z</dcterms:created>
  <dcterms:modified xsi:type="dcterms:W3CDTF">2019-04-15T05:33:00Z</dcterms:modified>
</cp:coreProperties>
</file>