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2018</w:t>
      </w:r>
      <w:r w:rsidRPr="006C615F">
        <w:rPr>
          <w:b/>
          <w:sz w:val="36"/>
          <w:szCs w:val="36"/>
        </w:rPr>
        <w:t>年第</w:t>
      </w:r>
      <w:r w:rsidRPr="006C615F">
        <w:rPr>
          <w:b/>
          <w:sz w:val="36"/>
          <w:szCs w:val="36"/>
        </w:rPr>
        <w:t>3</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2018</w:t>
      </w:r>
      <w:r w:rsidRPr="006C615F">
        <w:rPr>
          <w:b/>
          <w:sz w:val="36"/>
          <w:szCs w:val="36"/>
        </w:rPr>
        <w:t>年</w:t>
      </w:r>
      <w:r w:rsidRPr="006C615F">
        <w:rPr>
          <w:b/>
          <w:sz w:val="36"/>
          <w:szCs w:val="36"/>
        </w:rPr>
        <w:t>9</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二〇一八年十月二十六日</w:t>
      </w:r>
    </w:p>
    <w:p w:rsidR="00220542" w:rsidRPr="00324C76" w:rsidRDefault="00220542" w:rsidP="00820FB9">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143178" w:rsidRDefault="003001D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43178" w:rsidRDefault="003001D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43178" w:rsidRDefault="003001DA">
      <w:pPr>
        <w:spacing w:before="29" w:line="288" w:lineRule="auto"/>
        <w:ind w:firstLineChars="200" w:firstLine="480"/>
        <w:rPr>
          <w:color w:val="000000"/>
          <w:sz w:val="24"/>
        </w:rPr>
      </w:pPr>
      <w:r>
        <w:rPr>
          <w:color w:val="000000"/>
          <w:sz w:val="24"/>
        </w:rPr>
        <w:t>基金管理人承诺以诚实信用、勤勉尽责的原则管理和运用基金资产，但不</w:t>
      </w:r>
      <w:r>
        <w:rPr>
          <w:color w:val="000000"/>
          <w:sz w:val="24"/>
        </w:rPr>
        <w:t>保证基金一定盈利。</w:t>
      </w:r>
      <w:r>
        <w:rPr>
          <w:color w:val="000000"/>
          <w:sz w:val="24"/>
        </w:rPr>
        <w:t xml:space="preserve"> </w:t>
      </w:r>
    </w:p>
    <w:p w:rsidR="00143178" w:rsidRDefault="003001D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43178" w:rsidRDefault="003001DA">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2018</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9</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327,640,819.59</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037B5D" w:rsidRPr="00324C76" w:rsidTr="00037B5D">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2018</w:t>
            </w:r>
            <w:r w:rsidRPr="00324C76">
              <w:rPr>
                <w:color w:val="000000"/>
                <w:sz w:val="24"/>
              </w:rPr>
              <w:t>年</w:t>
            </w:r>
            <w:r w:rsidRPr="00324C76">
              <w:rPr>
                <w:color w:val="000000"/>
                <w:sz w:val="24"/>
              </w:rPr>
              <w:t>7</w:t>
            </w:r>
            <w:r w:rsidRPr="00324C76">
              <w:rPr>
                <w:color w:val="000000"/>
                <w:sz w:val="24"/>
              </w:rPr>
              <w:t>月</w:t>
            </w:r>
            <w:r w:rsidRPr="00324C76">
              <w:rPr>
                <w:color w:val="000000"/>
                <w:sz w:val="24"/>
              </w:rPr>
              <w:t>1</w:t>
            </w:r>
            <w:r w:rsidRPr="00324C76">
              <w:rPr>
                <w:color w:val="000000"/>
                <w:sz w:val="24"/>
              </w:rPr>
              <w:t>日</w:t>
            </w:r>
            <w:r w:rsidRPr="00324C76">
              <w:rPr>
                <w:color w:val="000000"/>
                <w:sz w:val="24"/>
              </w:rPr>
              <w:t>-2018</w:t>
            </w:r>
            <w:r w:rsidRPr="00324C76">
              <w:rPr>
                <w:color w:val="000000"/>
                <w:sz w:val="24"/>
              </w:rPr>
              <w:t>年</w:t>
            </w:r>
            <w:r w:rsidRPr="00324C76">
              <w:rPr>
                <w:color w:val="000000"/>
                <w:sz w:val="24"/>
              </w:rPr>
              <w:t>9</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037B5D" w:rsidRPr="00324C76" w:rsidTr="00037B5D">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-76,152.18</w:t>
            </w:r>
          </w:p>
        </w:tc>
      </w:tr>
      <w:tr w:rsidR="00037B5D" w:rsidRPr="00324C76" w:rsidTr="00037B5D">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20,503,703.69</w:t>
            </w:r>
          </w:p>
        </w:tc>
      </w:tr>
      <w:tr w:rsidR="00037B5D" w:rsidRPr="00324C76" w:rsidTr="00037B5D">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0.0627</w:t>
            </w:r>
          </w:p>
        </w:tc>
      </w:tr>
      <w:tr w:rsidR="00037B5D" w:rsidRPr="00324C76" w:rsidTr="00037B5D">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401,026,226.28</w:t>
            </w:r>
          </w:p>
        </w:tc>
      </w:tr>
      <w:tr w:rsidR="00037B5D" w:rsidRPr="00324C76" w:rsidTr="00037B5D">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1.224</w:t>
            </w:r>
          </w:p>
        </w:tc>
      </w:tr>
    </w:tbl>
    <w:p w:rsidR="00143178" w:rsidRDefault="003001D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143178">
        <w:trPr>
          <w:jc w:val="center"/>
        </w:trPr>
        <w:tc>
          <w:tcPr>
            <w:tcW w:w="1469" w:type="dxa"/>
            <w:vAlign w:val="center"/>
          </w:tcPr>
          <w:p w:rsidR="00143178" w:rsidRDefault="003001DA">
            <w:pPr>
              <w:jc w:val="left"/>
            </w:pPr>
            <w:r>
              <w:rPr>
                <w:color w:val="000000"/>
                <w:sz w:val="24"/>
              </w:rPr>
              <w:t>过去三个月</w:t>
            </w:r>
          </w:p>
        </w:tc>
        <w:tc>
          <w:tcPr>
            <w:tcW w:w="1150" w:type="dxa"/>
            <w:vAlign w:val="center"/>
          </w:tcPr>
          <w:p w:rsidR="00143178" w:rsidRDefault="003001DA">
            <w:pPr>
              <w:jc w:val="center"/>
            </w:pPr>
            <w:r>
              <w:rPr>
                <w:color w:val="000000"/>
                <w:sz w:val="24"/>
              </w:rPr>
              <w:t>5.43%</w:t>
            </w:r>
          </w:p>
        </w:tc>
        <w:tc>
          <w:tcPr>
            <w:tcW w:w="1223" w:type="dxa"/>
            <w:vAlign w:val="center"/>
          </w:tcPr>
          <w:p w:rsidR="00143178" w:rsidRDefault="003001DA">
            <w:pPr>
              <w:jc w:val="center"/>
            </w:pPr>
            <w:r>
              <w:rPr>
                <w:color w:val="000000"/>
                <w:sz w:val="24"/>
              </w:rPr>
              <w:t>1.26%</w:t>
            </w:r>
          </w:p>
        </w:tc>
        <w:tc>
          <w:tcPr>
            <w:tcW w:w="1244" w:type="dxa"/>
            <w:vAlign w:val="center"/>
          </w:tcPr>
          <w:p w:rsidR="00143178" w:rsidRDefault="003001DA">
            <w:pPr>
              <w:jc w:val="center"/>
            </w:pPr>
            <w:r>
              <w:rPr>
                <w:color w:val="000000"/>
                <w:sz w:val="24"/>
              </w:rPr>
              <w:t>4.13%</w:t>
            </w:r>
          </w:p>
        </w:tc>
        <w:tc>
          <w:tcPr>
            <w:tcW w:w="1251" w:type="dxa"/>
            <w:vAlign w:val="center"/>
          </w:tcPr>
          <w:p w:rsidR="00143178" w:rsidRDefault="003001DA">
            <w:pPr>
              <w:jc w:val="center"/>
            </w:pPr>
            <w:r>
              <w:rPr>
                <w:color w:val="000000"/>
                <w:sz w:val="24"/>
              </w:rPr>
              <w:t>1.27%</w:t>
            </w:r>
          </w:p>
        </w:tc>
        <w:tc>
          <w:tcPr>
            <w:tcW w:w="1263" w:type="dxa"/>
            <w:vAlign w:val="center"/>
          </w:tcPr>
          <w:p w:rsidR="00143178" w:rsidRDefault="003001DA">
            <w:pPr>
              <w:jc w:val="center"/>
            </w:pPr>
            <w:r>
              <w:rPr>
                <w:color w:val="000000"/>
                <w:sz w:val="24"/>
              </w:rPr>
              <w:t>1.30%</w:t>
            </w:r>
          </w:p>
        </w:tc>
        <w:tc>
          <w:tcPr>
            <w:tcW w:w="1268" w:type="dxa"/>
            <w:vAlign w:val="center"/>
          </w:tcPr>
          <w:p w:rsidR="00143178" w:rsidRDefault="003001DA">
            <w:pPr>
              <w:jc w:val="center"/>
            </w:pPr>
            <w:r>
              <w:rPr>
                <w:color w:val="000000"/>
                <w:sz w:val="24"/>
              </w:rPr>
              <w:t>-0.01%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2018</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143178">
        <w:trPr>
          <w:jc w:val="center"/>
        </w:trPr>
        <w:tc>
          <w:tcPr>
            <w:tcW w:w="846" w:type="dxa"/>
            <w:vAlign w:val="center"/>
          </w:tcPr>
          <w:p w:rsidR="00143178" w:rsidRDefault="003001DA">
            <w:pPr>
              <w:jc w:val="center"/>
            </w:pPr>
            <w:r>
              <w:rPr>
                <w:color w:val="000000"/>
                <w:sz w:val="24"/>
              </w:rPr>
              <w:t>蔡铮</w:t>
            </w:r>
          </w:p>
        </w:tc>
        <w:tc>
          <w:tcPr>
            <w:tcW w:w="845" w:type="dxa"/>
            <w:vAlign w:val="center"/>
          </w:tcPr>
          <w:p w:rsidR="00143178" w:rsidRDefault="003001D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143178" w:rsidRDefault="003001DA">
            <w:pPr>
              <w:jc w:val="center"/>
            </w:pPr>
            <w:r>
              <w:rPr>
                <w:color w:val="000000"/>
                <w:sz w:val="24"/>
              </w:rPr>
              <w:lastRenderedPageBreak/>
              <w:t>2012-12-27</w:t>
            </w:r>
          </w:p>
        </w:tc>
        <w:tc>
          <w:tcPr>
            <w:tcW w:w="1548" w:type="dxa"/>
            <w:vAlign w:val="center"/>
          </w:tcPr>
          <w:p w:rsidR="00143178" w:rsidRDefault="003001DA">
            <w:pPr>
              <w:jc w:val="center"/>
            </w:pPr>
            <w:r>
              <w:rPr>
                <w:color w:val="000000"/>
                <w:sz w:val="24"/>
              </w:rPr>
              <w:t>-</w:t>
            </w:r>
          </w:p>
        </w:tc>
        <w:tc>
          <w:tcPr>
            <w:tcW w:w="1407" w:type="dxa"/>
            <w:vAlign w:val="center"/>
          </w:tcPr>
          <w:p w:rsidR="00143178" w:rsidRDefault="003001DA">
            <w:pPr>
              <w:jc w:val="center"/>
            </w:pPr>
            <w:r>
              <w:rPr>
                <w:color w:val="000000"/>
                <w:sz w:val="24"/>
              </w:rPr>
              <w:t>9</w:t>
            </w:r>
            <w:r>
              <w:rPr>
                <w:color w:val="000000"/>
                <w:sz w:val="24"/>
              </w:rPr>
              <w:t>年</w:t>
            </w:r>
          </w:p>
        </w:tc>
        <w:tc>
          <w:tcPr>
            <w:tcW w:w="2673" w:type="dxa"/>
            <w:vAlign w:val="center"/>
          </w:tcPr>
          <w:p w:rsidR="00143178" w:rsidRDefault="003001D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lastRenderedPageBreak/>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rsidR="00143178" w:rsidRDefault="003001D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43178" w:rsidRDefault="003001D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143178" w:rsidRDefault="003001D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143178" w:rsidRDefault="003001DA">
      <w:pPr>
        <w:spacing w:before="29" w:line="288" w:lineRule="auto"/>
        <w:ind w:firstLineChars="200" w:firstLine="480"/>
        <w:rPr>
          <w:color w:val="000000"/>
          <w:sz w:val="24"/>
        </w:rPr>
      </w:pPr>
      <w:r>
        <w:rPr>
          <w:color w:val="000000"/>
          <w:sz w:val="24"/>
        </w:rPr>
        <w:t>2018</w:t>
      </w:r>
      <w:r>
        <w:rPr>
          <w:color w:val="000000"/>
          <w:sz w:val="24"/>
        </w:rPr>
        <w:t>年三季度国内经济回落趋势显现，与此对应的托底政策也不断出台，但受到中美贸易摩擦反复加剧、美元加息、汇率波动等各因素频发的负面影响，三季度</w:t>
      </w:r>
      <w:r>
        <w:rPr>
          <w:color w:val="000000"/>
          <w:sz w:val="24"/>
        </w:rPr>
        <w:t>A</w:t>
      </w:r>
      <w:r>
        <w:rPr>
          <w:color w:val="000000"/>
          <w:sz w:val="24"/>
        </w:rPr>
        <w:t>股市场波动加大，表现出阶段性下行。作为跟踪基准指数的指数基金，三季度基金总体呈现出震荡的走势。</w:t>
      </w:r>
    </w:p>
    <w:p w:rsidR="004D6E34" w:rsidRPr="00324C76" w:rsidRDefault="00E27AF2" w:rsidP="00B04217">
      <w:pPr>
        <w:spacing w:before="29" w:line="288" w:lineRule="auto"/>
        <w:ind w:firstLineChars="200" w:firstLine="480"/>
        <w:rPr>
          <w:color w:val="000000"/>
          <w:sz w:val="24"/>
        </w:rPr>
      </w:pPr>
      <w:r w:rsidRPr="00324C76">
        <w:rPr>
          <w:color w:val="000000"/>
          <w:sz w:val="24"/>
        </w:rPr>
        <w:lastRenderedPageBreak/>
        <w:t>展望下一季度，我们认为通胀仍将维持温和，货币中性稳健，财政政策持续发力。中美贸易摩擦的影响在短期内或仍将延续，政策的短期重点或偏向于稳增长的方向。市场经历了二季度到三季度的调整，许多行业指数已接近合理估值区间，目前股价也包含了投资者较为悲观的预期，总体而言，从中长期来看我们对</w:t>
      </w:r>
      <w:r w:rsidRPr="00324C76">
        <w:rPr>
          <w:color w:val="000000"/>
          <w:sz w:val="24"/>
        </w:rPr>
        <w:t>A</w:t>
      </w:r>
      <w:r w:rsidRPr="00324C76">
        <w:rPr>
          <w:color w:val="000000"/>
          <w:sz w:val="24"/>
        </w:rPr>
        <w:t>股市场仍维持谨慎中性的看法。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 xml:space="preserve">“3.1 </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“3.2.1</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Pr="00AE0465"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r w:rsidRPr="00AE0465">
              <w:rPr>
                <w:rFonts w:eastAsiaTheme="minorEastAsia"/>
                <w:color w:val="000000" w:themeColor="text1"/>
                <w:sz w:val="24"/>
              </w:rPr>
              <w:t>(</w:t>
            </w:r>
            <w:r w:rsidRPr="00AE0465">
              <w:rPr>
                <w:rFonts w:eastAsiaTheme="minorEastAsia"/>
                <w:color w:val="000000" w:themeColor="text1"/>
                <w:sz w:val="24"/>
              </w:rPr>
              <w:t>元</w:t>
            </w: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4,997,079.38</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1.24</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4,997,079.38</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1.24</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373,585,346.61</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93.03</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22,917,500.95</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5.71</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lastRenderedPageBreak/>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63,341.36</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0.02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401,563,268.30</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143178">
        <w:trPr>
          <w:jc w:val="center"/>
        </w:trPr>
        <w:tc>
          <w:tcPr>
            <w:tcW w:w="1265" w:type="dxa"/>
            <w:vAlign w:val="center"/>
          </w:tcPr>
          <w:p w:rsidR="00143178" w:rsidRDefault="003001DA">
            <w:pPr>
              <w:jc w:val="center"/>
            </w:pPr>
            <w:r>
              <w:rPr>
                <w:sz w:val="24"/>
              </w:rPr>
              <w:t>1</w:t>
            </w:r>
          </w:p>
        </w:tc>
        <w:tc>
          <w:tcPr>
            <w:tcW w:w="1266" w:type="dxa"/>
            <w:vAlign w:val="center"/>
          </w:tcPr>
          <w:p w:rsidR="00143178" w:rsidRDefault="003001DA">
            <w:pPr>
              <w:jc w:val="center"/>
            </w:pPr>
            <w:r>
              <w:rPr>
                <w:sz w:val="24"/>
              </w:rPr>
              <w:t>上证</w:t>
            </w:r>
            <w:r>
              <w:rPr>
                <w:sz w:val="24"/>
              </w:rPr>
              <w:t>180</w:t>
            </w:r>
            <w:r>
              <w:rPr>
                <w:sz w:val="24"/>
              </w:rPr>
              <w:t>公司治理交易型开放式指数证券投资基金</w:t>
            </w:r>
          </w:p>
        </w:tc>
        <w:tc>
          <w:tcPr>
            <w:tcW w:w="1267" w:type="dxa"/>
            <w:vAlign w:val="center"/>
          </w:tcPr>
          <w:p w:rsidR="00143178" w:rsidRDefault="003001DA">
            <w:pPr>
              <w:jc w:val="center"/>
            </w:pPr>
            <w:r>
              <w:rPr>
                <w:sz w:val="24"/>
              </w:rPr>
              <w:t>股票型</w:t>
            </w:r>
          </w:p>
        </w:tc>
        <w:tc>
          <w:tcPr>
            <w:tcW w:w="1267" w:type="dxa"/>
            <w:vAlign w:val="center"/>
          </w:tcPr>
          <w:p w:rsidR="00143178" w:rsidRDefault="003001DA">
            <w:pPr>
              <w:jc w:val="center"/>
            </w:pPr>
            <w:r>
              <w:rPr>
                <w:sz w:val="24"/>
              </w:rPr>
              <w:t>交易型开放式</w:t>
            </w:r>
          </w:p>
        </w:tc>
        <w:tc>
          <w:tcPr>
            <w:tcW w:w="1267" w:type="dxa"/>
            <w:vAlign w:val="center"/>
          </w:tcPr>
          <w:p w:rsidR="00143178" w:rsidRDefault="003001DA">
            <w:pPr>
              <w:jc w:val="center"/>
            </w:pPr>
            <w:r>
              <w:rPr>
                <w:sz w:val="24"/>
              </w:rPr>
              <w:t>交银施罗德基金管理有限公司</w:t>
            </w:r>
          </w:p>
        </w:tc>
        <w:tc>
          <w:tcPr>
            <w:tcW w:w="1268" w:type="dxa"/>
            <w:vAlign w:val="center"/>
          </w:tcPr>
          <w:p w:rsidR="00143178" w:rsidRDefault="003001DA">
            <w:pPr>
              <w:jc w:val="right"/>
            </w:pPr>
            <w:r>
              <w:rPr>
                <w:sz w:val="24"/>
              </w:rPr>
              <w:t>373,585,346.61</w:t>
            </w:r>
          </w:p>
        </w:tc>
        <w:tc>
          <w:tcPr>
            <w:tcW w:w="1268" w:type="dxa"/>
            <w:vAlign w:val="center"/>
          </w:tcPr>
          <w:p w:rsidR="00143178" w:rsidRDefault="003001DA">
            <w:pPr>
              <w:jc w:val="right"/>
            </w:pPr>
            <w:r>
              <w:rPr>
                <w:sz w:val="24"/>
              </w:rPr>
              <w:t>93.16</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17,874.00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285,195.00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1,099,358.68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250,370.00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417,499.80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105,136.10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169,737.00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97,872.00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2,377,502.00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0.59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166,250.80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284.00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10,000.00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4,997,079.38</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1.25</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143178">
        <w:trPr>
          <w:jc w:val="center"/>
        </w:trPr>
        <w:tc>
          <w:tcPr>
            <w:tcW w:w="849" w:type="dxa"/>
            <w:vAlign w:val="center"/>
          </w:tcPr>
          <w:p w:rsidR="00143178" w:rsidRDefault="003001DA">
            <w:pPr>
              <w:jc w:val="center"/>
            </w:pPr>
            <w:r>
              <w:rPr>
                <w:color w:val="000000"/>
                <w:sz w:val="24"/>
              </w:rPr>
              <w:t>1</w:t>
            </w:r>
          </w:p>
        </w:tc>
        <w:tc>
          <w:tcPr>
            <w:tcW w:w="1327" w:type="dxa"/>
            <w:vAlign w:val="center"/>
          </w:tcPr>
          <w:p w:rsidR="00143178" w:rsidRDefault="003001DA">
            <w:pPr>
              <w:jc w:val="center"/>
            </w:pPr>
            <w:r>
              <w:rPr>
                <w:color w:val="000000"/>
                <w:sz w:val="24"/>
              </w:rPr>
              <w:t>601318</w:t>
            </w:r>
          </w:p>
        </w:tc>
        <w:tc>
          <w:tcPr>
            <w:tcW w:w="1621" w:type="dxa"/>
            <w:vAlign w:val="center"/>
          </w:tcPr>
          <w:p w:rsidR="00143178" w:rsidRDefault="003001DA">
            <w:pPr>
              <w:jc w:val="center"/>
            </w:pPr>
            <w:r>
              <w:rPr>
                <w:color w:val="000000"/>
                <w:sz w:val="24"/>
              </w:rPr>
              <w:t>中国平安</w:t>
            </w:r>
          </w:p>
        </w:tc>
        <w:tc>
          <w:tcPr>
            <w:tcW w:w="1769" w:type="dxa"/>
            <w:vAlign w:val="center"/>
          </w:tcPr>
          <w:p w:rsidR="00143178" w:rsidRDefault="003001DA">
            <w:pPr>
              <w:jc w:val="right"/>
            </w:pPr>
            <w:r>
              <w:rPr>
                <w:color w:val="000000"/>
                <w:sz w:val="24"/>
              </w:rPr>
              <w:t>12,600</w:t>
            </w:r>
          </w:p>
        </w:tc>
        <w:tc>
          <w:tcPr>
            <w:tcW w:w="2211" w:type="dxa"/>
            <w:vAlign w:val="center"/>
          </w:tcPr>
          <w:p w:rsidR="00143178" w:rsidRDefault="003001DA">
            <w:pPr>
              <w:jc w:val="right"/>
            </w:pPr>
            <w:r>
              <w:rPr>
                <w:color w:val="000000"/>
                <w:sz w:val="24"/>
              </w:rPr>
              <w:t>863,100.00</w:t>
            </w:r>
          </w:p>
        </w:tc>
        <w:tc>
          <w:tcPr>
            <w:tcW w:w="1091" w:type="dxa"/>
            <w:vAlign w:val="center"/>
          </w:tcPr>
          <w:p w:rsidR="00143178" w:rsidRDefault="003001DA">
            <w:pPr>
              <w:jc w:val="right"/>
            </w:pPr>
            <w:r>
              <w:rPr>
                <w:color w:val="000000"/>
                <w:sz w:val="24"/>
              </w:rPr>
              <w:t>0.22</w:t>
            </w:r>
          </w:p>
        </w:tc>
      </w:tr>
      <w:tr w:rsidR="00143178">
        <w:trPr>
          <w:jc w:val="center"/>
        </w:trPr>
        <w:tc>
          <w:tcPr>
            <w:tcW w:w="849" w:type="dxa"/>
            <w:vAlign w:val="center"/>
          </w:tcPr>
          <w:p w:rsidR="00143178" w:rsidRDefault="003001DA">
            <w:pPr>
              <w:jc w:val="center"/>
            </w:pPr>
            <w:r>
              <w:rPr>
                <w:color w:val="000000"/>
                <w:sz w:val="24"/>
              </w:rPr>
              <w:t>2</w:t>
            </w:r>
          </w:p>
        </w:tc>
        <w:tc>
          <w:tcPr>
            <w:tcW w:w="1327" w:type="dxa"/>
            <w:vAlign w:val="center"/>
          </w:tcPr>
          <w:p w:rsidR="00143178" w:rsidRDefault="003001DA">
            <w:pPr>
              <w:jc w:val="center"/>
            </w:pPr>
            <w:r>
              <w:rPr>
                <w:color w:val="000000"/>
                <w:sz w:val="24"/>
              </w:rPr>
              <w:t>600036</w:t>
            </w:r>
          </w:p>
        </w:tc>
        <w:tc>
          <w:tcPr>
            <w:tcW w:w="1621" w:type="dxa"/>
            <w:vAlign w:val="center"/>
          </w:tcPr>
          <w:p w:rsidR="00143178" w:rsidRDefault="003001DA">
            <w:pPr>
              <w:jc w:val="center"/>
            </w:pPr>
            <w:r>
              <w:rPr>
                <w:color w:val="000000"/>
                <w:sz w:val="24"/>
              </w:rPr>
              <w:t>招商银行</w:t>
            </w:r>
          </w:p>
        </w:tc>
        <w:tc>
          <w:tcPr>
            <w:tcW w:w="1769" w:type="dxa"/>
            <w:vAlign w:val="center"/>
          </w:tcPr>
          <w:p w:rsidR="00143178" w:rsidRDefault="003001DA">
            <w:pPr>
              <w:jc w:val="right"/>
            </w:pPr>
            <w:r>
              <w:rPr>
                <w:color w:val="000000"/>
                <w:sz w:val="24"/>
              </w:rPr>
              <w:t>12,000</w:t>
            </w:r>
          </w:p>
        </w:tc>
        <w:tc>
          <w:tcPr>
            <w:tcW w:w="2211" w:type="dxa"/>
            <w:vAlign w:val="center"/>
          </w:tcPr>
          <w:p w:rsidR="00143178" w:rsidRDefault="003001DA">
            <w:pPr>
              <w:jc w:val="right"/>
            </w:pPr>
            <w:r>
              <w:rPr>
                <w:color w:val="000000"/>
                <w:sz w:val="24"/>
              </w:rPr>
              <w:t>368,280.00</w:t>
            </w:r>
          </w:p>
        </w:tc>
        <w:tc>
          <w:tcPr>
            <w:tcW w:w="1091" w:type="dxa"/>
            <w:vAlign w:val="center"/>
          </w:tcPr>
          <w:p w:rsidR="00143178" w:rsidRDefault="003001DA">
            <w:pPr>
              <w:jc w:val="right"/>
            </w:pPr>
            <w:r>
              <w:rPr>
                <w:color w:val="000000"/>
                <w:sz w:val="24"/>
              </w:rPr>
              <w:t>0.09</w:t>
            </w:r>
          </w:p>
        </w:tc>
      </w:tr>
      <w:tr w:rsidR="00143178">
        <w:trPr>
          <w:jc w:val="center"/>
        </w:trPr>
        <w:tc>
          <w:tcPr>
            <w:tcW w:w="849" w:type="dxa"/>
            <w:vAlign w:val="center"/>
          </w:tcPr>
          <w:p w:rsidR="00143178" w:rsidRDefault="003001DA">
            <w:pPr>
              <w:jc w:val="center"/>
            </w:pPr>
            <w:r>
              <w:rPr>
                <w:color w:val="000000"/>
                <w:sz w:val="24"/>
              </w:rPr>
              <w:t>3</w:t>
            </w:r>
          </w:p>
        </w:tc>
        <w:tc>
          <w:tcPr>
            <w:tcW w:w="1327" w:type="dxa"/>
            <w:vAlign w:val="center"/>
          </w:tcPr>
          <w:p w:rsidR="00143178" w:rsidRDefault="003001DA">
            <w:pPr>
              <w:jc w:val="center"/>
            </w:pPr>
            <w:r>
              <w:rPr>
                <w:color w:val="000000"/>
                <w:sz w:val="24"/>
              </w:rPr>
              <w:t>601166</w:t>
            </w:r>
          </w:p>
        </w:tc>
        <w:tc>
          <w:tcPr>
            <w:tcW w:w="1621" w:type="dxa"/>
            <w:vAlign w:val="center"/>
          </w:tcPr>
          <w:p w:rsidR="00143178" w:rsidRDefault="003001DA">
            <w:pPr>
              <w:jc w:val="center"/>
            </w:pPr>
            <w:r>
              <w:rPr>
                <w:color w:val="000000"/>
                <w:sz w:val="24"/>
              </w:rPr>
              <w:t>兴业银行</w:t>
            </w:r>
          </w:p>
        </w:tc>
        <w:tc>
          <w:tcPr>
            <w:tcW w:w="1769" w:type="dxa"/>
            <w:vAlign w:val="center"/>
          </w:tcPr>
          <w:p w:rsidR="00143178" w:rsidRDefault="003001DA">
            <w:pPr>
              <w:jc w:val="right"/>
            </w:pPr>
            <w:r>
              <w:rPr>
                <w:color w:val="000000"/>
                <w:sz w:val="24"/>
              </w:rPr>
              <w:t>14,500</w:t>
            </w:r>
          </w:p>
        </w:tc>
        <w:tc>
          <w:tcPr>
            <w:tcW w:w="2211" w:type="dxa"/>
            <w:vAlign w:val="center"/>
          </w:tcPr>
          <w:p w:rsidR="00143178" w:rsidRDefault="003001DA">
            <w:pPr>
              <w:jc w:val="right"/>
            </w:pPr>
            <w:r>
              <w:rPr>
                <w:color w:val="000000"/>
                <w:sz w:val="24"/>
              </w:rPr>
              <w:t>231,275.00</w:t>
            </w:r>
          </w:p>
        </w:tc>
        <w:tc>
          <w:tcPr>
            <w:tcW w:w="1091" w:type="dxa"/>
            <w:vAlign w:val="center"/>
          </w:tcPr>
          <w:p w:rsidR="00143178" w:rsidRDefault="003001DA">
            <w:pPr>
              <w:jc w:val="right"/>
            </w:pPr>
            <w:r>
              <w:rPr>
                <w:color w:val="000000"/>
                <w:sz w:val="24"/>
              </w:rPr>
              <w:t>0.06</w:t>
            </w:r>
          </w:p>
        </w:tc>
      </w:tr>
      <w:tr w:rsidR="00143178">
        <w:trPr>
          <w:jc w:val="center"/>
        </w:trPr>
        <w:tc>
          <w:tcPr>
            <w:tcW w:w="849" w:type="dxa"/>
            <w:vAlign w:val="center"/>
          </w:tcPr>
          <w:p w:rsidR="00143178" w:rsidRDefault="003001DA">
            <w:pPr>
              <w:jc w:val="center"/>
            </w:pPr>
            <w:r>
              <w:rPr>
                <w:color w:val="000000"/>
                <w:sz w:val="24"/>
              </w:rPr>
              <w:t>4</w:t>
            </w:r>
          </w:p>
        </w:tc>
        <w:tc>
          <w:tcPr>
            <w:tcW w:w="1327" w:type="dxa"/>
            <w:vAlign w:val="center"/>
          </w:tcPr>
          <w:p w:rsidR="00143178" w:rsidRDefault="003001DA">
            <w:pPr>
              <w:jc w:val="center"/>
            </w:pPr>
            <w:r>
              <w:rPr>
                <w:color w:val="000000"/>
                <w:sz w:val="24"/>
              </w:rPr>
              <w:t>600000</w:t>
            </w:r>
          </w:p>
        </w:tc>
        <w:tc>
          <w:tcPr>
            <w:tcW w:w="1621" w:type="dxa"/>
            <w:vAlign w:val="center"/>
          </w:tcPr>
          <w:p w:rsidR="00143178" w:rsidRDefault="003001DA">
            <w:pPr>
              <w:jc w:val="center"/>
            </w:pPr>
            <w:r>
              <w:rPr>
                <w:color w:val="000000"/>
                <w:sz w:val="24"/>
              </w:rPr>
              <w:t>浦发银行</w:t>
            </w:r>
          </w:p>
        </w:tc>
        <w:tc>
          <w:tcPr>
            <w:tcW w:w="1769" w:type="dxa"/>
            <w:vAlign w:val="center"/>
          </w:tcPr>
          <w:p w:rsidR="00143178" w:rsidRDefault="003001DA">
            <w:pPr>
              <w:jc w:val="right"/>
            </w:pPr>
            <w:r>
              <w:rPr>
                <w:color w:val="000000"/>
                <w:sz w:val="24"/>
              </w:rPr>
              <w:t>13,600</w:t>
            </w:r>
          </w:p>
        </w:tc>
        <w:tc>
          <w:tcPr>
            <w:tcW w:w="2211" w:type="dxa"/>
            <w:vAlign w:val="center"/>
          </w:tcPr>
          <w:p w:rsidR="00143178" w:rsidRDefault="003001DA">
            <w:pPr>
              <w:jc w:val="right"/>
            </w:pPr>
            <w:r>
              <w:rPr>
                <w:color w:val="000000"/>
                <w:sz w:val="24"/>
              </w:rPr>
              <w:t>144,432.00</w:t>
            </w:r>
          </w:p>
        </w:tc>
        <w:tc>
          <w:tcPr>
            <w:tcW w:w="1091" w:type="dxa"/>
            <w:vAlign w:val="center"/>
          </w:tcPr>
          <w:p w:rsidR="00143178" w:rsidRDefault="003001DA">
            <w:pPr>
              <w:jc w:val="right"/>
            </w:pPr>
            <w:r>
              <w:rPr>
                <w:color w:val="000000"/>
                <w:sz w:val="24"/>
              </w:rPr>
              <w:t>0.04</w:t>
            </w:r>
          </w:p>
        </w:tc>
      </w:tr>
      <w:tr w:rsidR="00143178">
        <w:trPr>
          <w:jc w:val="center"/>
        </w:trPr>
        <w:tc>
          <w:tcPr>
            <w:tcW w:w="849" w:type="dxa"/>
            <w:vAlign w:val="center"/>
          </w:tcPr>
          <w:p w:rsidR="00143178" w:rsidRDefault="003001DA">
            <w:pPr>
              <w:jc w:val="center"/>
            </w:pPr>
            <w:r>
              <w:rPr>
                <w:color w:val="000000"/>
                <w:sz w:val="24"/>
              </w:rPr>
              <w:t>5</w:t>
            </w:r>
          </w:p>
        </w:tc>
        <w:tc>
          <w:tcPr>
            <w:tcW w:w="1327" w:type="dxa"/>
            <w:vAlign w:val="center"/>
          </w:tcPr>
          <w:p w:rsidR="00143178" w:rsidRDefault="003001DA">
            <w:pPr>
              <w:jc w:val="center"/>
            </w:pPr>
            <w:r>
              <w:rPr>
                <w:color w:val="000000"/>
                <w:sz w:val="24"/>
              </w:rPr>
              <w:t>601398</w:t>
            </w:r>
          </w:p>
        </w:tc>
        <w:tc>
          <w:tcPr>
            <w:tcW w:w="1621" w:type="dxa"/>
            <w:vAlign w:val="center"/>
          </w:tcPr>
          <w:p w:rsidR="00143178" w:rsidRDefault="003001DA">
            <w:pPr>
              <w:jc w:val="center"/>
            </w:pPr>
            <w:r>
              <w:rPr>
                <w:color w:val="000000"/>
                <w:sz w:val="24"/>
              </w:rPr>
              <w:t>工商银行</w:t>
            </w:r>
          </w:p>
        </w:tc>
        <w:tc>
          <w:tcPr>
            <w:tcW w:w="1769" w:type="dxa"/>
            <w:vAlign w:val="center"/>
          </w:tcPr>
          <w:p w:rsidR="00143178" w:rsidRDefault="003001DA">
            <w:pPr>
              <w:jc w:val="right"/>
            </w:pPr>
            <w:r>
              <w:rPr>
                <w:color w:val="000000"/>
                <w:sz w:val="24"/>
              </w:rPr>
              <w:t>25,000</w:t>
            </w:r>
          </w:p>
        </w:tc>
        <w:tc>
          <w:tcPr>
            <w:tcW w:w="2211" w:type="dxa"/>
            <w:vAlign w:val="center"/>
          </w:tcPr>
          <w:p w:rsidR="00143178" w:rsidRDefault="003001DA">
            <w:pPr>
              <w:jc w:val="right"/>
            </w:pPr>
            <w:r>
              <w:rPr>
                <w:color w:val="000000"/>
                <w:sz w:val="24"/>
              </w:rPr>
              <w:t>144,250.00</w:t>
            </w:r>
          </w:p>
        </w:tc>
        <w:tc>
          <w:tcPr>
            <w:tcW w:w="1091" w:type="dxa"/>
            <w:vAlign w:val="center"/>
          </w:tcPr>
          <w:p w:rsidR="00143178" w:rsidRDefault="003001DA">
            <w:pPr>
              <w:jc w:val="right"/>
            </w:pPr>
            <w:r>
              <w:rPr>
                <w:color w:val="000000"/>
                <w:sz w:val="24"/>
              </w:rPr>
              <w:t>0.04</w:t>
            </w:r>
          </w:p>
        </w:tc>
      </w:tr>
      <w:tr w:rsidR="00143178">
        <w:trPr>
          <w:jc w:val="center"/>
        </w:trPr>
        <w:tc>
          <w:tcPr>
            <w:tcW w:w="849" w:type="dxa"/>
            <w:vAlign w:val="center"/>
          </w:tcPr>
          <w:p w:rsidR="00143178" w:rsidRDefault="003001DA">
            <w:pPr>
              <w:jc w:val="center"/>
            </w:pPr>
            <w:r>
              <w:rPr>
                <w:color w:val="000000"/>
                <w:sz w:val="24"/>
              </w:rPr>
              <w:t>6</w:t>
            </w:r>
          </w:p>
        </w:tc>
        <w:tc>
          <w:tcPr>
            <w:tcW w:w="1327" w:type="dxa"/>
            <w:vAlign w:val="center"/>
          </w:tcPr>
          <w:p w:rsidR="00143178" w:rsidRDefault="003001DA">
            <w:pPr>
              <w:jc w:val="center"/>
            </w:pPr>
            <w:r>
              <w:rPr>
                <w:color w:val="000000"/>
                <w:sz w:val="24"/>
              </w:rPr>
              <w:t>600104</w:t>
            </w:r>
          </w:p>
        </w:tc>
        <w:tc>
          <w:tcPr>
            <w:tcW w:w="1621" w:type="dxa"/>
            <w:vAlign w:val="center"/>
          </w:tcPr>
          <w:p w:rsidR="00143178" w:rsidRDefault="003001DA">
            <w:pPr>
              <w:jc w:val="center"/>
            </w:pPr>
            <w:r>
              <w:rPr>
                <w:color w:val="000000"/>
                <w:sz w:val="24"/>
              </w:rPr>
              <w:t>上汽集团</w:t>
            </w:r>
          </w:p>
        </w:tc>
        <w:tc>
          <w:tcPr>
            <w:tcW w:w="1769" w:type="dxa"/>
            <w:vAlign w:val="center"/>
          </w:tcPr>
          <w:p w:rsidR="00143178" w:rsidRDefault="003001DA">
            <w:pPr>
              <w:jc w:val="right"/>
            </w:pPr>
            <w:r>
              <w:rPr>
                <w:color w:val="000000"/>
                <w:sz w:val="24"/>
              </w:rPr>
              <w:t>4,100</w:t>
            </w:r>
          </w:p>
        </w:tc>
        <w:tc>
          <w:tcPr>
            <w:tcW w:w="2211" w:type="dxa"/>
            <w:vAlign w:val="center"/>
          </w:tcPr>
          <w:p w:rsidR="00143178" w:rsidRDefault="003001DA">
            <w:pPr>
              <w:jc w:val="right"/>
            </w:pPr>
            <w:r>
              <w:rPr>
                <w:color w:val="000000"/>
                <w:sz w:val="24"/>
              </w:rPr>
              <w:t>136,448.00</w:t>
            </w:r>
          </w:p>
        </w:tc>
        <w:tc>
          <w:tcPr>
            <w:tcW w:w="1091" w:type="dxa"/>
            <w:vAlign w:val="center"/>
          </w:tcPr>
          <w:p w:rsidR="00143178" w:rsidRDefault="003001DA">
            <w:pPr>
              <w:jc w:val="right"/>
            </w:pPr>
            <w:r>
              <w:rPr>
                <w:color w:val="000000"/>
                <w:sz w:val="24"/>
              </w:rPr>
              <w:t>0.03</w:t>
            </w:r>
          </w:p>
        </w:tc>
      </w:tr>
      <w:tr w:rsidR="00143178">
        <w:trPr>
          <w:jc w:val="center"/>
        </w:trPr>
        <w:tc>
          <w:tcPr>
            <w:tcW w:w="849" w:type="dxa"/>
            <w:vAlign w:val="center"/>
          </w:tcPr>
          <w:p w:rsidR="00143178" w:rsidRDefault="003001DA">
            <w:pPr>
              <w:jc w:val="center"/>
            </w:pPr>
            <w:r>
              <w:rPr>
                <w:color w:val="000000"/>
                <w:sz w:val="24"/>
              </w:rPr>
              <w:t>7</w:t>
            </w:r>
          </w:p>
        </w:tc>
        <w:tc>
          <w:tcPr>
            <w:tcW w:w="1327" w:type="dxa"/>
            <w:vAlign w:val="center"/>
          </w:tcPr>
          <w:p w:rsidR="00143178" w:rsidRDefault="003001DA">
            <w:pPr>
              <w:jc w:val="center"/>
            </w:pPr>
            <w:r>
              <w:rPr>
                <w:color w:val="000000"/>
                <w:sz w:val="24"/>
              </w:rPr>
              <w:t>601668</w:t>
            </w:r>
          </w:p>
        </w:tc>
        <w:tc>
          <w:tcPr>
            <w:tcW w:w="1621" w:type="dxa"/>
            <w:vAlign w:val="center"/>
          </w:tcPr>
          <w:p w:rsidR="00143178" w:rsidRDefault="003001DA">
            <w:pPr>
              <w:jc w:val="center"/>
            </w:pPr>
            <w:r>
              <w:rPr>
                <w:color w:val="000000"/>
                <w:sz w:val="24"/>
              </w:rPr>
              <w:t>中国建筑</w:t>
            </w:r>
          </w:p>
        </w:tc>
        <w:tc>
          <w:tcPr>
            <w:tcW w:w="1769" w:type="dxa"/>
            <w:vAlign w:val="center"/>
          </w:tcPr>
          <w:p w:rsidR="00143178" w:rsidRDefault="003001DA">
            <w:pPr>
              <w:jc w:val="right"/>
            </w:pPr>
            <w:r>
              <w:rPr>
                <w:color w:val="000000"/>
                <w:sz w:val="24"/>
              </w:rPr>
              <w:t>24,320</w:t>
            </w:r>
          </w:p>
        </w:tc>
        <w:tc>
          <w:tcPr>
            <w:tcW w:w="2211" w:type="dxa"/>
            <w:vAlign w:val="center"/>
          </w:tcPr>
          <w:p w:rsidR="00143178" w:rsidRDefault="003001DA">
            <w:pPr>
              <w:jc w:val="right"/>
            </w:pPr>
            <w:r>
              <w:rPr>
                <w:color w:val="000000"/>
                <w:sz w:val="24"/>
              </w:rPr>
              <w:t>133,516.80</w:t>
            </w:r>
          </w:p>
        </w:tc>
        <w:tc>
          <w:tcPr>
            <w:tcW w:w="1091" w:type="dxa"/>
            <w:vAlign w:val="center"/>
          </w:tcPr>
          <w:p w:rsidR="00143178" w:rsidRDefault="003001DA">
            <w:pPr>
              <w:jc w:val="right"/>
            </w:pPr>
            <w:r>
              <w:rPr>
                <w:color w:val="000000"/>
                <w:sz w:val="24"/>
              </w:rPr>
              <w:t>0.03</w:t>
            </w:r>
          </w:p>
        </w:tc>
      </w:tr>
      <w:tr w:rsidR="00143178">
        <w:trPr>
          <w:jc w:val="center"/>
        </w:trPr>
        <w:tc>
          <w:tcPr>
            <w:tcW w:w="849" w:type="dxa"/>
            <w:vAlign w:val="center"/>
          </w:tcPr>
          <w:p w:rsidR="00143178" w:rsidRDefault="003001DA">
            <w:pPr>
              <w:jc w:val="center"/>
            </w:pPr>
            <w:r>
              <w:rPr>
                <w:color w:val="000000"/>
                <w:sz w:val="24"/>
              </w:rPr>
              <w:t>8</w:t>
            </w:r>
          </w:p>
        </w:tc>
        <w:tc>
          <w:tcPr>
            <w:tcW w:w="1327" w:type="dxa"/>
            <w:vAlign w:val="center"/>
          </w:tcPr>
          <w:p w:rsidR="00143178" w:rsidRDefault="003001DA">
            <w:pPr>
              <w:jc w:val="center"/>
            </w:pPr>
            <w:r>
              <w:rPr>
                <w:color w:val="000000"/>
                <w:sz w:val="24"/>
              </w:rPr>
              <w:t>601601</w:t>
            </w:r>
          </w:p>
        </w:tc>
        <w:tc>
          <w:tcPr>
            <w:tcW w:w="1621" w:type="dxa"/>
            <w:vAlign w:val="center"/>
          </w:tcPr>
          <w:p w:rsidR="00143178" w:rsidRDefault="003001DA">
            <w:pPr>
              <w:jc w:val="center"/>
            </w:pPr>
            <w:r>
              <w:rPr>
                <w:color w:val="000000"/>
                <w:sz w:val="24"/>
              </w:rPr>
              <w:t>中国太保</w:t>
            </w:r>
          </w:p>
        </w:tc>
        <w:tc>
          <w:tcPr>
            <w:tcW w:w="1769" w:type="dxa"/>
            <w:vAlign w:val="center"/>
          </w:tcPr>
          <w:p w:rsidR="00143178" w:rsidRDefault="003001DA">
            <w:pPr>
              <w:jc w:val="right"/>
            </w:pPr>
            <w:r>
              <w:rPr>
                <w:color w:val="000000"/>
                <w:sz w:val="24"/>
              </w:rPr>
              <w:t>3,700</w:t>
            </w:r>
          </w:p>
        </w:tc>
        <w:tc>
          <w:tcPr>
            <w:tcW w:w="2211" w:type="dxa"/>
            <w:vAlign w:val="center"/>
          </w:tcPr>
          <w:p w:rsidR="00143178" w:rsidRDefault="003001DA">
            <w:pPr>
              <w:jc w:val="right"/>
            </w:pPr>
            <w:r>
              <w:rPr>
                <w:color w:val="000000"/>
                <w:sz w:val="24"/>
              </w:rPr>
              <w:t>131,387.00</w:t>
            </w:r>
          </w:p>
        </w:tc>
        <w:tc>
          <w:tcPr>
            <w:tcW w:w="1091" w:type="dxa"/>
            <w:vAlign w:val="center"/>
          </w:tcPr>
          <w:p w:rsidR="00143178" w:rsidRDefault="003001DA">
            <w:pPr>
              <w:jc w:val="right"/>
            </w:pPr>
            <w:r>
              <w:rPr>
                <w:color w:val="000000"/>
                <w:sz w:val="24"/>
              </w:rPr>
              <w:t>0.03</w:t>
            </w:r>
          </w:p>
        </w:tc>
      </w:tr>
      <w:tr w:rsidR="00143178">
        <w:trPr>
          <w:jc w:val="center"/>
        </w:trPr>
        <w:tc>
          <w:tcPr>
            <w:tcW w:w="849" w:type="dxa"/>
            <w:vAlign w:val="center"/>
          </w:tcPr>
          <w:p w:rsidR="00143178" w:rsidRDefault="003001DA">
            <w:pPr>
              <w:jc w:val="center"/>
            </w:pPr>
            <w:r>
              <w:rPr>
                <w:color w:val="000000"/>
                <w:sz w:val="24"/>
              </w:rPr>
              <w:t>9</w:t>
            </w:r>
          </w:p>
        </w:tc>
        <w:tc>
          <w:tcPr>
            <w:tcW w:w="1327" w:type="dxa"/>
            <w:vAlign w:val="center"/>
          </w:tcPr>
          <w:p w:rsidR="00143178" w:rsidRDefault="003001DA">
            <w:pPr>
              <w:jc w:val="center"/>
            </w:pPr>
            <w:r>
              <w:rPr>
                <w:color w:val="000000"/>
                <w:sz w:val="24"/>
              </w:rPr>
              <w:t>601390</w:t>
            </w:r>
          </w:p>
        </w:tc>
        <w:tc>
          <w:tcPr>
            <w:tcW w:w="1621" w:type="dxa"/>
            <w:vAlign w:val="center"/>
          </w:tcPr>
          <w:p w:rsidR="00143178" w:rsidRDefault="003001DA">
            <w:pPr>
              <w:jc w:val="center"/>
            </w:pPr>
            <w:r>
              <w:rPr>
                <w:color w:val="000000"/>
                <w:sz w:val="24"/>
              </w:rPr>
              <w:t>中国中铁</w:t>
            </w:r>
          </w:p>
        </w:tc>
        <w:tc>
          <w:tcPr>
            <w:tcW w:w="1769" w:type="dxa"/>
            <w:vAlign w:val="center"/>
          </w:tcPr>
          <w:p w:rsidR="00143178" w:rsidRDefault="003001DA">
            <w:pPr>
              <w:jc w:val="right"/>
            </w:pPr>
            <w:r>
              <w:rPr>
                <w:color w:val="000000"/>
                <w:sz w:val="24"/>
              </w:rPr>
              <w:t>16,800</w:t>
            </w:r>
          </w:p>
        </w:tc>
        <w:tc>
          <w:tcPr>
            <w:tcW w:w="2211" w:type="dxa"/>
            <w:vAlign w:val="center"/>
          </w:tcPr>
          <w:p w:rsidR="00143178" w:rsidRDefault="003001DA">
            <w:pPr>
              <w:jc w:val="right"/>
            </w:pPr>
            <w:r>
              <w:rPr>
                <w:color w:val="000000"/>
                <w:sz w:val="24"/>
              </w:rPr>
              <w:t>130,536.00</w:t>
            </w:r>
          </w:p>
        </w:tc>
        <w:tc>
          <w:tcPr>
            <w:tcW w:w="1091" w:type="dxa"/>
            <w:vAlign w:val="center"/>
          </w:tcPr>
          <w:p w:rsidR="00143178" w:rsidRDefault="003001DA">
            <w:pPr>
              <w:jc w:val="right"/>
            </w:pPr>
            <w:r>
              <w:rPr>
                <w:color w:val="000000"/>
                <w:sz w:val="24"/>
              </w:rPr>
              <w:t>0.03</w:t>
            </w:r>
          </w:p>
        </w:tc>
      </w:tr>
      <w:tr w:rsidR="00143178">
        <w:trPr>
          <w:jc w:val="center"/>
        </w:trPr>
        <w:tc>
          <w:tcPr>
            <w:tcW w:w="849" w:type="dxa"/>
            <w:vAlign w:val="center"/>
          </w:tcPr>
          <w:p w:rsidR="00143178" w:rsidRDefault="003001DA">
            <w:pPr>
              <w:jc w:val="center"/>
            </w:pPr>
            <w:r>
              <w:rPr>
                <w:color w:val="000000"/>
                <w:sz w:val="24"/>
              </w:rPr>
              <w:t>10</w:t>
            </w:r>
          </w:p>
        </w:tc>
        <w:tc>
          <w:tcPr>
            <w:tcW w:w="1327" w:type="dxa"/>
            <w:vAlign w:val="center"/>
          </w:tcPr>
          <w:p w:rsidR="00143178" w:rsidRDefault="003001DA">
            <w:pPr>
              <w:jc w:val="center"/>
            </w:pPr>
            <w:r>
              <w:rPr>
                <w:color w:val="000000"/>
                <w:sz w:val="24"/>
              </w:rPr>
              <w:t>600900</w:t>
            </w:r>
          </w:p>
        </w:tc>
        <w:tc>
          <w:tcPr>
            <w:tcW w:w="1621" w:type="dxa"/>
            <w:vAlign w:val="center"/>
          </w:tcPr>
          <w:p w:rsidR="00143178" w:rsidRDefault="003001DA">
            <w:pPr>
              <w:jc w:val="center"/>
            </w:pPr>
            <w:r>
              <w:rPr>
                <w:color w:val="000000"/>
                <w:sz w:val="24"/>
              </w:rPr>
              <w:t>长江电力</w:t>
            </w:r>
          </w:p>
        </w:tc>
        <w:tc>
          <w:tcPr>
            <w:tcW w:w="1769" w:type="dxa"/>
            <w:vAlign w:val="center"/>
          </w:tcPr>
          <w:p w:rsidR="00143178" w:rsidRDefault="003001DA">
            <w:pPr>
              <w:jc w:val="right"/>
            </w:pPr>
            <w:r>
              <w:rPr>
                <w:color w:val="000000"/>
                <w:sz w:val="24"/>
              </w:rPr>
              <w:t>7,700</w:t>
            </w:r>
          </w:p>
        </w:tc>
        <w:tc>
          <w:tcPr>
            <w:tcW w:w="2211" w:type="dxa"/>
            <w:vAlign w:val="center"/>
          </w:tcPr>
          <w:p w:rsidR="00143178" w:rsidRDefault="003001DA">
            <w:pPr>
              <w:jc w:val="right"/>
            </w:pPr>
            <w:r>
              <w:rPr>
                <w:color w:val="000000"/>
                <w:sz w:val="24"/>
              </w:rPr>
              <w:t>126,126.00</w:t>
            </w:r>
          </w:p>
        </w:tc>
        <w:tc>
          <w:tcPr>
            <w:tcW w:w="1091" w:type="dxa"/>
            <w:vAlign w:val="center"/>
          </w:tcPr>
          <w:p w:rsidR="00143178" w:rsidRDefault="003001DA">
            <w:pPr>
              <w:jc w:val="right"/>
            </w:pPr>
            <w:r>
              <w:rPr>
                <w:color w:val="000000"/>
                <w:sz w:val="24"/>
              </w:rPr>
              <w:t>0.03</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lastRenderedPageBreak/>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报告期内本基金投资的前十名证券的发行主体除浦发银行（证券代码：</w:t>
      </w:r>
      <w:r w:rsidRPr="00120EC8">
        <w:rPr>
          <w:kern w:val="0"/>
          <w:sz w:val="24"/>
        </w:rPr>
        <w:t>600000</w:t>
      </w:r>
      <w:r w:rsidRPr="00120EC8">
        <w:rPr>
          <w:kern w:val="0"/>
          <w:sz w:val="24"/>
        </w:rPr>
        <w:t>）外，未出现被监管部门立案调查，或在报告编制日前一年内受到公开谴责、处罚的情形。</w:t>
      </w:r>
    </w:p>
    <w:p w:rsidR="00143178" w:rsidRDefault="003001DA">
      <w:pPr>
        <w:autoSpaceDE w:val="0"/>
        <w:autoSpaceDN w:val="0"/>
        <w:adjustRightInd w:val="0"/>
        <w:spacing w:before="29" w:line="288" w:lineRule="auto"/>
        <w:rPr>
          <w:kern w:val="0"/>
          <w:sz w:val="24"/>
        </w:rPr>
      </w:pPr>
      <w:r>
        <w:rPr>
          <w:kern w:val="0"/>
          <w:sz w:val="24"/>
        </w:rPr>
        <w:t>报告期内本基金投资的前十名证券之一浦发银行（证券代码：</w:t>
      </w:r>
      <w:r>
        <w:rPr>
          <w:kern w:val="0"/>
          <w:sz w:val="24"/>
        </w:rPr>
        <w:t>600000</w:t>
      </w:r>
      <w:r>
        <w:rPr>
          <w:kern w:val="0"/>
          <w:sz w:val="24"/>
        </w:rPr>
        <w:t>）于</w:t>
      </w:r>
      <w:r>
        <w:rPr>
          <w:kern w:val="0"/>
          <w:sz w:val="24"/>
        </w:rPr>
        <w:t>2018</w:t>
      </w:r>
      <w:r>
        <w:rPr>
          <w:kern w:val="0"/>
          <w:sz w:val="24"/>
        </w:rPr>
        <w:t>年</w:t>
      </w:r>
      <w:r>
        <w:rPr>
          <w:kern w:val="0"/>
          <w:sz w:val="24"/>
        </w:rPr>
        <w:t>1</w:t>
      </w:r>
      <w:r>
        <w:rPr>
          <w:kern w:val="0"/>
          <w:sz w:val="24"/>
        </w:rPr>
        <w:t>月</w:t>
      </w:r>
      <w:r>
        <w:rPr>
          <w:kern w:val="0"/>
          <w:sz w:val="24"/>
        </w:rPr>
        <w:t>20</w:t>
      </w:r>
      <w:r>
        <w:rPr>
          <w:kern w:val="0"/>
          <w:sz w:val="24"/>
        </w:rPr>
        <w:t>日收到中国银行业监督管理委员会四川监管局（以下简称</w:t>
      </w:r>
      <w:r>
        <w:rPr>
          <w:kern w:val="0"/>
          <w:sz w:val="24"/>
        </w:rPr>
        <w:t>“</w:t>
      </w:r>
      <w:r>
        <w:rPr>
          <w:kern w:val="0"/>
          <w:sz w:val="24"/>
        </w:rPr>
        <w:t>银监会四川监管局</w:t>
      </w:r>
      <w:r>
        <w:rPr>
          <w:kern w:val="0"/>
          <w:sz w:val="24"/>
        </w:rPr>
        <w:t>”</w:t>
      </w:r>
      <w:r>
        <w:rPr>
          <w:kern w:val="0"/>
          <w:sz w:val="24"/>
        </w:rPr>
        <w:t>）行政处罚决定书（川银监罚字【</w:t>
      </w:r>
      <w:r>
        <w:rPr>
          <w:kern w:val="0"/>
          <w:sz w:val="24"/>
        </w:rPr>
        <w:t>2018</w:t>
      </w:r>
      <w:r>
        <w:rPr>
          <w:kern w:val="0"/>
          <w:sz w:val="24"/>
        </w:rPr>
        <w:t>】</w:t>
      </w:r>
      <w:r>
        <w:rPr>
          <w:kern w:val="0"/>
          <w:sz w:val="24"/>
        </w:rPr>
        <w:t>2</w:t>
      </w:r>
      <w:r>
        <w:rPr>
          <w:kern w:val="0"/>
          <w:sz w:val="24"/>
        </w:rPr>
        <w:t>号）</w:t>
      </w:r>
      <w:r>
        <w:rPr>
          <w:kern w:val="0"/>
          <w:sz w:val="24"/>
        </w:rPr>
        <w:t>,</w:t>
      </w:r>
      <w:r>
        <w:rPr>
          <w:kern w:val="0"/>
          <w:sz w:val="24"/>
        </w:rPr>
        <w:t>对成都分行内控管理严重失效</w:t>
      </w:r>
      <w:r>
        <w:rPr>
          <w:kern w:val="0"/>
          <w:sz w:val="24"/>
        </w:rPr>
        <w:t>,</w:t>
      </w:r>
      <w:r>
        <w:rPr>
          <w:kern w:val="0"/>
          <w:sz w:val="24"/>
        </w:rPr>
        <w:t>授信管理违规，违规办理信贷业务等严重违反审慎经营规则的违规行为依法查处，执行罚款</w:t>
      </w:r>
      <w:r>
        <w:rPr>
          <w:kern w:val="0"/>
          <w:sz w:val="24"/>
        </w:rPr>
        <w:t>46,175</w:t>
      </w:r>
      <w:r>
        <w:rPr>
          <w:kern w:val="0"/>
          <w:sz w:val="24"/>
        </w:rPr>
        <w:t>万元人民币。</w:t>
      </w:r>
    </w:p>
    <w:p w:rsidR="00143178" w:rsidRDefault="003001DA">
      <w:pPr>
        <w:autoSpaceDE w:val="0"/>
        <w:autoSpaceDN w:val="0"/>
        <w:adjustRightInd w:val="0"/>
        <w:spacing w:before="29" w:line="288" w:lineRule="auto"/>
        <w:rPr>
          <w:kern w:val="0"/>
          <w:sz w:val="24"/>
        </w:rPr>
      </w:pPr>
      <w:r>
        <w:rPr>
          <w:kern w:val="0"/>
          <w:sz w:val="24"/>
        </w:rPr>
        <w:t>本基金遵循指数化投资理念，本基金通过把全部或接近全部的基金资产投资于目标</w:t>
      </w:r>
      <w:r>
        <w:rPr>
          <w:kern w:val="0"/>
          <w:sz w:val="24"/>
        </w:rPr>
        <w:t>ETF</w:t>
      </w:r>
      <w:r>
        <w:rPr>
          <w:kern w:val="0"/>
          <w:sz w:val="24"/>
        </w:rPr>
        <w:t>、标的指数成份股和备选成份股进行被动式指数化投资。本基金对该证券的投资遵守本基金管理人基金投资</w:t>
      </w:r>
      <w:r>
        <w:rPr>
          <w:kern w:val="0"/>
          <w:sz w:val="24"/>
        </w:rPr>
        <w:t>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5,108.96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4,318.36</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53,914.04</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lastRenderedPageBreak/>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63,341.36</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037B5D" w:rsidP="00820FB9">
      <w:pPr>
        <w:pStyle w:val="1"/>
        <w:spacing w:beforeLines="100" w:before="312" w:afterLines="100" w:after="312" w:line="288" w:lineRule="auto"/>
        <w:jc w:val="center"/>
        <w:rPr>
          <w:kern w:val="0"/>
          <w:sz w:val="24"/>
          <w:szCs w:val="24"/>
        </w:rPr>
      </w:pPr>
      <w:r>
        <w:rPr>
          <w:rFonts w:eastAsiaTheme="minorEastAsia"/>
          <w:color w:val="000000" w:themeColor="text1"/>
          <w:kern w:val="0"/>
          <w:sz w:val="21"/>
          <w:szCs w:val="21"/>
        </w:rPr>
        <w:t>§6</w:t>
      </w:r>
      <w:r w:rsidR="00805F23">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327,207,710.68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4,764,663.87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4,331,554.96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327,640,819.59</w:t>
            </w:r>
          </w:p>
        </w:tc>
      </w:tr>
    </w:tbl>
    <w:p w:rsidR="00143178" w:rsidRDefault="003001DA">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820FB9">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037B5D">
        <w:rPr>
          <w:rFonts w:eastAsiaTheme="minorEastAsia"/>
          <w:color w:val="000000"/>
          <w:kern w:val="0"/>
          <w:sz w:val="24"/>
          <w:szCs w:val="24"/>
        </w:rPr>
        <w:t>7</w:t>
      </w:r>
      <w:r w:rsidR="00F229B7" w:rsidRPr="00F229B7">
        <w:rPr>
          <w:rFonts w:eastAsiaTheme="minorEastAsia"/>
          <w:color w:val="000000"/>
          <w:kern w:val="0"/>
          <w:sz w:val="24"/>
          <w:szCs w:val="24"/>
        </w:rPr>
        <w:t xml:space="preserve">  </w:t>
      </w:r>
      <w:r w:rsidR="00F229B7" w:rsidRPr="00F229B7">
        <w:rPr>
          <w:sz w:val="24"/>
          <w:szCs w:val="24"/>
        </w:rPr>
        <w:t>基金管理人运用固有资金投资本基金情况</w:t>
      </w:r>
    </w:p>
    <w:p w:rsidR="00F229B7" w:rsidRPr="00F229B7" w:rsidRDefault="00037B5D" w:rsidP="00B04217">
      <w:pPr>
        <w:spacing w:line="288" w:lineRule="auto"/>
        <w:jc w:val="left"/>
        <w:rPr>
          <w:sz w:val="24"/>
        </w:rPr>
      </w:pPr>
      <w:r>
        <w:rPr>
          <w:b/>
          <w:sz w:val="24"/>
        </w:rPr>
        <w:t>7</w:t>
      </w:r>
      <w:r w:rsidR="00F229B7" w:rsidRPr="00F229B7">
        <w:rPr>
          <w:b/>
          <w:sz w:val="24"/>
        </w:rPr>
        <w:t xml:space="preserve">.1 </w:t>
      </w:r>
      <w:r w:rsidR="00F229B7"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037B5D" w:rsidP="009744C4">
      <w:pPr>
        <w:spacing w:line="288" w:lineRule="auto"/>
        <w:jc w:val="left"/>
        <w:rPr>
          <w:rFonts w:eastAsiaTheme="minorEastAsia"/>
          <w:b/>
          <w:color w:val="000000"/>
          <w:sz w:val="24"/>
        </w:rPr>
      </w:pPr>
      <w:r>
        <w:rPr>
          <w:b/>
          <w:sz w:val="24"/>
        </w:rPr>
        <w:t>7</w:t>
      </w:r>
      <w:r w:rsidR="00F229B7" w:rsidRPr="00F20F7C">
        <w:rPr>
          <w:b/>
          <w:sz w:val="24"/>
        </w:rPr>
        <w:t xml:space="preserve">.2 </w:t>
      </w:r>
      <w:r w:rsidR="00F229B7"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820FB9">
      <w:pPr>
        <w:pStyle w:val="1"/>
        <w:spacing w:beforeLines="100" w:before="312" w:afterLines="100" w:after="312" w:line="288" w:lineRule="auto"/>
        <w:jc w:val="center"/>
        <w:rPr>
          <w:kern w:val="0"/>
          <w:sz w:val="24"/>
          <w:szCs w:val="24"/>
        </w:rPr>
      </w:pPr>
      <w:r w:rsidRPr="00324C76">
        <w:rPr>
          <w:kern w:val="0"/>
          <w:sz w:val="24"/>
          <w:szCs w:val="24"/>
        </w:rPr>
        <w:lastRenderedPageBreak/>
        <w:t>§</w:t>
      </w:r>
      <w:r w:rsidR="00037B5D">
        <w:rPr>
          <w:kern w:val="0"/>
          <w:sz w:val="24"/>
          <w:szCs w:val="24"/>
        </w:rPr>
        <w:t>8</w:t>
      </w:r>
      <w:r w:rsidR="00C66A9E">
        <w:rPr>
          <w:kern w:val="0"/>
          <w:sz w:val="24"/>
          <w:szCs w:val="24"/>
        </w:rPr>
        <w:t xml:space="preserve">  </w:t>
      </w:r>
      <w:r w:rsidRPr="00324C76">
        <w:rPr>
          <w:kern w:val="0"/>
          <w:sz w:val="24"/>
          <w:szCs w:val="24"/>
        </w:rPr>
        <w:t>备查文件目录</w:t>
      </w:r>
    </w:p>
    <w:p w:rsidR="00220542" w:rsidRPr="00324C76" w:rsidRDefault="00037B5D" w:rsidP="00B04217">
      <w:pPr>
        <w:spacing w:before="29" w:line="288" w:lineRule="auto"/>
        <w:rPr>
          <w:b/>
          <w:sz w:val="24"/>
        </w:rPr>
      </w:pPr>
      <w:r>
        <w:rPr>
          <w:b/>
          <w:sz w:val="24"/>
        </w:rPr>
        <w:t>8</w:t>
      </w:r>
      <w:r w:rsidR="00220542" w:rsidRPr="00324C76">
        <w:rPr>
          <w:b/>
          <w:sz w:val="24"/>
        </w:rPr>
        <w:t>.</w:t>
      </w:r>
      <w:r w:rsidR="0083066D" w:rsidRPr="00324C76">
        <w:rPr>
          <w:b/>
          <w:sz w:val="24"/>
        </w:rPr>
        <w:t>1</w:t>
      </w:r>
      <w:r w:rsidR="00220542" w:rsidRPr="00324C76">
        <w:rPr>
          <w:b/>
          <w:sz w:val="24"/>
        </w:rPr>
        <w:t>备查文件目录</w:t>
      </w:r>
    </w:p>
    <w:p w:rsidR="00143178" w:rsidRDefault="003001DA">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143178" w:rsidRDefault="003001DA">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143178" w:rsidRDefault="003001DA">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143178" w:rsidRDefault="003001DA">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143178" w:rsidRDefault="003001DA">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143178" w:rsidRDefault="003001D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143178" w:rsidRDefault="003001D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037B5D" w:rsidP="00B04217">
      <w:pPr>
        <w:spacing w:before="29" w:line="288" w:lineRule="auto"/>
        <w:rPr>
          <w:b/>
          <w:sz w:val="24"/>
        </w:rPr>
      </w:pPr>
      <w:r>
        <w:rPr>
          <w:b/>
          <w:sz w:val="24"/>
        </w:rPr>
        <w:t>8</w:t>
      </w:r>
      <w:r w:rsidR="0083066D" w:rsidRPr="00324C76">
        <w:rPr>
          <w:b/>
          <w:sz w:val="24"/>
        </w:rPr>
        <w:t>.2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037B5D" w:rsidP="00B04217">
      <w:pPr>
        <w:spacing w:before="29" w:line="288" w:lineRule="auto"/>
        <w:rPr>
          <w:b/>
          <w:sz w:val="24"/>
        </w:rPr>
      </w:pPr>
      <w:r>
        <w:rPr>
          <w:b/>
          <w:sz w:val="24"/>
        </w:rPr>
        <w:t>8</w:t>
      </w:r>
      <w:bookmarkStart w:id="1" w:name="_GoBack"/>
      <w:bookmarkEnd w:id="1"/>
      <w:r w:rsidR="0083066D" w:rsidRPr="00324C76">
        <w:rPr>
          <w:b/>
          <w:sz w:val="24"/>
        </w:rPr>
        <w:t>.3</w:t>
      </w:r>
      <w:r w:rsidR="00220542" w:rsidRPr="00324C76">
        <w:rPr>
          <w:b/>
          <w:sz w:val="24"/>
        </w:rPr>
        <w:t>查阅方式</w:t>
      </w:r>
    </w:p>
    <w:p w:rsidR="00143178" w:rsidRDefault="003001DA">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01DA" w:rsidRDefault="003001DA">
      <w:r>
        <w:separator/>
      </w:r>
    </w:p>
  </w:endnote>
  <w:endnote w:type="continuationSeparator" w:id="0">
    <w:p w:rsidR="003001DA" w:rsidRDefault="0030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278A8">
      <w:rPr>
        <w:kern w:val="0"/>
        <w:szCs w:val="21"/>
      </w:rPr>
      <w:fldChar w:fldCharType="begin"/>
    </w:r>
    <w:r>
      <w:rPr>
        <w:kern w:val="0"/>
        <w:szCs w:val="21"/>
      </w:rPr>
      <w:instrText xml:space="preserve"> PAGE </w:instrText>
    </w:r>
    <w:r w:rsidR="00D278A8">
      <w:rPr>
        <w:kern w:val="0"/>
        <w:szCs w:val="21"/>
      </w:rPr>
      <w:fldChar w:fldCharType="separate"/>
    </w:r>
    <w:r w:rsidR="00037B5D">
      <w:rPr>
        <w:noProof/>
        <w:kern w:val="0"/>
        <w:szCs w:val="21"/>
      </w:rPr>
      <w:t>12</w:t>
    </w:r>
    <w:r w:rsidR="00D278A8">
      <w:rPr>
        <w:kern w:val="0"/>
        <w:szCs w:val="21"/>
      </w:rPr>
      <w:fldChar w:fldCharType="end"/>
    </w:r>
    <w:r>
      <w:rPr>
        <w:rFonts w:hint="eastAsia"/>
        <w:kern w:val="0"/>
        <w:szCs w:val="21"/>
      </w:rPr>
      <w:t>页共</w:t>
    </w:r>
    <w:r w:rsidR="00D278A8">
      <w:rPr>
        <w:kern w:val="0"/>
        <w:szCs w:val="21"/>
      </w:rPr>
      <w:fldChar w:fldCharType="begin"/>
    </w:r>
    <w:r>
      <w:rPr>
        <w:kern w:val="0"/>
        <w:szCs w:val="21"/>
      </w:rPr>
      <w:instrText xml:space="preserve"> NUMPAGES </w:instrText>
    </w:r>
    <w:r w:rsidR="00D278A8">
      <w:rPr>
        <w:kern w:val="0"/>
        <w:szCs w:val="21"/>
      </w:rPr>
      <w:fldChar w:fldCharType="separate"/>
    </w:r>
    <w:r w:rsidR="00037B5D">
      <w:rPr>
        <w:noProof/>
        <w:kern w:val="0"/>
        <w:szCs w:val="21"/>
      </w:rPr>
      <w:t>13</w:t>
    </w:r>
    <w:r w:rsidR="00D278A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D278A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01DA" w:rsidRDefault="003001DA">
      <w:r>
        <w:separator/>
      </w:r>
    </w:p>
  </w:footnote>
  <w:footnote w:type="continuationSeparator" w:id="0">
    <w:p w:rsidR="003001DA" w:rsidRDefault="00300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交银施罗德上证</w:t>
    </w:r>
    <w:r w:rsidRPr="003E676C">
      <w:rPr>
        <w:sz w:val="24"/>
        <w:szCs w:val="24"/>
      </w:rPr>
      <w:t>180</w:t>
    </w:r>
    <w:r w:rsidRPr="003E676C">
      <w:rPr>
        <w:sz w:val="24"/>
        <w:szCs w:val="24"/>
      </w:rPr>
      <w:t>公司治理交易型开放式指数证券投资基金联接基金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B5D"/>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3178"/>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1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CA07F03-036C-44CA-B7DF-6AAC0E29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BA19-5301-40B6-9245-DD051345D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340</TotalTime>
  <Pages>13</Pages>
  <Words>1110</Words>
  <Characters>6332</Characters>
  <Application>Microsoft Office Word</Application>
  <DocSecurity>0</DocSecurity>
  <Lines>52</Lines>
  <Paragraphs>14</Paragraphs>
  <ScaleCrop>false</ScaleCrop>
  <Company>TRT. Ltd. Co.</Company>
  <LinksUpToDate>false</LinksUpToDate>
  <CharactersWithSpaces>7428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汤程翔</cp:lastModifiedBy>
  <cp:revision>414</cp:revision>
  <cp:lastPrinted>2007-07-19T00:46:00Z</cp:lastPrinted>
  <dcterms:created xsi:type="dcterms:W3CDTF">2012-11-13T02:08:00Z</dcterms:created>
  <dcterms:modified xsi:type="dcterms:W3CDTF">2019-04-15T07:12:00Z</dcterms:modified>
</cp:coreProperties>
</file>