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12658D" w:rsidRPr="00324C76" w:rsidRDefault="0012658D" w:rsidP="00B04217">
      <w:pPr>
        <w:autoSpaceDE w:val="0"/>
        <w:autoSpaceDN w:val="0"/>
        <w:adjustRightInd w:val="0"/>
        <w:spacing w:before="29" w:line="288" w:lineRule="auto"/>
        <w:jc w:val="left"/>
        <w:rPr>
          <w:color w:val="000000"/>
          <w:kern w:val="0"/>
          <w:sz w:val="24"/>
        </w:rPr>
      </w:pPr>
    </w:p>
    <w:p w:rsidR="0012658D" w:rsidRPr="006C615F" w:rsidRDefault="0012658D" w:rsidP="00B04217">
      <w:pPr>
        <w:spacing w:before="29" w:line="288" w:lineRule="auto"/>
        <w:jc w:val="center"/>
        <w:rPr>
          <w:b/>
          <w:sz w:val="36"/>
          <w:szCs w:val="36"/>
        </w:rPr>
      </w:pPr>
      <w:r w:rsidRPr="006C615F">
        <w:rPr>
          <w:b/>
          <w:sz w:val="36"/>
          <w:szCs w:val="36"/>
        </w:rPr>
        <w:t>交银施罗德上证</w:t>
      </w:r>
      <w:r w:rsidRPr="006C615F">
        <w:rPr>
          <w:b/>
          <w:sz w:val="36"/>
          <w:szCs w:val="36"/>
        </w:rPr>
        <w:t>180</w:t>
      </w:r>
      <w:r w:rsidRPr="006C615F">
        <w:rPr>
          <w:b/>
          <w:sz w:val="36"/>
          <w:szCs w:val="36"/>
        </w:rPr>
        <w:t>公司治理交易型开放式指数证券投资基金联接基金</w:t>
      </w:r>
    </w:p>
    <w:p w:rsidR="0012658D" w:rsidRPr="006C615F" w:rsidRDefault="0012658D" w:rsidP="00B04217">
      <w:pPr>
        <w:spacing w:before="29" w:line="288" w:lineRule="auto"/>
        <w:jc w:val="center"/>
        <w:rPr>
          <w:b/>
          <w:sz w:val="36"/>
          <w:szCs w:val="36"/>
        </w:rPr>
      </w:pPr>
      <w:r w:rsidRPr="006C615F">
        <w:rPr>
          <w:b/>
          <w:sz w:val="36"/>
          <w:szCs w:val="36"/>
        </w:rPr>
        <w:t>2018</w:t>
      </w:r>
      <w:r w:rsidRPr="006C615F">
        <w:rPr>
          <w:b/>
          <w:sz w:val="36"/>
          <w:szCs w:val="36"/>
        </w:rPr>
        <w:t>年第</w:t>
      </w:r>
      <w:r w:rsidRPr="006C615F">
        <w:rPr>
          <w:b/>
          <w:sz w:val="36"/>
          <w:szCs w:val="36"/>
        </w:rPr>
        <w:t>2</w:t>
      </w:r>
      <w:r w:rsidRPr="006C615F">
        <w:rPr>
          <w:b/>
          <w:sz w:val="36"/>
          <w:szCs w:val="36"/>
        </w:rPr>
        <w:t>季度报告</w:t>
      </w:r>
    </w:p>
    <w:p w:rsidR="00943748" w:rsidRPr="006C615F" w:rsidRDefault="003251EE" w:rsidP="00B04217">
      <w:pPr>
        <w:spacing w:before="29" w:line="288" w:lineRule="auto"/>
        <w:jc w:val="center"/>
        <w:rPr>
          <w:b/>
          <w:sz w:val="36"/>
          <w:szCs w:val="36"/>
        </w:rPr>
      </w:pPr>
      <w:r w:rsidRPr="006C615F">
        <w:rPr>
          <w:b/>
          <w:sz w:val="36"/>
          <w:szCs w:val="36"/>
        </w:rPr>
        <w:t>2018</w:t>
      </w:r>
      <w:r w:rsidRPr="006C615F">
        <w:rPr>
          <w:b/>
          <w:sz w:val="36"/>
          <w:szCs w:val="36"/>
        </w:rPr>
        <w:t>年</w:t>
      </w:r>
      <w:r w:rsidRPr="006C615F">
        <w:rPr>
          <w:b/>
          <w:sz w:val="36"/>
          <w:szCs w:val="36"/>
        </w:rPr>
        <w:t>6</w:t>
      </w:r>
      <w:r w:rsidRPr="006C615F">
        <w:rPr>
          <w:b/>
          <w:sz w:val="36"/>
          <w:szCs w:val="36"/>
        </w:rPr>
        <w:t>月</w:t>
      </w:r>
      <w:r w:rsidRPr="006C615F">
        <w:rPr>
          <w:b/>
          <w:sz w:val="36"/>
          <w:szCs w:val="36"/>
        </w:rPr>
        <w:t>30</w:t>
      </w:r>
      <w:r w:rsidRPr="006C615F">
        <w:rPr>
          <w:b/>
          <w:sz w:val="36"/>
          <w:szCs w:val="36"/>
        </w:rPr>
        <w:t>日</w:t>
      </w: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rPr>
          <w:b/>
          <w:sz w:val="24"/>
        </w:rPr>
      </w:pP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基金管理人：</w:t>
      </w:r>
      <w:r w:rsidR="00446302" w:rsidRPr="006C615F">
        <w:rPr>
          <w:b/>
          <w:color w:val="000000"/>
          <w:sz w:val="24"/>
        </w:rPr>
        <w:t>交银施罗德基金管理有限公司</w:t>
      </w: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基金托管人：</w:t>
      </w:r>
      <w:r w:rsidR="00446302" w:rsidRPr="006C615F">
        <w:rPr>
          <w:b/>
          <w:color w:val="000000"/>
          <w:sz w:val="24"/>
        </w:rPr>
        <w:t>中国农业银行股份有限公司</w:t>
      </w:r>
    </w:p>
    <w:p w:rsidR="00943748" w:rsidRPr="006C615F" w:rsidRDefault="00943748" w:rsidP="00B04217">
      <w:pPr>
        <w:spacing w:before="29" w:line="288" w:lineRule="auto"/>
        <w:ind w:firstLineChars="900" w:firstLine="2168"/>
        <w:rPr>
          <w:b/>
          <w:color w:val="000000"/>
          <w:sz w:val="24"/>
        </w:rPr>
        <w:sectPr w:rsidR="00943748" w:rsidRPr="006C615F" w:rsidSect="00E74491">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6C615F">
        <w:rPr>
          <w:b/>
          <w:color w:val="000000"/>
          <w:sz w:val="24"/>
        </w:rPr>
        <w:t>报告送出日期：</w:t>
      </w:r>
      <w:r w:rsidR="00AB5C7D" w:rsidRPr="006C615F">
        <w:rPr>
          <w:b/>
          <w:color w:val="000000"/>
          <w:sz w:val="24"/>
        </w:rPr>
        <w:t>二〇一八年七月十八日</w:t>
      </w:r>
    </w:p>
    <w:p w:rsidR="00220542" w:rsidRPr="00324C76" w:rsidRDefault="00220542" w:rsidP="00AE0465">
      <w:pPr>
        <w:pStyle w:val="1"/>
        <w:spacing w:beforeLines="100" w:before="312" w:afterLines="100" w:after="312" w:line="288" w:lineRule="auto"/>
        <w:jc w:val="center"/>
        <w:rPr>
          <w:b w:val="0"/>
          <w:kern w:val="0"/>
          <w:sz w:val="24"/>
          <w:szCs w:val="24"/>
        </w:rPr>
      </w:pPr>
      <w:r w:rsidRPr="00324C76">
        <w:rPr>
          <w:kern w:val="0"/>
          <w:sz w:val="24"/>
          <w:szCs w:val="24"/>
        </w:rPr>
        <w:lastRenderedPageBreak/>
        <w:t xml:space="preserve">§1  </w:t>
      </w:r>
      <w:r w:rsidRPr="00324C76">
        <w:rPr>
          <w:kern w:val="0"/>
          <w:sz w:val="24"/>
          <w:szCs w:val="24"/>
        </w:rPr>
        <w:t>重要提示</w:t>
      </w:r>
    </w:p>
    <w:p w:rsidR="000F523A" w:rsidRDefault="00B4127A">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F523A" w:rsidRDefault="00B4127A">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7</w:t>
      </w:r>
      <w:r>
        <w:rPr>
          <w:color w:val="000000"/>
          <w:sz w:val="24"/>
        </w:rPr>
        <w:t>月</w:t>
      </w:r>
      <w:r>
        <w:rPr>
          <w:color w:val="000000"/>
          <w:sz w:val="24"/>
        </w:rPr>
        <w:t>17</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F523A" w:rsidRDefault="00B4127A">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F523A" w:rsidRDefault="00B4127A">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0F523A" w:rsidRDefault="00B4127A">
      <w:pPr>
        <w:spacing w:before="29" w:line="288" w:lineRule="auto"/>
        <w:ind w:firstLineChars="200" w:firstLine="480"/>
        <w:rPr>
          <w:color w:val="000000"/>
          <w:sz w:val="24"/>
        </w:rPr>
      </w:pPr>
      <w:r>
        <w:rPr>
          <w:color w:val="000000"/>
          <w:sz w:val="24"/>
        </w:rPr>
        <w:t>本报告中财务资料未经审计。</w:t>
      </w:r>
    </w:p>
    <w:p w:rsidR="00220542" w:rsidRPr="00324C76" w:rsidRDefault="00446302" w:rsidP="00B04217">
      <w:pPr>
        <w:spacing w:before="29" w:line="288" w:lineRule="auto"/>
        <w:ind w:firstLineChars="200" w:firstLine="480"/>
        <w:rPr>
          <w:color w:val="000000"/>
          <w:sz w:val="24"/>
        </w:rPr>
      </w:pPr>
      <w:r w:rsidRPr="00324C76">
        <w:rPr>
          <w:color w:val="000000"/>
          <w:sz w:val="24"/>
        </w:rPr>
        <w:t>本报告期自</w:t>
      </w:r>
      <w:r w:rsidRPr="00324C76">
        <w:rPr>
          <w:color w:val="000000"/>
          <w:sz w:val="24"/>
        </w:rPr>
        <w:t>2018</w:t>
      </w:r>
      <w:r w:rsidRPr="00324C76">
        <w:rPr>
          <w:color w:val="000000"/>
          <w:sz w:val="24"/>
        </w:rPr>
        <w:t>年</w:t>
      </w:r>
      <w:r w:rsidRPr="00324C76">
        <w:rPr>
          <w:color w:val="000000"/>
          <w:sz w:val="24"/>
        </w:rPr>
        <w:t>4</w:t>
      </w:r>
      <w:r w:rsidRPr="00324C76">
        <w:rPr>
          <w:color w:val="000000"/>
          <w:sz w:val="24"/>
        </w:rPr>
        <w:t>月</w:t>
      </w:r>
      <w:r w:rsidRPr="00324C76">
        <w:rPr>
          <w:color w:val="000000"/>
          <w:sz w:val="24"/>
        </w:rPr>
        <w:t>1</w:t>
      </w:r>
      <w:r w:rsidRPr="00324C76">
        <w:rPr>
          <w:color w:val="000000"/>
          <w:sz w:val="24"/>
        </w:rPr>
        <w:t>日起至</w:t>
      </w:r>
      <w:r w:rsidRPr="00324C76">
        <w:rPr>
          <w:color w:val="000000"/>
          <w:sz w:val="24"/>
        </w:rPr>
        <w:t>6</w:t>
      </w:r>
      <w:r w:rsidRPr="00324C76">
        <w:rPr>
          <w:color w:val="000000"/>
          <w:sz w:val="24"/>
        </w:rPr>
        <w:t>月</w:t>
      </w:r>
      <w:r w:rsidRPr="00324C76">
        <w:rPr>
          <w:color w:val="000000"/>
          <w:sz w:val="24"/>
        </w:rPr>
        <w:t>30</w:t>
      </w:r>
      <w:r w:rsidRPr="00324C76">
        <w:rPr>
          <w:color w:val="000000"/>
          <w:sz w:val="24"/>
        </w:rPr>
        <w:t>日止。</w:t>
      </w:r>
    </w:p>
    <w:p w:rsidR="002A5D65" w:rsidRPr="00324C76" w:rsidRDefault="002A5D65" w:rsidP="00B04217">
      <w:pPr>
        <w:spacing w:before="29" w:line="288" w:lineRule="auto"/>
        <w:ind w:firstLineChars="200" w:firstLine="480"/>
        <w:rPr>
          <w:sz w:val="24"/>
        </w:rPr>
      </w:pPr>
    </w:p>
    <w:p w:rsidR="00220542" w:rsidRPr="00324C76" w:rsidRDefault="00220542" w:rsidP="00AE0465">
      <w:pPr>
        <w:pStyle w:val="1"/>
        <w:spacing w:beforeLines="100" w:before="312" w:afterLines="100" w:after="312" w:line="288" w:lineRule="auto"/>
        <w:jc w:val="center"/>
        <w:rPr>
          <w:kern w:val="0"/>
          <w:sz w:val="24"/>
          <w:szCs w:val="24"/>
        </w:rPr>
      </w:pPr>
      <w:r w:rsidRPr="00324C76">
        <w:rPr>
          <w:kern w:val="0"/>
          <w:sz w:val="24"/>
          <w:szCs w:val="24"/>
        </w:rPr>
        <w:t xml:space="preserve">§2  </w:t>
      </w:r>
      <w:r w:rsidRPr="00324C76">
        <w:rPr>
          <w:kern w:val="0"/>
          <w:sz w:val="24"/>
          <w:szCs w:val="24"/>
        </w:rPr>
        <w:t>基金产品概况</w:t>
      </w:r>
    </w:p>
    <w:p w:rsidR="00B72596" w:rsidRPr="00324C76" w:rsidRDefault="00B72596" w:rsidP="00B04217">
      <w:pPr>
        <w:pStyle w:val="2"/>
        <w:keepNext w:val="0"/>
        <w:keepLines w:val="0"/>
        <w:spacing w:before="29" w:after="0" w:line="288" w:lineRule="auto"/>
        <w:rPr>
          <w:rFonts w:ascii="Times New Roman" w:hAnsi="Times New Roman" w:cs="Times New Roman"/>
          <w:szCs w:val="24"/>
        </w:rPr>
      </w:pPr>
      <w:bookmarkStart w:id="0" w:name="_Toc245193810"/>
      <w:r w:rsidRPr="00324C76">
        <w:rPr>
          <w:rFonts w:ascii="Times New Roman" w:hAnsi="Times New Roman" w:cs="Times New Roman"/>
          <w:szCs w:val="24"/>
        </w:rPr>
        <w:t>2.1</w:t>
      </w:r>
      <w:bookmarkEnd w:id="0"/>
      <w:r w:rsidR="00597E06">
        <w:rPr>
          <w:rFonts w:ascii="Times New Roman" w:hAnsi="Times New Roman" w:cs="Times New Roman"/>
          <w:szCs w:val="24"/>
        </w:rPr>
        <w:t xml:space="preserve"> </w:t>
      </w:r>
      <w:r w:rsidR="00D33822" w:rsidRPr="00324C76">
        <w:rPr>
          <w:rFonts w:ascii="Times New Roman" w:hAnsi="Times New Roman" w:cs="Times New Roman"/>
          <w:szCs w:val="24"/>
        </w:rPr>
        <w:t>基金基本情况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kern w:val="0"/>
                <w:sz w:val="24"/>
              </w:rPr>
            </w:pPr>
            <w:r w:rsidRPr="00324C76">
              <w:rPr>
                <w:kern w:val="0"/>
                <w:sz w:val="24"/>
              </w:rPr>
              <w:t>基金简称</w:t>
            </w:r>
          </w:p>
        </w:tc>
        <w:tc>
          <w:tcPr>
            <w:tcW w:w="5845" w:type="dxa"/>
            <w:gridSpan w:val="2"/>
            <w:vAlign w:val="center"/>
          </w:tcPr>
          <w:p w:rsidR="00446302" w:rsidRPr="00324C76" w:rsidRDefault="00446302" w:rsidP="00B04217">
            <w:pPr>
              <w:adjustRightInd w:val="0"/>
              <w:spacing w:before="29" w:line="288" w:lineRule="auto"/>
              <w:ind w:left="17"/>
              <w:jc w:val="left"/>
              <w:rPr>
                <w:color w:val="000000"/>
                <w:kern w:val="0"/>
                <w:sz w:val="24"/>
              </w:rPr>
            </w:pPr>
            <w:r w:rsidRPr="00324C76">
              <w:rPr>
                <w:color w:val="000000"/>
                <w:kern w:val="0"/>
                <w:sz w:val="24"/>
              </w:rPr>
              <w:t>交银上证</w:t>
            </w:r>
            <w:r w:rsidRPr="00324C76">
              <w:rPr>
                <w:color w:val="000000"/>
                <w:kern w:val="0"/>
                <w:sz w:val="24"/>
              </w:rPr>
              <w:t>180</w:t>
            </w:r>
            <w:r w:rsidRPr="00324C76">
              <w:rPr>
                <w:color w:val="000000"/>
                <w:kern w:val="0"/>
                <w:sz w:val="24"/>
              </w:rPr>
              <w:t>公司治理</w:t>
            </w:r>
            <w:r w:rsidRPr="00324C76">
              <w:rPr>
                <w:color w:val="000000"/>
                <w:kern w:val="0"/>
                <w:sz w:val="24"/>
              </w:rPr>
              <w:t>ETF</w:t>
            </w:r>
            <w:r w:rsidRPr="00324C76">
              <w:rPr>
                <w:color w:val="000000"/>
                <w:kern w:val="0"/>
                <w:sz w:val="24"/>
              </w:rPr>
              <w:t>联接</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519686</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519686</w:t>
            </w:r>
            <w:r w:rsidR="003C6409" w:rsidRPr="00324C76">
              <w:rPr>
                <w:color w:val="000000"/>
                <w:kern w:val="0"/>
                <w:sz w:val="24"/>
              </w:rPr>
              <w:t>(</w:t>
            </w:r>
            <w:r w:rsidR="00526BBC" w:rsidRPr="00324C76">
              <w:rPr>
                <w:color w:val="000000"/>
                <w:kern w:val="0"/>
                <w:sz w:val="24"/>
              </w:rPr>
              <w:t>前端</w:t>
            </w:r>
            <w:r w:rsidR="003C6409" w:rsidRPr="00324C76">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519687</w:t>
            </w:r>
            <w:r w:rsidR="003C6409" w:rsidRPr="00324C76">
              <w:rPr>
                <w:color w:val="000000"/>
                <w:kern w:val="0"/>
                <w:sz w:val="24"/>
              </w:rPr>
              <w:t>(</w:t>
            </w:r>
            <w:r w:rsidRPr="00324C76">
              <w:rPr>
                <w:color w:val="000000"/>
                <w:kern w:val="0"/>
                <w:sz w:val="24"/>
              </w:rPr>
              <w:t>后端</w:t>
            </w:r>
            <w:r w:rsidR="003C6409"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基金运作方式</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契约型开放式</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基金合同生效日</w:t>
            </w:r>
          </w:p>
        </w:tc>
        <w:tc>
          <w:tcPr>
            <w:tcW w:w="5845" w:type="dxa"/>
            <w:gridSpan w:val="2"/>
            <w:vAlign w:val="center"/>
          </w:tcPr>
          <w:p w:rsidR="00446302" w:rsidRPr="00324C76" w:rsidRDefault="00C26024" w:rsidP="00B04217">
            <w:pPr>
              <w:adjustRightInd w:val="0"/>
              <w:spacing w:before="29" w:line="288" w:lineRule="auto"/>
              <w:ind w:left="17"/>
              <w:jc w:val="left"/>
              <w:rPr>
                <w:color w:val="000000"/>
                <w:sz w:val="24"/>
              </w:rPr>
            </w:pPr>
            <w:r w:rsidRPr="00324C76">
              <w:rPr>
                <w:color w:val="000000"/>
                <w:kern w:val="0"/>
                <w:sz w:val="24"/>
              </w:rPr>
              <w:t>2009</w:t>
            </w:r>
            <w:r w:rsidRPr="00324C76">
              <w:rPr>
                <w:color w:val="000000"/>
                <w:kern w:val="0"/>
                <w:sz w:val="24"/>
              </w:rPr>
              <w:t>年</w:t>
            </w:r>
            <w:r w:rsidRPr="00324C76">
              <w:rPr>
                <w:color w:val="000000"/>
                <w:kern w:val="0"/>
                <w:sz w:val="24"/>
              </w:rPr>
              <w:t>9</w:t>
            </w:r>
            <w:r w:rsidRPr="00324C76">
              <w:rPr>
                <w:color w:val="000000"/>
                <w:kern w:val="0"/>
                <w:sz w:val="24"/>
              </w:rPr>
              <w:t>月</w:t>
            </w:r>
            <w:r w:rsidRPr="00324C76">
              <w:rPr>
                <w:color w:val="000000"/>
                <w:kern w:val="0"/>
                <w:sz w:val="24"/>
              </w:rPr>
              <w:t>29</w:t>
            </w:r>
            <w:r w:rsidRPr="00324C76">
              <w:rPr>
                <w:color w:val="000000"/>
                <w:kern w:val="0"/>
                <w:sz w:val="24"/>
              </w:rPr>
              <w:t>日</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报告期末基金份额总额</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327,207,710.68</w:t>
            </w:r>
            <w:r w:rsidR="0083349B" w:rsidRPr="00324C76">
              <w:rPr>
                <w:color w:val="000000"/>
                <w:kern w:val="0"/>
                <w:sz w:val="24"/>
              </w:rPr>
              <w:t>份</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投资目标</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紧密跟踪标的指数，追求跟踪偏离度与跟踪误差最小化。</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投资策略</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本基金通过把全部或接近全部的基金资产投资于目标</w:t>
            </w:r>
            <w:r w:rsidRPr="00324C76">
              <w:rPr>
                <w:color w:val="000000"/>
                <w:kern w:val="0"/>
                <w:sz w:val="24"/>
              </w:rPr>
              <w:t>ETF</w:t>
            </w:r>
            <w:r w:rsidRPr="00324C76">
              <w:rPr>
                <w:color w:val="000000"/>
                <w:kern w:val="0"/>
                <w:sz w:val="24"/>
              </w:rPr>
              <w:t>、标的指数成份股和备选成份股进行被动式指数化投资，正常情况下投资于目标</w:t>
            </w:r>
            <w:r w:rsidRPr="00324C76">
              <w:rPr>
                <w:color w:val="000000"/>
                <w:kern w:val="0"/>
                <w:sz w:val="24"/>
              </w:rPr>
              <w:t>ETF</w:t>
            </w:r>
            <w:r w:rsidRPr="00324C76">
              <w:rPr>
                <w:color w:val="000000"/>
                <w:kern w:val="0"/>
                <w:sz w:val="24"/>
              </w:rPr>
              <w:t>的比例不低于基金资产净值的</w:t>
            </w:r>
            <w:r w:rsidRPr="00324C76">
              <w:rPr>
                <w:color w:val="000000"/>
                <w:kern w:val="0"/>
                <w:sz w:val="24"/>
              </w:rPr>
              <w:t>90%</w:t>
            </w:r>
            <w:r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业绩比较基准</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上证</w:t>
            </w:r>
            <w:r w:rsidRPr="00324C76">
              <w:rPr>
                <w:color w:val="000000"/>
                <w:kern w:val="0"/>
                <w:sz w:val="24"/>
              </w:rPr>
              <w:t>180</w:t>
            </w:r>
            <w:r w:rsidRPr="00324C76">
              <w:rPr>
                <w:color w:val="000000"/>
                <w:kern w:val="0"/>
                <w:sz w:val="24"/>
              </w:rPr>
              <w:t>公司治理指数</w:t>
            </w:r>
            <w:r w:rsidRPr="00324C76">
              <w:rPr>
                <w:color w:val="000000"/>
                <w:kern w:val="0"/>
                <w:sz w:val="24"/>
              </w:rPr>
              <w:t>×95%</w:t>
            </w:r>
            <w:r w:rsidRPr="00324C76">
              <w:rPr>
                <w:color w:val="000000"/>
                <w:kern w:val="0"/>
                <w:sz w:val="24"/>
              </w:rPr>
              <w:t>＋银行活期存款税后收益率</w:t>
            </w:r>
            <w:r w:rsidRPr="00324C76">
              <w:rPr>
                <w:color w:val="000000"/>
                <w:kern w:val="0"/>
                <w:sz w:val="24"/>
              </w:rPr>
              <w:t>×5%</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风险收益特征</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本基金属</w:t>
            </w:r>
            <w:r w:rsidRPr="00324C76">
              <w:rPr>
                <w:color w:val="000000"/>
                <w:kern w:val="0"/>
                <w:sz w:val="24"/>
              </w:rPr>
              <w:t>ETF</w:t>
            </w:r>
            <w:r w:rsidRPr="00324C76">
              <w:rPr>
                <w:color w:val="000000"/>
                <w:kern w:val="0"/>
                <w:sz w:val="24"/>
              </w:rPr>
              <w:t>联接基金，风险与收益高于混合基金、债券基金与货币市场基金。本基金为指数型基金，紧密跟踪标的指数，具有和标的指数所代表的股票市场</w:t>
            </w:r>
            <w:r w:rsidRPr="00324C76">
              <w:rPr>
                <w:color w:val="000000"/>
                <w:kern w:val="0"/>
                <w:sz w:val="24"/>
              </w:rPr>
              <w:lastRenderedPageBreak/>
              <w:t>相似的风险收益特征，属于证券投资基金中风险较高、收益较高的品种。</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lastRenderedPageBreak/>
              <w:t>基金管理人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交银施罗德基金管理有限公司</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基金托管人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中国农业银行股份有限公司</w:t>
            </w:r>
          </w:p>
        </w:tc>
      </w:tr>
    </w:tbl>
    <w:p w:rsidR="00D6057D" w:rsidRPr="00324C76" w:rsidRDefault="00D6057D" w:rsidP="00B04217">
      <w:pPr>
        <w:autoSpaceDE w:val="0"/>
        <w:autoSpaceDN w:val="0"/>
        <w:adjustRightInd w:val="0"/>
        <w:spacing w:before="29" w:line="288" w:lineRule="auto"/>
        <w:jc w:val="left"/>
        <w:rPr>
          <w:kern w:val="0"/>
          <w:sz w:val="24"/>
        </w:rPr>
      </w:pPr>
    </w:p>
    <w:p w:rsidR="00B72596" w:rsidRPr="00324C76" w:rsidRDefault="00B72596" w:rsidP="00B04217">
      <w:pPr>
        <w:pStyle w:val="2"/>
        <w:keepNext w:val="0"/>
        <w:keepLines w:val="0"/>
        <w:spacing w:before="29" w:after="0" w:line="288" w:lineRule="auto"/>
        <w:rPr>
          <w:rFonts w:ascii="Times New Roman" w:hAnsi="Times New Roman" w:cs="Times New Roman"/>
          <w:szCs w:val="24"/>
        </w:rPr>
      </w:pPr>
      <w:r w:rsidRPr="00324C76">
        <w:rPr>
          <w:rFonts w:ascii="Times New Roman" w:hAnsi="Times New Roman" w:cs="Times New Roman"/>
          <w:szCs w:val="24"/>
        </w:rPr>
        <w:t>2.1.1</w:t>
      </w:r>
      <w:r w:rsidR="00597E06">
        <w:rPr>
          <w:rFonts w:ascii="Times New Roman" w:hAnsi="Times New Roman" w:cs="Times New Roman"/>
          <w:szCs w:val="24"/>
        </w:rPr>
        <w:t xml:space="preserve"> </w:t>
      </w:r>
      <w:r w:rsidRPr="00324C76">
        <w:rPr>
          <w:rFonts w:ascii="Times New Roman" w:hAnsi="Times New Roman" w:cs="Times New Roman"/>
          <w:szCs w:val="24"/>
        </w:rPr>
        <w:t>目标</w:t>
      </w:r>
      <w:r w:rsidR="00D6057D" w:rsidRPr="00324C76">
        <w:rPr>
          <w:rFonts w:ascii="Times New Roman" w:hAnsi="Times New Roman" w:cs="Times New Roman"/>
          <w:szCs w:val="24"/>
        </w:rPr>
        <w:t>基金</w:t>
      </w:r>
      <w:r w:rsidR="00156E40" w:rsidRPr="00324C76">
        <w:rPr>
          <w:rFonts w:ascii="Times New Roman" w:hAnsi="Times New Roman" w:cs="Times New Roman"/>
          <w:szCs w:val="24"/>
        </w:rPr>
        <w:t>基本情况</w:t>
      </w:r>
    </w:p>
    <w:tbl>
      <w:tblPr>
        <w:tblW w:w="8868" w:type="dxa"/>
        <w:jc w:val="center"/>
        <w:tblLayout w:type="fixed"/>
        <w:tblLook w:val="0000" w:firstRow="0" w:lastRow="0" w:firstColumn="0" w:lastColumn="0" w:noHBand="0" w:noVBand="0"/>
      </w:tblPr>
      <w:tblGrid>
        <w:gridCol w:w="2855"/>
        <w:gridCol w:w="6013"/>
      </w:tblGrid>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上证</w:t>
            </w:r>
            <w:r w:rsidRPr="00324C76">
              <w:rPr>
                <w:sz w:val="24"/>
              </w:rPr>
              <w:t>180</w:t>
            </w:r>
            <w:r w:rsidRPr="00324C76">
              <w:rPr>
                <w:sz w:val="24"/>
              </w:rPr>
              <w:t>公司治理交易型开放式指数证券投资基金</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510010</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交易型开放式</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2009</w:t>
            </w:r>
            <w:r w:rsidRPr="00324C76">
              <w:rPr>
                <w:sz w:val="24"/>
              </w:rPr>
              <w:t>年</w:t>
            </w:r>
            <w:r w:rsidRPr="00324C76">
              <w:rPr>
                <w:sz w:val="24"/>
              </w:rPr>
              <w:t>9</w:t>
            </w:r>
            <w:r w:rsidRPr="00324C76">
              <w:rPr>
                <w:sz w:val="24"/>
              </w:rPr>
              <w:t>月</w:t>
            </w:r>
            <w:r w:rsidRPr="00324C76">
              <w:rPr>
                <w:sz w:val="24"/>
              </w:rPr>
              <w:t>25</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上海证券交易所</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2009</w:t>
            </w:r>
            <w:r w:rsidRPr="00324C76">
              <w:rPr>
                <w:sz w:val="24"/>
              </w:rPr>
              <w:t>年</w:t>
            </w:r>
            <w:r w:rsidRPr="00324C76">
              <w:rPr>
                <w:sz w:val="24"/>
              </w:rPr>
              <w:t>12</w:t>
            </w:r>
            <w:r w:rsidRPr="00324C76">
              <w:rPr>
                <w:sz w:val="24"/>
              </w:rPr>
              <w:t>月</w:t>
            </w:r>
            <w:r w:rsidRPr="00324C76">
              <w:rPr>
                <w:sz w:val="24"/>
              </w:rPr>
              <w:t>15</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交银施罗德基金管理有限公司</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中国农业银行股份有限公司</w:t>
            </w:r>
          </w:p>
        </w:tc>
      </w:tr>
    </w:tbl>
    <w:p w:rsidR="00220542" w:rsidRPr="00324C76" w:rsidRDefault="0090000A" w:rsidP="00B04217">
      <w:pPr>
        <w:autoSpaceDE w:val="0"/>
        <w:autoSpaceDN w:val="0"/>
        <w:adjustRightInd w:val="0"/>
        <w:spacing w:before="29" w:line="288" w:lineRule="auto"/>
        <w:jc w:val="left"/>
        <w:rPr>
          <w:color w:val="000000"/>
          <w:sz w:val="24"/>
        </w:rPr>
      </w:pPr>
      <w:r w:rsidRPr="00324C76">
        <w:rPr>
          <w:color w:val="000000"/>
          <w:sz w:val="24"/>
        </w:rPr>
        <w:t>注：本表所列的基金主代码</w:t>
      </w:r>
      <w:r w:rsidRPr="00324C76">
        <w:rPr>
          <w:color w:val="000000"/>
          <w:sz w:val="24"/>
        </w:rPr>
        <w:t>510010</w:t>
      </w:r>
      <w:r w:rsidRPr="00324C76">
        <w:rPr>
          <w:color w:val="000000"/>
          <w:sz w:val="24"/>
        </w:rPr>
        <w:t>为目标基金的二级市场交易代码，目标基金的一级市场申购赎回代码为</w:t>
      </w:r>
      <w:r w:rsidRPr="00324C76">
        <w:rPr>
          <w:color w:val="000000"/>
          <w:sz w:val="24"/>
        </w:rPr>
        <w:t>510011</w:t>
      </w:r>
      <w:r w:rsidRPr="00324C76">
        <w:rPr>
          <w:color w:val="000000"/>
          <w:sz w:val="24"/>
        </w:rPr>
        <w:t>。</w:t>
      </w:r>
    </w:p>
    <w:p w:rsidR="006B4B1E" w:rsidRPr="00324C76" w:rsidRDefault="006B4B1E" w:rsidP="00B04217">
      <w:pPr>
        <w:autoSpaceDE w:val="0"/>
        <w:autoSpaceDN w:val="0"/>
        <w:adjustRightInd w:val="0"/>
        <w:spacing w:before="29" w:line="288" w:lineRule="auto"/>
        <w:jc w:val="left"/>
        <w:rPr>
          <w:color w:val="000000"/>
          <w:sz w:val="24"/>
        </w:rPr>
      </w:pPr>
    </w:p>
    <w:p w:rsidR="00156E40" w:rsidRPr="00324C76" w:rsidRDefault="00156E40" w:rsidP="00B04217">
      <w:pPr>
        <w:pStyle w:val="2"/>
        <w:keepNext w:val="0"/>
        <w:keepLines w:val="0"/>
        <w:spacing w:before="29" w:after="0" w:line="288" w:lineRule="auto"/>
        <w:rPr>
          <w:rFonts w:ascii="Times New Roman" w:hAnsi="Times New Roman"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24C76">
          <w:rPr>
            <w:rFonts w:ascii="Times New Roman" w:hAnsi="Times New Roman" w:cs="Times New Roman"/>
            <w:szCs w:val="24"/>
          </w:rPr>
          <w:t>2.1.2</w:t>
        </w:r>
        <w:r w:rsidR="00597E06">
          <w:rPr>
            <w:rFonts w:ascii="Times New Roman" w:hAnsi="Times New Roman" w:cs="Times New Roman"/>
            <w:szCs w:val="24"/>
          </w:rPr>
          <w:t xml:space="preserve"> </w:t>
        </w:r>
      </w:smartTag>
      <w:r w:rsidR="00B51C7C" w:rsidRPr="00324C76">
        <w:rPr>
          <w:rFonts w:ascii="Times New Roman" w:hAnsi="Times New Roman" w:cs="Times New Roman"/>
          <w:szCs w:val="24"/>
        </w:rPr>
        <w:t>目标基金产品说明</w:t>
      </w:r>
    </w:p>
    <w:tbl>
      <w:tblPr>
        <w:tblW w:w="8868" w:type="dxa"/>
        <w:jc w:val="center"/>
        <w:tblLook w:val="0000" w:firstRow="0" w:lastRow="0" w:firstColumn="0" w:lastColumn="0" w:noHBand="0" w:noVBand="0"/>
      </w:tblPr>
      <w:tblGrid>
        <w:gridCol w:w="2956"/>
        <w:gridCol w:w="5912"/>
      </w:tblGrid>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紧密跟踪标的指数，追求跟踪偏离度与跟踪误差最小化。</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本基金采用完全复制法，跟踪上证</w:t>
            </w:r>
            <w:r w:rsidRPr="00324C76">
              <w:rPr>
                <w:sz w:val="24"/>
              </w:rPr>
              <w:t>180</w:t>
            </w:r>
            <w:r w:rsidRPr="00324C76">
              <w:rPr>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上证</w:t>
            </w:r>
            <w:r w:rsidRPr="00324C76">
              <w:rPr>
                <w:sz w:val="24"/>
              </w:rPr>
              <w:t>180</w:t>
            </w:r>
            <w:r w:rsidRPr="00324C76">
              <w:rPr>
                <w:sz w:val="24"/>
              </w:rPr>
              <w:t>公司治理指数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2A5D65" w:rsidRPr="00324C76" w:rsidRDefault="002A5D65" w:rsidP="00B04217">
      <w:pPr>
        <w:autoSpaceDE w:val="0"/>
        <w:autoSpaceDN w:val="0"/>
        <w:adjustRightInd w:val="0"/>
        <w:spacing w:before="29" w:line="288" w:lineRule="auto"/>
        <w:jc w:val="left"/>
        <w:rPr>
          <w:color w:val="000000"/>
          <w:sz w:val="24"/>
        </w:rPr>
      </w:pPr>
    </w:p>
    <w:p w:rsidR="00220542" w:rsidRPr="00324C76" w:rsidRDefault="00220542" w:rsidP="00AE0465">
      <w:pPr>
        <w:pStyle w:val="1"/>
        <w:spacing w:beforeLines="100" w:before="312" w:afterLines="100" w:after="312" w:line="288" w:lineRule="auto"/>
        <w:jc w:val="center"/>
        <w:rPr>
          <w:kern w:val="0"/>
          <w:sz w:val="24"/>
          <w:szCs w:val="24"/>
        </w:rPr>
      </w:pPr>
      <w:r w:rsidRPr="00324C76">
        <w:rPr>
          <w:kern w:val="0"/>
          <w:sz w:val="24"/>
          <w:szCs w:val="24"/>
        </w:rPr>
        <w:t xml:space="preserve">§3  </w:t>
      </w:r>
      <w:r w:rsidRPr="00324C76">
        <w:rPr>
          <w:kern w:val="0"/>
          <w:sz w:val="24"/>
          <w:szCs w:val="24"/>
        </w:rPr>
        <w:t>主要财务指标和基金净值表现</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3.1 </w:t>
      </w:r>
      <w:r w:rsidRPr="00324C76">
        <w:rPr>
          <w:b/>
          <w:kern w:val="0"/>
          <w:sz w:val="24"/>
        </w:rPr>
        <w:t>主要财务指标</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7"/>
        <w:gridCol w:w="5261"/>
      </w:tblGrid>
      <w:tr w:rsidR="00B4127A" w:rsidRPr="00324C76" w:rsidTr="00B4127A">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center"/>
              <w:rPr>
                <w:kern w:val="0"/>
                <w:sz w:val="24"/>
              </w:rPr>
            </w:pPr>
            <w:r w:rsidRPr="00324C76">
              <w:rPr>
                <w:kern w:val="0"/>
                <w:sz w:val="24"/>
              </w:rPr>
              <w:t>主要财务指标</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BC3740" w:rsidP="00B04217">
            <w:pPr>
              <w:adjustRightInd w:val="0"/>
              <w:spacing w:before="29" w:line="288" w:lineRule="auto"/>
              <w:ind w:left="17"/>
              <w:jc w:val="center"/>
              <w:rPr>
                <w:color w:val="000000"/>
                <w:sz w:val="24"/>
              </w:rPr>
            </w:pPr>
            <w:r w:rsidRPr="00324C76">
              <w:rPr>
                <w:color w:val="000000"/>
                <w:sz w:val="24"/>
              </w:rPr>
              <w:t>报告期</w:t>
            </w:r>
            <w:r w:rsidR="00F53C6A" w:rsidRPr="00324C76">
              <w:rPr>
                <w:color w:val="000000"/>
                <w:kern w:val="0"/>
                <w:sz w:val="24"/>
              </w:rPr>
              <w:t>(</w:t>
            </w:r>
            <w:r w:rsidRPr="00324C76">
              <w:rPr>
                <w:color w:val="000000"/>
                <w:sz w:val="24"/>
              </w:rPr>
              <w:t>2018</w:t>
            </w:r>
            <w:r w:rsidRPr="00324C76">
              <w:rPr>
                <w:color w:val="000000"/>
                <w:sz w:val="24"/>
              </w:rPr>
              <w:t>年</w:t>
            </w:r>
            <w:r w:rsidRPr="00324C76">
              <w:rPr>
                <w:color w:val="000000"/>
                <w:sz w:val="24"/>
              </w:rPr>
              <w:t>4</w:t>
            </w:r>
            <w:r w:rsidRPr="00324C76">
              <w:rPr>
                <w:color w:val="000000"/>
                <w:sz w:val="24"/>
              </w:rPr>
              <w:t>月</w:t>
            </w:r>
            <w:r w:rsidRPr="00324C76">
              <w:rPr>
                <w:color w:val="000000"/>
                <w:sz w:val="24"/>
              </w:rPr>
              <w:t>1</w:t>
            </w:r>
            <w:r w:rsidRPr="00324C76">
              <w:rPr>
                <w:color w:val="000000"/>
                <w:sz w:val="24"/>
              </w:rPr>
              <w:t>日</w:t>
            </w:r>
            <w:r w:rsidRPr="00324C76">
              <w:rPr>
                <w:color w:val="000000"/>
                <w:sz w:val="24"/>
              </w:rPr>
              <w:t>-2018</w:t>
            </w:r>
            <w:r w:rsidRPr="00324C76">
              <w:rPr>
                <w:color w:val="000000"/>
                <w:sz w:val="24"/>
              </w:rPr>
              <w:t>年</w:t>
            </w:r>
            <w:r w:rsidRPr="00324C76">
              <w:rPr>
                <w:color w:val="000000"/>
                <w:sz w:val="24"/>
              </w:rPr>
              <w:t>6</w:t>
            </w:r>
            <w:r w:rsidRPr="00324C76">
              <w:rPr>
                <w:color w:val="000000"/>
                <w:sz w:val="24"/>
              </w:rPr>
              <w:t>月</w:t>
            </w:r>
            <w:r w:rsidRPr="00324C76">
              <w:rPr>
                <w:color w:val="000000"/>
                <w:sz w:val="24"/>
              </w:rPr>
              <w:t>30</w:t>
            </w:r>
            <w:r w:rsidRPr="00324C76">
              <w:rPr>
                <w:color w:val="000000"/>
                <w:sz w:val="24"/>
              </w:rPr>
              <w:t>日</w:t>
            </w:r>
            <w:r w:rsidR="00F53C6A" w:rsidRPr="00324C76">
              <w:rPr>
                <w:color w:val="000000"/>
                <w:kern w:val="0"/>
                <w:sz w:val="24"/>
              </w:rPr>
              <w:t>)</w:t>
            </w:r>
          </w:p>
        </w:tc>
      </w:tr>
      <w:tr w:rsidR="00B4127A" w:rsidRPr="00324C76" w:rsidTr="00B4127A">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1.</w:t>
            </w:r>
            <w:r w:rsidRPr="00324C76">
              <w:rPr>
                <w:kern w:val="0"/>
                <w:sz w:val="24"/>
              </w:rPr>
              <w:t>本期已实现收益</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2,081,896.72</w:t>
            </w:r>
          </w:p>
        </w:tc>
      </w:tr>
      <w:tr w:rsidR="00B4127A" w:rsidRPr="00324C76" w:rsidTr="00B4127A">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2.</w:t>
            </w:r>
            <w:r w:rsidRPr="00324C76">
              <w:rPr>
                <w:kern w:val="0"/>
                <w:sz w:val="24"/>
              </w:rPr>
              <w:t>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-33,123,725.24</w:t>
            </w:r>
          </w:p>
        </w:tc>
      </w:tr>
      <w:tr w:rsidR="00B4127A" w:rsidRPr="00324C76" w:rsidTr="00B4127A">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3.</w:t>
            </w:r>
            <w:r w:rsidRPr="00324C76">
              <w:rPr>
                <w:kern w:val="0"/>
                <w:sz w:val="24"/>
              </w:rPr>
              <w:t>加权平均基金份额本期利润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-0.0998</w:t>
            </w:r>
          </w:p>
        </w:tc>
      </w:tr>
      <w:tr w:rsidR="00B4127A" w:rsidRPr="00324C76" w:rsidTr="00B4127A">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4.</w:t>
            </w:r>
            <w:r w:rsidRPr="00324C76">
              <w:rPr>
                <w:kern w:val="0"/>
                <w:sz w:val="24"/>
              </w:rPr>
              <w:t>期末基金资产净值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379,950,683.82</w:t>
            </w:r>
          </w:p>
        </w:tc>
      </w:tr>
      <w:tr w:rsidR="00B4127A" w:rsidRPr="00324C76" w:rsidTr="00B4127A">
        <w:trPr>
          <w:trHeight w:val="158"/>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5.</w:t>
            </w:r>
            <w:r w:rsidRPr="00324C76">
              <w:rPr>
                <w:kern w:val="0"/>
                <w:sz w:val="24"/>
              </w:rPr>
              <w:t>期末基金份额净值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1.161</w:t>
            </w:r>
          </w:p>
        </w:tc>
      </w:tr>
    </w:tbl>
    <w:p w:rsidR="000F523A" w:rsidRDefault="00B4127A">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E27AF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t xml:space="preserve">    2</w:t>
      </w:r>
      <w:r w:rsidRPr="00324C76">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3.2 </w:t>
      </w:r>
      <w:r w:rsidRPr="00324C76">
        <w:rPr>
          <w:b/>
          <w:kern w:val="0"/>
          <w:sz w:val="24"/>
        </w:rPr>
        <w:t>基金净值表现</w:t>
      </w:r>
    </w:p>
    <w:p w:rsidR="00220542" w:rsidRPr="00324C76" w:rsidRDefault="00220542" w:rsidP="00B04217">
      <w:pPr>
        <w:autoSpaceDE w:val="0"/>
        <w:autoSpaceDN w:val="0"/>
        <w:adjustRightInd w:val="0"/>
        <w:spacing w:before="29" w:line="288" w:lineRule="auto"/>
        <w:jc w:val="left"/>
        <w:rPr>
          <w:b/>
          <w:kern w:val="0"/>
          <w:sz w:val="24"/>
        </w:rPr>
      </w:pPr>
      <w:smartTag w:uri="urn:schemas-microsoft-com:office:smarttags" w:element="chsdate">
        <w:smartTagPr>
          <w:attr w:name="IsROCDate" w:val="False"/>
          <w:attr w:name="IsLunarDate" w:val="False"/>
          <w:attr w:name="Day" w:val="30"/>
          <w:attr w:name="Month" w:val="12"/>
          <w:attr w:name="Year" w:val="1899"/>
        </w:smartTagPr>
        <w:r w:rsidRPr="00324C76">
          <w:rPr>
            <w:b/>
            <w:kern w:val="0"/>
            <w:sz w:val="24"/>
          </w:rPr>
          <w:t>3.2.1</w:t>
        </w:r>
      </w:smartTag>
      <w:r w:rsidRPr="00324C76">
        <w:rPr>
          <w:b/>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E27AF2" w:rsidRPr="00324C76" w:rsidTr="00896BE4">
        <w:trPr>
          <w:jc w:val="center"/>
        </w:trPr>
        <w:tc>
          <w:tcPr>
            <w:tcW w:w="1395"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阶段</w:t>
            </w:r>
          </w:p>
        </w:tc>
        <w:tc>
          <w:tcPr>
            <w:tcW w:w="1092"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w:t>
            </w:r>
            <w:r w:rsidRPr="00324C76">
              <w:rPr>
                <w:rFonts w:hAnsi="宋体"/>
                <w:color w:val="000000"/>
                <w:sz w:val="24"/>
              </w:rPr>
              <w:t>①</w:t>
            </w:r>
          </w:p>
        </w:tc>
        <w:tc>
          <w:tcPr>
            <w:tcW w:w="116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净值增长率标准差</w:t>
            </w:r>
            <w:r w:rsidRPr="00324C76">
              <w:rPr>
                <w:rFonts w:hAnsi="宋体"/>
                <w:color w:val="000000"/>
                <w:sz w:val="24"/>
              </w:rPr>
              <w:t>②</w:t>
            </w:r>
          </w:p>
        </w:tc>
        <w:tc>
          <w:tcPr>
            <w:tcW w:w="118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w:t>
            </w:r>
            <w:r w:rsidRPr="00324C76">
              <w:rPr>
                <w:rFonts w:hAnsi="宋体"/>
                <w:color w:val="000000"/>
                <w:sz w:val="24"/>
              </w:rPr>
              <w:t>③</w:t>
            </w:r>
          </w:p>
        </w:tc>
        <w:tc>
          <w:tcPr>
            <w:tcW w:w="1188"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业绩比较基准收益率标准差</w:t>
            </w:r>
            <w:r w:rsidRPr="00324C76">
              <w:rPr>
                <w:rFonts w:hAnsi="宋体"/>
                <w:color w:val="000000"/>
                <w:sz w:val="24"/>
              </w:rPr>
              <w:t>④</w:t>
            </w:r>
          </w:p>
        </w:tc>
        <w:tc>
          <w:tcPr>
            <w:tcW w:w="1199"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①</w:t>
            </w:r>
            <w:r w:rsidRPr="00324C76">
              <w:rPr>
                <w:color w:val="000000"/>
                <w:sz w:val="24"/>
              </w:rPr>
              <w:t>-</w:t>
            </w:r>
            <w:r w:rsidRPr="00324C76">
              <w:rPr>
                <w:rFonts w:hAnsi="宋体"/>
                <w:color w:val="000000"/>
                <w:sz w:val="24"/>
              </w:rPr>
              <w:t>③</w:t>
            </w:r>
          </w:p>
        </w:tc>
        <w:tc>
          <w:tcPr>
            <w:tcW w:w="1204"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②</w:t>
            </w:r>
            <w:r w:rsidRPr="00324C76">
              <w:rPr>
                <w:color w:val="000000"/>
                <w:sz w:val="24"/>
              </w:rPr>
              <w:t>-</w:t>
            </w:r>
            <w:r w:rsidRPr="00324C76">
              <w:rPr>
                <w:rFonts w:hAnsi="宋体"/>
                <w:color w:val="000000"/>
                <w:sz w:val="24"/>
              </w:rPr>
              <w:t>④</w:t>
            </w:r>
          </w:p>
        </w:tc>
      </w:tr>
      <w:tr w:rsidR="000F523A">
        <w:trPr>
          <w:jc w:val="center"/>
        </w:trPr>
        <w:tc>
          <w:tcPr>
            <w:tcW w:w="1469" w:type="dxa"/>
            <w:vAlign w:val="center"/>
          </w:tcPr>
          <w:p w:rsidR="000F523A" w:rsidRDefault="00B4127A">
            <w:pPr>
              <w:jc w:val="left"/>
            </w:pPr>
            <w:r>
              <w:rPr>
                <w:color w:val="000000"/>
                <w:sz w:val="24"/>
              </w:rPr>
              <w:t>过去三个月</w:t>
            </w:r>
          </w:p>
        </w:tc>
        <w:tc>
          <w:tcPr>
            <w:tcW w:w="1150" w:type="dxa"/>
            <w:vAlign w:val="center"/>
          </w:tcPr>
          <w:p w:rsidR="000F523A" w:rsidRDefault="00B4127A">
            <w:pPr>
              <w:jc w:val="center"/>
            </w:pPr>
            <w:r>
              <w:rPr>
                <w:color w:val="000000"/>
                <w:sz w:val="24"/>
              </w:rPr>
              <w:t>-8.00%</w:t>
            </w:r>
          </w:p>
        </w:tc>
        <w:tc>
          <w:tcPr>
            <w:tcW w:w="1223" w:type="dxa"/>
            <w:vAlign w:val="center"/>
          </w:tcPr>
          <w:p w:rsidR="000F523A" w:rsidRDefault="00B4127A">
            <w:pPr>
              <w:jc w:val="center"/>
            </w:pPr>
            <w:r>
              <w:rPr>
                <w:color w:val="000000"/>
                <w:sz w:val="24"/>
              </w:rPr>
              <w:t>0.98%</w:t>
            </w:r>
          </w:p>
        </w:tc>
        <w:tc>
          <w:tcPr>
            <w:tcW w:w="1244" w:type="dxa"/>
            <w:vAlign w:val="center"/>
          </w:tcPr>
          <w:p w:rsidR="000F523A" w:rsidRDefault="00B4127A">
            <w:pPr>
              <w:jc w:val="center"/>
            </w:pPr>
            <w:r>
              <w:rPr>
                <w:color w:val="000000"/>
                <w:sz w:val="24"/>
              </w:rPr>
              <w:t>-8.96%</w:t>
            </w:r>
          </w:p>
        </w:tc>
        <w:tc>
          <w:tcPr>
            <w:tcW w:w="1251" w:type="dxa"/>
            <w:vAlign w:val="center"/>
          </w:tcPr>
          <w:p w:rsidR="000F523A" w:rsidRDefault="00B4127A">
            <w:pPr>
              <w:jc w:val="center"/>
            </w:pPr>
            <w:r>
              <w:rPr>
                <w:color w:val="000000"/>
                <w:sz w:val="24"/>
              </w:rPr>
              <w:t>0.98%</w:t>
            </w:r>
          </w:p>
        </w:tc>
        <w:tc>
          <w:tcPr>
            <w:tcW w:w="1263" w:type="dxa"/>
            <w:vAlign w:val="center"/>
          </w:tcPr>
          <w:p w:rsidR="000F523A" w:rsidRDefault="00B4127A">
            <w:pPr>
              <w:jc w:val="center"/>
            </w:pPr>
            <w:r>
              <w:rPr>
                <w:color w:val="000000"/>
                <w:sz w:val="24"/>
              </w:rPr>
              <w:t>0.96%</w:t>
            </w:r>
          </w:p>
        </w:tc>
        <w:tc>
          <w:tcPr>
            <w:tcW w:w="1268" w:type="dxa"/>
            <w:vAlign w:val="center"/>
          </w:tcPr>
          <w:p w:rsidR="000F523A" w:rsidRDefault="00B4127A">
            <w:pPr>
              <w:jc w:val="center"/>
            </w:pPr>
            <w:r>
              <w:rPr>
                <w:color w:val="000000"/>
                <w:sz w:val="24"/>
              </w:rPr>
              <w:t>0.00%</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spacing w:before="29" w:line="288" w:lineRule="auto"/>
        <w:rPr>
          <w:b/>
          <w:kern w:val="0"/>
          <w:sz w:val="24"/>
        </w:rPr>
      </w:pPr>
      <w:r w:rsidRPr="00324C76">
        <w:rPr>
          <w:b/>
          <w:kern w:val="0"/>
          <w:sz w:val="24"/>
        </w:rPr>
        <w:t>3.2.2</w:t>
      </w:r>
      <w:r w:rsidR="00491158" w:rsidRPr="004739A8">
        <w:rPr>
          <w:rFonts w:hint="eastAsia"/>
          <w:b/>
          <w:kern w:val="0"/>
          <w:sz w:val="24"/>
        </w:rPr>
        <w:t>自基金合同生效以来</w:t>
      </w:r>
      <w:r w:rsidR="00F00C35" w:rsidRPr="00324C76">
        <w:rPr>
          <w:b/>
          <w:bCs/>
          <w:color w:val="000000"/>
          <w:sz w:val="24"/>
        </w:rPr>
        <w:t>基金份额累计净值增长率变动及其与同期业绩比较基准收益率变动的比较</w:t>
      </w:r>
    </w:p>
    <w:p w:rsidR="00402ED1" w:rsidRPr="00324C76" w:rsidRDefault="00402ED1" w:rsidP="00B04217">
      <w:pPr>
        <w:spacing w:before="29" w:line="288" w:lineRule="auto"/>
        <w:jc w:val="center"/>
        <w:rPr>
          <w:sz w:val="24"/>
        </w:rPr>
      </w:pPr>
      <w:r w:rsidRPr="00324C76">
        <w:rPr>
          <w:sz w:val="24"/>
        </w:rPr>
        <w:t>交银施罗德上证</w:t>
      </w:r>
      <w:r w:rsidRPr="00324C76">
        <w:rPr>
          <w:sz w:val="24"/>
        </w:rPr>
        <w:t>180</w:t>
      </w:r>
      <w:r w:rsidRPr="00324C76">
        <w:rPr>
          <w:sz w:val="24"/>
        </w:rPr>
        <w:t>公司治理交易型开放式指数证券投资基金联接基金</w:t>
      </w:r>
    </w:p>
    <w:p w:rsidR="00402ED1" w:rsidRPr="00324C76" w:rsidRDefault="00F00C35" w:rsidP="00B04217">
      <w:pPr>
        <w:pStyle w:val="a5"/>
        <w:snapToGrid w:val="0"/>
        <w:spacing w:before="29" w:line="288" w:lineRule="auto"/>
        <w:jc w:val="center"/>
        <w:rPr>
          <w:rFonts w:ascii="Times New Roman" w:hAnsi="Times New Roman"/>
          <w:color w:val="000000"/>
          <w:sz w:val="24"/>
          <w:szCs w:val="24"/>
        </w:rPr>
      </w:pPr>
      <w:r w:rsidRPr="00324C76">
        <w:rPr>
          <w:rFonts w:ascii="Times New Roman" w:hAnsi="Times New Roman"/>
          <w:color w:val="000000"/>
          <w:sz w:val="24"/>
          <w:szCs w:val="24"/>
        </w:rPr>
        <w:t>份额累计净值增长率与业绩比较基准收益率历史走势对比图</w:t>
      </w:r>
    </w:p>
    <w:p w:rsidR="00BA6DE7" w:rsidRPr="00324C76" w:rsidRDefault="00BA6DE7" w:rsidP="00B04217">
      <w:pPr>
        <w:spacing w:before="29" w:line="288" w:lineRule="auto"/>
        <w:jc w:val="center"/>
        <w:rPr>
          <w:sz w:val="24"/>
        </w:rPr>
      </w:pPr>
      <w:r w:rsidRPr="00324C76">
        <w:rPr>
          <w:color w:val="000000"/>
          <w:kern w:val="0"/>
          <w:sz w:val="24"/>
        </w:rPr>
        <w:t>（</w:t>
      </w:r>
      <w:r w:rsidR="003251EE" w:rsidRPr="00324C76">
        <w:rPr>
          <w:color w:val="000000"/>
          <w:kern w:val="0"/>
          <w:sz w:val="24"/>
        </w:rPr>
        <w:t>2009</w:t>
      </w:r>
      <w:r w:rsidR="003251EE" w:rsidRPr="00324C76">
        <w:rPr>
          <w:color w:val="000000"/>
          <w:kern w:val="0"/>
          <w:sz w:val="24"/>
        </w:rPr>
        <w:t>年</w:t>
      </w:r>
      <w:r w:rsidR="003251EE" w:rsidRPr="00324C76">
        <w:rPr>
          <w:color w:val="000000"/>
          <w:kern w:val="0"/>
          <w:sz w:val="24"/>
        </w:rPr>
        <w:t>9</w:t>
      </w:r>
      <w:r w:rsidR="003251EE" w:rsidRPr="00324C76">
        <w:rPr>
          <w:color w:val="000000"/>
          <w:kern w:val="0"/>
          <w:sz w:val="24"/>
        </w:rPr>
        <w:t>月</w:t>
      </w:r>
      <w:r w:rsidR="003251EE" w:rsidRPr="00324C76">
        <w:rPr>
          <w:color w:val="000000"/>
          <w:kern w:val="0"/>
          <w:sz w:val="24"/>
        </w:rPr>
        <w:t>29</w:t>
      </w:r>
      <w:r w:rsidR="003251EE" w:rsidRPr="00324C76">
        <w:rPr>
          <w:color w:val="000000"/>
          <w:kern w:val="0"/>
          <w:sz w:val="24"/>
        </w:rPr>
        <w:t>日</w:t>
      </w:r>
      <w:r w:rsidRPr="00324C76">
        <w:rPr>
          <w:color w:val="000000"/>
          <w:kern w:val="0"/>
          <w:sz w:val="24"/>
        </w:rPr>
        <w:t>至</w:t>
      </w:r>
      <w:r w:rsidRPr="00324C76">
        <w:rPr>
          <w:color w:val="000000"/>
          <w:kern w:val="0"/>
          <w:sz w:val="24"/>
        </w:rPr>
        <w:t>2018</w:t>
      </w:r>
      <w:r w:rsidRPr="00324C76">
        <w:rPr>
          <w:color w:val="000000"/>
          <w:kern w:val="0"/>
          <w:sz w:val="24"/>
        </w:rPr>
        <w:t>年</w:t>
      </w:r>
      <w:r w:rsidRPr="00324C76">
        <w:rPr>
          <w:color w:val="000000"/>
          <w:kern w:val="0"/>
          <w:sz w:val="24"/>
        </w:rPr>
        <w:t>6</w:t>
      </w:r>
      <w:r w:rsidRPr="00324C76">
        <w:rPr>
          <w:color w:val="000000"/>
          <w:kern w:val="0"/>
          <w:sz w:val="24"/>
        </w:rPr>
        <w:t>月</w:t>
      </w:r>
      <w:r w:rsidRPr="00324C76">
        <w:rPr>
          <w:color w:val="000000"/>
          <w:kern w:val="0"/>
          <w:sz w:val="24"/>
        </w:rPr>
        <w:t>30</w:t>
      </w:r>
      <w:r w:rsidRPr="00324C76">
        <w:rPr>
          <w:color w:val="000000"/>
          <w:kern w:val="0"/>
          <w:sz w:val="24"/>
        </w:rPr>
        <w:t>日）</w:t>
      </w:r>
    </w:p>
    <w:p w:rsidR="00402ED1" w:rsidRPr="00324C76" w:rsidRDefault="0029290C" w:rsidP="00B04217">
      <w:pPr>
        <w:tabs>
          <w:tab w:val="left" w:pos="1800"/>
        </w:tabs>
        <w:spacing w:before="29" w:line="288" w:lineRule="auto"/>
        <w:jc w:val="center"/>
        <w:rPr>
          <w:color w:val="000000"/>
          <w:sz w:val="24"/>
        </w:rPr>
      </w:pPr>
      <w:r w:rsidRPr="00324C76">
        <w:rPr>
          <w:noProof/>
          <w:color w:val="000000"/>
          <w:sz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2ED1" w:rsidRPr="00324C76" w:rsidRDefault="00402ED1" w:rsidP="00B04217">
      <w:pPr>
        <w:autoSpaceDE w:val="0"/>
        <w:autoSpaceDN w:val="0"/>
        <w:adjustRightInd w:val="0"/>
        <w:spacing w:before="29" w:line="288" w:lineRule="auto"/>
        <w:jc w:val="left"/>
        <w:rPr>
          <w:color w:val="000000"/>
          <w:sz w:val="24"/>
        </w:rPr>
      </w:pPr>
      <w:r w:rsidRPr="00324C76">
        <w:rPr>
          <w:color w:val="000000"/>
          <w:sz w:val="24"/>
        </w:rPr>
        <w:t>注：本基金建仓期为自基金合同生效日起的</w:t>
      </w:r>
      <w:r w:rsidRPr="00324C76">
        <w:rPr>
          <w:color w:val="000000"/>
          <w:sz w:val="24"/>
        </w:rPr>
        <w:t>3</w:t>
      </w:r>
      <w:r w:rsidRPr="00324C76">
        <w:rPr>
          <w:color w:val="000000"/>
          <w:sz w:val="24"/>
        </w:rPr>
        <w:t>个月。截至建仓期结束，本基金各项资产配置比例符合基金合同及招募说明书有关投资比例的约定。</w:t>
      </w:r>
    </w:p>
    <w:p w:rsidR="00163AE8" w:rsidRPr="00324C76" w:rsidRDefault="00163AE8" w:rsidP="00B04217">
      <w:pPr>
        <w:tabs>
          <w:tab w:val="left" w:pos="1800"/>
        </w:tabs>
        <w:spacing w:before="29" w:line="288" w:lineRule="auto"/>
        <w:ind w:firstLineChars="200" w:firstLine="480"/>
        <w:rPr>
          <w:color w:val="000000"/>
          <w:sz w:val="24"/>
        </w:rPr>
      </w:pPr>
    </w:p>
    <w:p w:rsidR="00220542" w:rsidRPr="00324C76" w:rsidRDefault="00220542" w:rsidP="00AE0465">
      <w:pPr>
        <w:pStyle w:val="1"/>
        <w:spacing w:beforeLines="100" w:before="312" w:afterLines="100" w:after="312" w:line="288" w:lineRule="auto"/>
        <w:jc w:val="center"/>
        <w:rPr>
          <w:kern w:val="0"/>
          <w:sz w:val="24"/>
          <w:szCs w:val="24"/>
        </w:rPr>
      </w:pPr>
      <w:r w:rsidRPr="00324C76">
        <w:rPr>
          <w:kern w:val="0"/>
          <w:sz w:val="24"/>
          <w:szCs w:val="24"/>
        </w:rPr>
        <w:t xml:space="preserve">§4  </w:t>
      </w:r>
      <w:r w:rsidRPr="00324C76">
        <w:rPr>
          <w:kern w:val="0"/>
          <w:sz w:val="24"/>
          <w:szCs w:val="24"/>
        </w:rPr>
        <w:t>管理人报告</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4.1 </w:t>
      </w:r>
      <w:r w:rsidRPr="00324C76">
        <w:rPr>
          <w:b/>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E27AF2" w:rsidRPr="00324C76" w:rsidTr="00E42623">
        <w:trPr>
          <w:trHeight w:val="292"/>
          <w:jc w:val="center"/>
        </w:trPr>
        <w:tc>
          <w:tcPr>
            <w:tcW w:w="851"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姓名</w:t>
            </w:r>
          </w:p>
        </w:tc>
        <w:tc>
          <w:tcPr>
            <w:tcW w:w="850"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职务</w:t>
            </w:r>
          </w:p>
        </w:tc>
        <w:tc>
          <w:tcPr>
            <w:tcW w:w="3119" w:type="dxa"/>
            <w:gridSpan w:val="2"/>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任本基金的基金经理期限</w:t>
            </w:r>
          </w:p>
        </w:tc>
        <w:tc>
          <w:tcPr>
            <w:tcW w:w="1417" w:type="dxa"/>
            <w:vMerge w:val="restart"/>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证券从业年限</w:t>
            </w:r>
          </w:p>
        </w:tc>
        <w:tc>
          <w:tcPr>
            <w:tcW w:w="2694"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说明</w:t>
            </w:r>
          </w:p>
        </w:tc>
      </w:tr>
      <w:tr w:rsidR="00E27AF2" w:rsidRPr="00324C76" w:rsidTr="00E42623">
        <w:trPr>
          <w:jc w:val="center"/>
        </w:trPr>
        <w:tc>
          <w:tcPr>
            <w:tcW w:w="851" w:type="dxa"/>
            <w:vMerge/>
            <w:vAlign w:val="center"/>
          </w:tcPr>
          <w:p w:rsidR="00E27AF2" w:rsidRPr="00324C76" w:rsidRDefault="00E27AF2" w:rsidP="00B04217">
            <w:pPr>
              <w:widowControl/>
              <w:spacing w:before="29" w:line="288" w:lineRule="auto"/>
              <w:jc w:val="left"/>
              <w:rPr>
                <w:color w:val="000000"/>
                <w:kern w:val="0"/>
                <w:sz w:val="24"/>
              </w:rPr>
            </w:pPr>
          </w:p>
        </w:tc>
        <w:tc>
          <w:tcPr>
            <w:tcW w:w="850" w:type="dxa"/>
            <w:vMerge/>
            <w:vAlign w:val="center"/>
          </w:tcPr>
          <w:p w:rsidR="00E27AF2" w:rsidRPr="00324C76" w:rsidRDefault="00E27AF2" w:rsidP="00B04217">
            <w:pPr>
              <w:widowControl/>
              <w:spacing w:before="29" w:line="288" w:lineRule="auto"/>
              <w:jc w:val="left"/>
              <w:rPr>
                <w:color w:val="000000"/>
                <w:kern w:val="0"/>
                <w:sz w:val="24"/>
              </w:rPr>
            </w:pPr>
          </w:p>
        </w:tc>
        <w:tc>
          <w:tcPr>
            <w:tcW w:w="1560"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任职日期</w:t>
            </w:r>
          </w:p>
        </w:tc>
        <w:tc>
          <w:tcPr>
            <w:tcW w:w="1559"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离任日期</w:t>
            </w:r>
          </w:p>
        </w:tc>
        <w:tc>
          <w:tcPr>
            <w:tcW w:w="1417" w:type="dxa"/>
            <w:vMerge/>
            <w:vAlign w:val="center"/>
          </w:tcPr>
          <w:p w:rsidR="00E27AF2" w:rsidRPr="00324C76" w:rsidRDefault="00E27AF2" w:rsidP="00B04217">
            <w:pPr>
              <w:widowControl/>
              <w:spacing w:before="29" w:line="288" w:lineRule="auto"/>
              <w:jc w:val="left"/>
              <w:rPr>
                <w:color w:val="000000"/>
                <w:kern w:val="0"/>
                <w:sz w:val="24"/>
              </w:rPr>
            </w:pPr>
          </w:p>
        </w:tc>
        <w:tc>
          <w:tcPr>
            <w:tcW w:w="2694" w:type="dxa"/>
            <w:vMerge/>
            <w:vAlign w:val="center"/>
          </w:tcPr>
          <w:p w:rsidR="00E27AF2" w:rsidRPr="00324C76" w:rsidRDefault="00E27AF2" w:rsidP="00B04217">
            <w:pPr>
              <w:widowControl/>
              <w:spacing w:before="29" w:line="288" w:lineRule="auto"/>
              <w:jc w:val="left"/>
              <w:rPr>
                <w:color w:val="000000"/>
                <w:kern w:val="0"/>
                <w:sz w:val="24"/>
              </w:rPr>
            </w:pPr>
          </w:p>
        </w:tc>
      </w:tr>
      <w:tr w:rsidR="000F523A">
        <w:trPr>
          <w:jc w:val="center"/>
        </w:trPr>
        <w:tc>
          <w:tcPr>
            <w:tcW w:w="846" w:type="dxa"/>
            <w:vAlign w:val="center"/>
          </w:tcPr>
          <w:p w:rsidR="000F523A" w:rsidRDefault="00B4127A">
            <w:pPr>
              <w:jc w:val="center"/>
            </w:pPr>
            <w:r>
              <w:rPr>
                <w:color w:val="000000"/>
                <w:sz w:val="24"/>
              </w:rPr>
              <w:t>蔡铮</w:t>
            </w:r>
          </w:p>
        </w:tc>
        <w:tc>
          <w:tcPr>
            <w:tcW w:w="845" w:type="dxa"/>
            <w:vAlign w:val="center"/>
          </w:tcPr>
          <w:p w:rsidR="000F523A" w:rsidRDefault="00B4127A">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w:t>
            </w:r>
            <w:r>
              <w:rPr>
                <w:color w:val="000000"/>
                <w:sz w:val="24"/>
              </w:rPr>
              <w:lastRenderedPageBreak/>
              <w:t>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549" w:type="dxa"/>
            <w:vAlign w:val="center"/>
          </w:tcPr>
          <w:p w:rsidR="000F523A" w:rsidRDefault="00B4127A">
            <w:pPr>
              <w:jc w:val="center"/>
            </w:pPr>
            <w:r>
              <w:rPr>
                <w:color w:val="000000"/>
                <w:sz w:val="24"/>
              </w:rPr>
              <w:lastRenderedPageBreak/>
              <w:t>2012-12-27</w:t>
            </w:r>
          </w:p>
        </w:tc>
        <w:tc>
          <w:tcPr>
            <w:tcW w:w="1548" w:type="dxa"/>
            <w:vAlign w:val="center"/>
          </w:tcPr>
          <w:p w:rsidR="000F523A" w:rsidRDefault="00B4127A">
            <w:pPr>
              <w:jc w:val="center"/>
            </w:pPr>
            <w:r>
              <w:rPr>
                <w:color w:val="000000"/>
                <w:sz w:val="24"/>
              </w:rPr>
              <w:t>-</w:t>
            </w:r>
          </w:p>
        </w:tc>
        <w:tc>
          <w:tcPr>
            <w:tcW w:w="1407" w:type="dxa"/>
            <w:vAlign w:val="center"/>
          </w:tcPr>
          <w:p w:rsidR="000F523A" w:rsidRDefault="00B4127A">
            <w:pPr>
              <w:jc w:val="center"/>
            </w:pPr>
            <w:r>
              <w:rPr>
                <w:color w:val="000000"/>
                <w:sz w:val="24"/>
              </w:rPr>
              <w:t>9</w:t>
            </w:r>
            <w:r>
              <w:rPr>
                <w:color w:val="000000"/>
                <w:sz w:val="24"/>
              </w:rPr>
              <w:t>年</w:t>
            </w:r>
          </w:p>
        </w:tc>
        <w:tc>
          <w:tcPr>
            <w:tcW w:w="2673" w:type="dxa"/>
            <w:vAlign w:val="center"/>
          </w:tcPr>
          <w:p w:rsidR="000F523A" w:rsidRDefault="00B4127A">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lastRenderedPageBreak/>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22054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lastRenderedPageBreak/>
        <w:t>注：基金经理（或基金经理小组）期后变动（如有）敬请关注基金管理人发布的相关公告。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4.2</w:t>
      </w:r>
      <w:r w:rsidR="00BA4BD3" w:rsidRPr="00324C76">
        <w:rPr>
          <w:b/>
          <w:kern w:val="0"/>
          <w:sz w:val="24"/>
        </w:rPr>
        <w:t>管理人对报告期内本基金运作遵规守信情况的说明</w:t>
      </w:r>
    </w:p>
    <w:p w:rsidR="00220542" w:rsidRPr="00324C76" w:rsidRDefault="00E27AF2" w:rsidP="00B04217">
      <w:pPr>
        <w:spacing w:before="29" w:line="288" w:lineRule="auto"/>
        <w:ind w:firstLineChars="200" w:firstLine="480"/>
        <w:rPr>
          <w:color w:val="000000"/>
          <w:sz w:val="24"/>
        </w:rPr>
      </w:pPr>
      <w:r w:rsidRPr="00324C76">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4.3 </w:t>
      </w:r>
      <w:r w:rsidRPr="00324C76">
        <w:rPr>
          <w:b/>
          <w:kern w:val="0"/>
          <w:sz w:val="24"/>
        </w:rPr>
        <w:t>公平交易专项说明</w:t>
      </w:r>
    </w:p>
    <w:p w:rsidR="005D278A" w:rsidRPr="00324C76" w:rsidRDefault="005D278A" w:rsidP="00B04217">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24C76">
          <w:rPr>
            <w:sz w:val="24"/>
          </w:rPr>
          <w:t>4.3.1</w:t>
        </w:r>
      </w:smartTag>
      <w:r w:rsidRPr="00324C76">
        <w:rPr>
          <w:sz w:val="24"/>
        </w:rPr>
        <w:t>公平交易制度的执行情况</w:t>
      </w:r>
    </w:p>
    <w:p w:rsidR="000F523A" w:rsidRDefault="00B4127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0F523A" w:rsidRDefault="00B4127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F523A" w:rsidRDefault="00B4127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D278A" w:rsidRPr="00324C76" w:rsidRDefault="00E27AF2" w:rsidP="00B04217">
      <w:pPr>
        <w:spacing w:before="29" w:line="288" w:lineRule="auto"/>
        <w:ind w:firstLineChars="200" w:firstLine="480"/>
        <w:rPr>
          <w:color w:val="000000"/>
          <w:sz w:val="24"/>
        </w:rPr>
      </w:pPr>
      <w:r w:rsidRPr="00324C76">
        <w:rPr>
          <w:color w:val="000000"/>
          <w:sz w:val="24"/>
        </w:rPr>
        <w:t>报告期内本公司严格执行公平交易制度，公平对待旗下各投资组合，未发现任何违反公平交易的行为。</w:t>
      </w:r>
    </w:p>
    <w:p w:rsidR="005D278A" w:rsidRPr="00324C76" w:rsidRDefault="005D278A" w:rsidP="00B04217">
      <w:pPr>
        <w:spacing w:before="29" w:line="288" w:lineRule="auto"/>
        <w:rPr>
          <w:sz w:val="24"/>
        </w:rPr>
      </w:pPr>
      <w:r w:rsidRPr="00324C76">
        <w:rPr>
          <w:sz w:val="24"/>
        </w:rPr>
        <w:t>4.3.</w:t>
      </w:r>
      <w:r w:rsidR="00F31F40" w:rsidRPr="00324C76">
        <w:rPr>
          <w:sz w:val="24"/>
        </w:rPr>
        <w:t>2</w:t>
      </w:r>
      <w:r w:rsidRPr="00324C76">
        <w:rPr>
          <w:sz w:val="24"/>
        </w:rPr>
        <w:t>异常交易行为的专项说明</w:t>
      </w:r>
    </w:p>
    <w:p w:rsidR="005D278A" w:rsidRPr="00324C76" w:rsidRDefault="00E27AF2" w:rsidP="00B04217">
      <w:pPr>
        <w:spacing w:before="29" w:line="288" w:lineRule="auto"/>
        <w:ind w:firstLineChars="200" w:firstLine="480"/>
        <w:rPr>
          <w:color w:val="000000"/>
          <w:sz w:val="24"/>
        </w:rPr>
      </w:pPr>
      <w:r w:rsidRPr="00324C76">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24C76">
        <w:rPr>
          <w:color w:val="000000"/>
          <w:sz w:val="24"/>
        </w:rPr>
        <w:t>5%</w:t>
      </w:r>
      <w:r w:rsidRPr="00324C76">
        <w:rPr>
          <w:color w:val="000000"/>
          <w:sz w:val="24"/>
        </w:rPr>
        <w:t>的情形，本基金与本公司管理的其他投资组合在不同时间窗下（如日内、</w:t>
      </w:r>
      <w:r w:rsidRPr="00324C76">
        <w:rPr>
          <w:color w:val="000000"/>
          <w:sz w:val="24"/>
        </w:rPr>
        <w:t>3</w:t>
      </w:r>
      <w:r w:rsidRPr="00324C76">
        <w:rPr>
          <w:color w:val="000000"/>
          <w:sz w:val="24"/>
        </w:rPr>
        <w:t>日内、</w:t>
      </w:r>
      <w:r w:rsidRPr="00324C76">
        <w:rPr>
          <w:color w:val="000000"/>
          <w:sz w:val="24"/>
        </w:rPr>
        <w:t>5</w:t>
      </w:r>
      <w:r w:rsidRPr="00324C76">
        <w:rPr>
          <w:color w:val="000000"/>
          <w:sz w:val="24"/>
        </w:rPr>
        <w:t>日内）同向交易的交易价差未出现异常。</w:t>
      </w:r>
    </w:p>
    <w:p w:rsidR="00220542" w:rsidRPr="00324C76" w:rsidRDefault="00220542" w:rsidP="00B04217">
      <w:pPr>
        <w:spacing w:before="29" w:line="288" w:lineRule="auto"/>
        <w:ind w:firstLineChars="200" w:firstLine="480"/>
        <w:rPr>
          <w:sz w:val="24"/>
        </w:rPr>
      </w:pPr>
    </w:p>
    <w:p w:rsidR="004D6E34" w:rsidRPr="00324C76" w:rsidRDefault="00360A1E" w:rsidP="00B04217">
      <w:pPr>
        <w:spacing w:before="29" w:line="288" w:lineRule="auto"/>
        <w:rPr>
          <w:sz w:val="24"/>
        </w:rPr>
      </w:pPr>
      <w:r w:rsidRPr="00324C76">
        <w:rPr>
          <w:b/>
          <w:color w:val="000000"/>
          <w:kern w:val="0"/>
          <w:sz w:val="24"/>
        </w:rPr>
        <w:t xml:space="preserve">4.4 </w:t>
      </w:r>
      <w:r w:rsidRPr="00324C76">
        <w:rPr>
          <w:rFonts w:hAnsi="宋体"/>
          <w:b/>
          <w:bCs/>
          <w:color w:val="000000"/>
          <w:sz w:val="24"/>
        </w:rPr>
        <w:t>报告期内基金的投资策略和运作分析</w:t>
      </w:r>
    </w:p>
    <w:p w:rsidR="000F523A" w:rsidRDefault="00B4127A">
      <w:pPr>
        <w:spacing w:before="29" w:line="288" w:lineRule="auto"/>
        <w:ind w:firstLineChars="200" w:firstLine="480"/>
        <w:rPr>
          <w:color w:val="000000"/>
          <w:sz w:val="24"/>
        </w:rPr>
      </w:pPr>
      <w:r>
        <w:rPr>
          <w:color w:val="000000"/>
          <w:sz w:val="24"/>
        </w:rPr>
        <w:t>2018</w:t>
      </w:r>
      <w:r>
        <w:rPr>
          <w:color w:val="000000"/>
          <w:sz w:val="24"/>
        </w:rPr>
        <w:t>年二季度国内经济整体延续稳定状态，投资增速缓中趋稳，政策层面持续推行经济结构优化和去杠杆，从长期看有利于经济增长进入高质量发展的新时代。短期因中美贸易摩擦的不确定性增加、美元加息、汇率波动等各因素频发，二季度</w:t>
      </w:r>
      <w:r>
        <w:rPr>
          <w:color w:val="000000"/>
          <w:sz w:val="24"/>
        </w:rPr>
        <w:t>A</w:t>
      </w:r>
      <w:r>
        <w:rPr>
          <w:color w:val="000000"/>
          <w:sz w:val="24"/>
        </w:rPr>
        <w:t>股市场波动加大，阶段性下行。作为跟踪基准指数的指数基金，二季度基金总体呈现出震荡向</w:t>
      </w:r>
      <w:r>
        <w:rPr>
          <w:color w:val="000000"/>
          <w:sz w:val="24"/>
        </w:rPr>
        <w:lastRenderedPageBreak/>
        <w:t>下的走势。</w:t>
      </w:r>
    </w:p>
    <w:p w:rsidR="004D6E34" w:rsidRPr="00324C76" w:rsidRDefault="00E27AF2" w:rsidP="00B04217">
      <w:pPr>
        <w:spacing w:before="29" w:line="288" w:lineRule="auto"/>
        <w:ind w:firstLineChars="200" w:firstLine="480"/>
        <w:rPr>
          <w:color w:val="000000"/>
          <w:sz w:val="24"/>
        </w:rPr>
      </w:pPr>
      <w:r w:rsidRPr="00324C76">
        <w:rPr>
          <w:color w:val="000000"/>
          <w:sz w:val="24"/>
        </w:rPr>
        <w:t>展望下一季度，我们认为通胀仍将维持温和，货币中性稳健，财政政策持续发力。中美贸易摩擦的影响在短期内或仍将延续，但市场经历了二季度的剧烈调整，许多行业指数已接近合理估值区间，目前股价也包含了投资者较为悲观的预期，总体而言，从中长期来看我们对</w:t>
      </w:r>
      <w:r w:rsidRPr="00324C76">
        <w:rPr>
          <w:color w:val="000000"/>
          <w:sz w:val="24"/>
        </w:rPr>
        <w:t>A</w:t>
      </w:r>
      <w:r w:rsidRPr="00324C76">
        <w:rPr>
          <w:color w:val="000000"/>
          <w:sz w:val="24"/>
        </w:rPr>
        <w:t>股市场仍维持谨慎中性的看法。</w:t>
      </w:r>
    </w:p>
    <w:p w:rsidR="0092140D" w:rsidRPr="00324C76" w:rsidRDefault="0092140D" w:rsidP="00B04217">
      <w:pPr>
        <w:spacing w:before="29" w:line="288" w:lineRule="auto"/>
        <w:ind w:firstLineChars="200" w:firstLine="480"/>
        <w:rPr>
          <w:color w:val="000000"/>
          <w:sz w:val="24"/>
        </w:rPr>
      </w:pPr>
    </w:p>
    <w:p w:rsidR="004D6E34" w:rsidRPr="00324C76" w:rsidRDefault="00360A1E" w:rsidP="00B04217">
      <w:pPr>
        <w:spacing w:before="29" w:line="288" w:lineRule="auto"/>
        <w:rPr>
          <w:sz w:val="24"/>
        </w:rPr>
      </w:pPr>
      <w:r w:rsidRPr="00324C76">
        <w:rPr>
          <w:b/>
          <w:color w:val="000000"/>
          <w:kern w:val="0"/>
          <w:sz w:val="24"/>
        </w:rPr>
        <w:t>4.5</w:t>
      </w:r>
      <w:r w:rsidRPr="00324C76">
        <w:rPr>
          <w:b/>
          <w:color w:val="000000"/>
          <w:kern w:val="0"/>
          <w:sz w:val="24"/>
        </w:rPr>
        <w:t>报告期内基金的业绩表现</w:t>
      </w:r>
    </w:p>
    <w:p w:rsidR="004D6E34" w:rsidRPr="00324C76" w:rsidRDefault="00E27AF2" w:rsidP="00B04217">
      <w:pPr>
        <w:spacing w:before="29" w:line="288" w:lineRule="auto"/>
        <w:ind w:firstLineChars="200" w:firstLine="480"/>
        <w:rPr>
          <w:color w:val="000000"/>
          <w:sz w:val="24"/>
        </w:rPr>
      </w:pPr>
      <w:r w:rsidRPr="00324C76">
        <w:rPr>
          <w:color w:val="000000"/>
          <w:sz w:val="24"/>
        </w:rPr>
        <w:t>截至</w:t>
      </w:r>
      <w:r w:rsidRPr="00324C76">
        <w:rPr>
          <w:color w:val="000000"/>
          <w:sz w:val="24"/>
        </w:rPr>
        <w:t>2018</w:t>
      </w:r>
      <w:r w:rsidRPr="00324C76">
        <w:rPr>
          <w:color w:val="000000"/>
          <w:sz w:val="24"/>
        </w:rPr>
        <w:t>年</w:t>
      </w:r>
      <w:r w:rsidRPr="00324C76">
        <w:rPr>
          <w:color w:val="000000"/>
          <w:sz w:val="24"/>
        </w:rPr>
        <w:t>6</w:t>
      </w:r>
      <w:r w:rsidRPr="00324C76">
        <w:rPr>
          <w:color w:val="000000"/>
          <w:sz w:val="24"/>
        </w:rPr>
        <w:t>月</w:t>
      </w:r>
      <w:r w:rsidRPr="00324C76">
        <w:rPr>
          <w:color w:val="000000"/>
          <w:sz w:val="24"/>
        </w:rPr>
        <w:t>30</w:t>
      </w:r>
      <w:r w:rsidRPr="00324C76">
        <w:rPr>
          <w:color w:val="000000"/>
          <w:sz w:val="24"/>
        </w:rPr>
        <w:t>日，本基金份额净值为</w:t>
      </w:r>
      <w:r w:rsidRPr="00324C76">
        <w:rPr>
          <w:color w:val="000000"/>
          <w:sz w:val="24"/>
        </w:rPr>
        <w:t>1.161</w:t>
      </w:r>
      <w:r w:rsidRPr="00324C76">
        <w:rPr>
          <w:color w:val="000000"/>
          <w:sz w:val="24"/>
        </w:rPr>
        <w:t>元，本报告期份额净值增长率为</w:t>
      </w:r>
      <w:r w:rsidRPr="00324C76">
        <w:rPr>
          <w:color w:val="000000"/>
          <w:sz w:val="24"/>
        </w:rPr>
        <w:t>-8.00%</w:t>
      </w:r>
      <w:r w:rsidRPr="00324C76">
        <w:rPr>
          <w:color w:val="000000"/>
          <w:sz w:val="24"/>
        </w:rPr>
        <w:t>，同期业绩比较基准增长率为</w:t>
      </w:r>
      <w:r w:rsidRPr="00324C76">
        <w:rPr>
          <w:color w:val="000000"/>
          <w:sz w:val="24"/>
        </w:rPr>
        <w:t>-8.96%</w:t>
      </w:r>
      <w:r w:rsidRPr="00324C76">
        <w:rPr>
          <w:color w:val="000000"/>
          <w:sz w:val="24"/>
        </w:rPr>
        <w:t>。</w:t>
      </w:r>
    </w:p>
    <w:p w:rsidR="008A22A5" w:rsidRPr="00324C76" w:rsidRDefault="008A22A5" w:rsidP="00B04217">
      <w:pPr>
        <w:spacing w:before="29" w:line="288" w:lineRule="auto"/>
        <w:rPr>
          <w:kern w:val="0"/>
          <w:sz w:val="24"/>
        </w:rPr>
      </w:pPr>
    </w:p>
    <w:p w:rsidR="00700422" w:rsidRPr="002070B4" w:rsidRDefault="00700422" w:rsidP="0070042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700422" w:rsidRDefault="00700422" w:rsidP="00700422">
      <w:pPr>
        <w:spacing w:before="29" w:line="288" w:lineRule="auto"/>
        <w:ind w:firstLineChars="200" w:firstLine="480"/>
        <w:rPr>
          <w:color w:val="000000"/>
          <w:sz w:val="24"/>
        </w:rPr>
      </w:pPr>
      <w:r w:rsidRPr="002070B4">
        <w:rPr>
          <w:color w:val="000000"/>
          <w:sz w:val="24"/>
        </w:rPr>
        <w:t>本基金本报告期内无需预警说明。</w:t>
      </w:r>
    </w:p>
    <w:p w:rsidR="0092140D" w:rsidRPr="00324C76" w:rsidRDefault="0092140D" w:rsidP="00B04217">
      <w:pPr>
        <w:spacing w:before="29" w:line="288" w:lineRule="auto"/>
        <w:ind w:firstLineChars="200" w:firstLine="480"/>
        <w:rPr>
          <w:color w:val="000000"/>
          <w:sz w:val="24"/>
        </w:rPr>
      </w:pPr>
    </w:p>
    <w:p w:rsidR="00220542" w:rsidRPr="00324C76" w:rsidRDefault="00220542" w:rsidP="00AE0465">
      <w:pPr>
        <w:pStyle w:val="1"/>
        <w:spacing w:beforeLines="100" w:before="312" w:afterLines="100" w:after="312" w:line="288" w:lineRule="auto"/>
        <w:jc w:val="center"/>
        <w:rPr>
          <w:kern w:val="0"/>
          <w:sz w:val="24"/>
          <w:szCs w:val="24"/>
        </w:rPr>
      </w:pPr>
      <w:r w:rsidRPr="00324C76">
        <w:rPr>
          <w:kern w:val="0"/>
          <w:sz w:val="24"/>
          <w:szCs w:val="24"/>
        </w:rPr>
        <w:t xml:space="preserve">§5  </w:t>
      </w:r>
      <w:r w:rsidRPr="00324C76">
        <w:rPr>
          <w:kern w:val="0"/>
          <w:sz w:val="24"/>
          <w:szCs w:val="24"/>
        </w:rPr>
        <w:t>投资组合报告</w:t>
      </w:r>
    </w:p>
    <w:p w:rsidR="00BA170A" w:rsidRPr="00AE0465" w:rsidRDefault="00BA170A" w:rsidP="00BA170A">
      <w:pPr>
        <w:autoSpaceDE w:val="0"/>
        <w:autoSpaceDN w:val="0"/>
        <w:adjustRightInd w:val="0"/>
        <w:spacing w:line="360" w:lineRule="auto"/>
        <w:jc w:val="left"/>
        <w:rPr>
          <w:rFonts w:eastAsiaTheme="minorEastAsia"/>
          <w:b/>
          <w:color w:val="000000" w:themeColor="text1"/>
          <w:kern w:val="0"/>
          <w:sz w:val="24"/>
        </w:rPr>
      </w:pPr>
      <w:r w:rsidRPr="00AE0465">
        <w:rPr>
          <w:rFonts w:eastAsiaTheme="minorEastAsia"/>
          <w:b/>
          <w:color w:val="000000" w:themeColor="text1"/>
          <w:kern w:val="0"/>
          <w:sz w:val="24"/>
        </w:rPr>
        <w:t xml:space="preserve">5.1 </w:t>
      </w:r>
      <w:r w:rsidRPr="00AE0465">
        <w:rPr>
          <w:rFonts w:eastAsiaTheme="minorEastAsia"/>
          <w:b/>
          <w:color w:val="000000" w:themeColor="text1"/>
          <w:kern w:val="0"/>
          <w:sz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序号</w:t>
            </w:r>
          </w:p>
        </w:tc>
        <w:tc>
          <w:tcPr>
            <w:tcW w:w="2824"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项目</w:t>
            </w:r>
          </w:p>
        </w:tc>
        <w:tc>
          <w:tcPr>
            <w:tcW w:w="2552"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金额</w:t>
            </w:r>
            <w:r w:rsidRPr="00AE0465">
              <w:rPr>
                <w:rFonts w:eastAsiaTheme="minorEastAsia"/>
                <w:color w:val="000000" w:themeColor="text1"/>
                <w:sz w:val="24"/>
              </w:rPr>
              <w:t>(</w:t>
            </w:r>
            <w:r w:rsidRPr="00AE0465">
              <w:rPr>
                <w:rFonts w:eastAsiaTheme="minorEastAsia"/>
                <w:color w:val="000000" w:themeColor="text1"/>
                <w:sz w:val="24"/>
              </w:rPr>
              <w:t>元</w:t>
            </w: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占基金总资产的比例</w:t>
            </w: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1</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权益投资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6,690,451.72</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1.76</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其中：股票</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6,690,451.72</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1.76</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2</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ascii="宋体" w:hAnsi="宋体" w:hint="eastAsia"/>
                <w:sz w:val="24"/>
              </w:rPr>
              <w:t>基金投资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353,382,289.37</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92.80</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3</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固定收益投资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其中：债券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AE0465">
            <w:pPr>
              <w:autoSpaceDE w:val="0"/>
              <w:autoSpaceDN w:val="0"/>
              <w:adjustRightInd w:val="0"/>
              <w:spacing w:before="29" w:line="360" w:lineRule="auto"/>
              <w:ind w:left="17" w:firstLineChars="300" w:firstLine="720"/>
              <w:jc w:val="left"/>
              <w:rPr>
                <w:rFonts w:eastAsiaTheme="minorEastAsia"/>
                <w:color w:val="000000" w:themeColor="text1"/>
                <w:sz w:val="24"/>
              </w:rPr>
            </w:pPr>
            <w:r w:rsidRPr="00AE0465">
              <w:rPr>
                <w:rFonts w:eastAsiaTheme="minorEastAsia"/>
                <w:color w:val="000000" w:themeColor="text1"/>
                <w:sz w:val="24"/>
              </w:rPr>
              <w:t>资产支持证券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4</w:t>
            </w:r>
          </w:p>
        </w:tc>
        <w:tc>
          <w:tcPr>
            <w:tcW w:w="2824" w:type="dxa"/>
            <w:vAlign w:val="center"/>
          </w:tcPr>
          <w:p w:rsidR="00BA170A" w:rsidRPr="00AE0465" w:rsidRDefault="00BA170A" w:rsidP="002D2971">
            <w:pPr>
              <w:spacing w:before="29" w:line="360" w:lineRule="auto"/>
              <w:ind w:leftChars="50" w:left="105"/>
              <w:rPr>
                <w:rFonts w:eastAsiaTheme="minorEastAsia"/>
                <w:color w:val="000000" w:themeColor="text1"/>
                <w:sz w:val="24"/>
              </w:rPr>
            </w:pPr>
            <w:r w:rsidRPr="00AE0465">
              <w:rPr>
                <w:rFonts w:eastAsiaTheme="minorEastAsia"/>
                <w:color w:val="000000" w:themeColor="text1"/>
                <w:sz w:val="24"/>
              </w:rPr>
              <w:t>贵金属投资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5</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金融衍生品投资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6</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其中：买断式回购的买入返售金融资产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7</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银行存款和结算备付金合计</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20,635,485.09</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5.42</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lastRenderedPageBreak/>
              <w:t>8</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其他各项资产</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80,049.12</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0.02</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9</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合计</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380,788,275.30</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100.00</w:t>
            </w:r>
          </w:p>
        </w:tc>
      </w:tr>
    </w:tbl>
    <w:p w:rsidR="00D83335" w:rsidRPr="00324C76" w:rsidRDefault="00D83335" w:rsidP="00B04217">
      <w:pPr>
        <w:autoSpaceDE w:val="0"/>
        <w:autoSpaceDN w:val="0"/>
        <w:adjustRightInd w:val="0"/>
        <w:spacing w:before="29" w:line="288" w:lineRule="auto"/>
        <w:jc w:val="left"/>
        <w:rPr>
          <w:sz w:val="24"/>
        </w:rPr>
      </w:pPr>
    </w:p>
    <w:p w:rsidR="00D83335" w:rsidRPr="00324C76" w:rsidRDefault="00D83335" w:rsidP="00B04217">
      <w:pPr>
        <w:autoSpaceDE w:val="0"/>
        <w:autoSpaceDN w:val="0"/>
        <w:adjustRightInd w:val="0"/>
        <w:spacing w:before="29" w:line="288" w:lineRule="auto"/>
        <w:jc w:val="left"/>
        <w:rPr>
          <w:b/>
          <w:kern w:val="0"/>
          <w:sz w:val="24"/>
        </w:rPr>
      </w:pPr>
      <w:r w:rsidRPr="00324C76">
        <w:rPr>
          <w:b/>
          <w:kern w:val="0"/>
          <w:sz w:val="24"/>
        </w:rPr>
        <w:t>5.2</w:t>
      </w:r>
      <w:r w:rsidRPr="00324C76">
        <w:rPr>
          <w:b/>
          <w:kern w:val="0"/>
          <w:sz w:val="24"/>
        </w:rPr>
        <w:t>期末投资目标基金明细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265"/>
        <w:gridCol w:w="1266"/>
        <w:gridCol w:w="1267"/>
        <w:gridCol w:w="1267"/>
        <w:gridCol w:w="1267"/>
        <w:gridCol w:w="1268"/>
        <w:gridCol w:w="1268"/>
      </w:tblGrid>
      <w:tr w:rsidR="00AD036A" w:rsidRPr="00324C76" w:rsidTr="00E42623">
        <w:trPr>
          <w:jc w:val="center"/>
        </w:trPr>
        <w:tc>
          <w:tcPr>
            <w:tcW w:w="1215"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序号</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基金名称</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基金类型</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运作方式</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管理人</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公允价值</w:t>
            </w:r>
            <w:r w:rsidR="008A6913" w:rsidRPr="00324C76">
              <w:rPr>
                <w:kern w:val="0"/>
                <w:sz w:val="24"/>
              </w:rPr>
              <w:t>（元）</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占基金资产净值比例</w:t>
            </w:r>
            <w:r w:rsidR="008A6913" w:rsidRPr="00324C76">
              <w:rPr>
                <w:kern w:val="0"/>
                <w:sz w:val="24"/>
              </w:rPr>
              <w:t>（％）</w:t>
            </w:r>
          </w:p>
        </w:tc>
      </w:tr>
      <w:tr w:rsidR="000F523A">
        <w:trPr>
          <w:jc w:val="center"/>
        </w:trPr>
        <w:tc>
          <w:tcPr>
            <w:tcW w:w="1265" w:type="dxa"/>
            <w:vAlign w:val="center"/>
          </w:tcPr>
          <w:p w:rsidR="000F523A" w:rsidRDefault="00B4127A">
            <w:pPr>
              <w:jc w:val="center"/>
            </w:pPr>
            <w:r>
              <w:rPr>
                <w:sz w:val="24"/>
              </w:rPr>
              <w:t>1</w:t>
            </w:r>
          </w:p>
        </w:tc>
        <w:tc>
          <w:tcPr>
            <w:tcW w:w="1266" w:type="dxa"/>
            <w:vAlign w:val="center"/>
          </w:tcPr>
          <w:p w:rsidR="000F523A" w:rsidRDefault="00B4127A">
            <w:pPr>
              <w:jc w:val="center"/>
            </w:pPr>
            <w:r>
              <w:rPr>
                <w:sz w:val="24"/>
              </w:rPr>
              <w:t>上证</w:t>
            </w:r>
            <w:r>
              <w:rPr>
                <w:sz w:val="24"/>
              </w:rPr>
              <w:t>180</w:t>
            </w:r>
            <w:r>
              <w:rPr>
                <w:sz w:val="24"/>
              </w:rPr>
              <w:t>公司治理交易型开放式指数证券投资基金</w:t>
            </w:r>
          </w:p>
        </w:tc>
        <w:tc>
          <w:tcPr>
            <w:tcW w:w="1267" w:type="dxa"/>
            <w:vAlign w:val="center"/>
          </w:tcPr>
          <w:p w:rsidR="000F523A" w:rsidRDefault="00B4127A">
            <w:pPr>
              <w:jc w:val="center"/>
            </w:pPr>
            <w:r>
              <w:rPr>
                <w:sz w:val="24"/>
              </w:rPr>
              <w:t>股票型</w:t>
            </w:r>
          </w:p>
        </w:tc>
        <w:tc>
          <w:tcPr>
            <w:tcW w:w="1267" w:type="dxa"/>
            <w:vAlign w:val="center"/>
          </w:tcPr>
          <w:p w:rsidR="000F523A" w:rsidRDefault="00B4127A">
            <w:pPr>
              <w:jc w:val="center"/>
            </w:pPr>
            <w:r>
              <w:rPr>
                <w:sz w:val="24"/>
              </w:rPr>
              <w:t>交易型开放式</w:t>
            </w:r>
          </w:p>
        </w:tc>
        <w:tc>
          <w:tcPr>
            <w:tcW w:w="1267" w:type="dxa"/>
            <w:vAlign w:val="center"/>
          </w:tcPr>
          <w:p w:rsidR="000F523A" w:rsidRDefault="00B4127A">
            <w:pPr>
              <w:jc w:val="center"/>
            </w:pPr>
            <w:r>
              <w:rPr>
                <w:sz w:val="24"/>
              </w:rPr>
              <w:t>交银施罗德基金管理有限公司</w:t>
            </w:r>
          </w:p>
        </w:tc>
        <w:tc>
          <w:tcPr>
            <w:tcW w:w="1268" w:type="dxa"/>
            <w:vAlign w:val="center"/>
          </w:tcPr>
          <w:p w:rsidR="000F523A" w:rsidRDefault="00B4127A">
            <w:pPr>
              <w:jc w:val="right"/>
            </w:pPr>
            <w:r>
              <w:rPr>
                <w:sz w:val="24"/>
              </w:rPr>
              <w:t>353,382,289.37</w:t>
            </w:r>
          </w:p>
        </w:tc>
        <w:tc>
          <w:tcPr>
            <w:tcW w:w="1268" w:type="dxa"/>
            <w:vAlign w:val="center"/>
          </w:tcPr>
          <w:p w:rsidR="000F523A" w:rsidRDefault="00B4127A">
            <w:pPr>
              <w:jc w:val="right"/>
            </w:pPr>
            <w:r>
              <w:rPr>
                <w:sz w:val="24"/>
              </w:rPr>
              <w:t>93.01</w:t>
            </w:r>
          </w:p>
        </w:tc>
      </w:tr>
    </w:tbl>
    <w:p w:rsidR="00C640D9" w:rsidRPr="00324C76" w:rsidRDefault="00C640D9" w:rsidP="00B04217">
      <w:pPr>
        <w:autoSpaceDE w:val="0"/>
        <w:autoSpaceDN w:val="0"/>
        <w:adjustRightInd w:val="0"/>
        <w:spacing w:before="29" w:line="288" w:lineRule="auto"/>
        <w:jc w:val="left"/>
        <w:rPr>
          <w:kern w:val="0"/>
          <w:sz w:val="24"/>
        </w:rPr>
      </w:pPr>
    </w:p>
    <w:p w:rsidR="00220542"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3</w:t>
      </w:r>
      <w:r w:rsidRPr="00324C76">
        <w:rPr>
          <w:b/>
          <w:kern w:val="0"/>
          <w:sz w:val="24"/>
        </w:rPr>
        <w:t>报告期末按行业分类的股票投资组合</w:t>
      </w:r>
    </w:p>
    <w:p w:rsidR="000D27BF" w:rsidRPr="000D27BF" w:rsidRDefault="000D27BF" w:rsidP="000D27BF">
      <w:pPr>
        <w:rPr>
          <w:b/>
          <w:sz w:val="24"/>
        </w:rPr>
      </w:pPr>
      <w:r>
        <w:rPr>
          <w:rFonts w:eastAsiaTheme="minorEastAsia" w:hint="eastAsia"/>
          <w:b/>
          <w:color w:val="000000" w:themeColor="text1"/>
          <w:kern w:val="0"/>
          <w:sz w:val="24"/>
        </w:rPr>
        <w:t>5.3</w:t>
      </w:r>
      <w:r w:rsidRPr="004A3846">
        <w:rPr>
          <w:rFonts w:eastAsiaTheme="minorEastAsia" w:hint="eastAsia"/>
          <w:b/>
          <w:color w:val="000000" w:themeColor="text1"/>
          <w:kern w:val="0"/>
          <w:sz w:val="24"/>
        </w:rPr>
        <w:t>.1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bottom w:w="-1" w:type="dxa"/>
        </w:tblCellMar>
        <w:tblLook w:val="0000" w:firstRow="0" w:lastRow="0" w:firstColumn="0" w:lastColumn="0" w:noHBand="0" w:noVBand="0"/>
      </w:tblPr>
      <w:tblGrid>
        <w:gridCol w:w="845"/>
        <w:gridCol w:w="3453"/>
        <w:gridCol w:w="3115"/>
        <w:gridCol w:w="1455"/>
      </w:tblGrid>
      <w:tr w:rsidR="003634D5" w:rsidRPr="00324C76" w:rsidTr="00EF1D5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代码</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行业类别</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公允价值（元）</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占基金资产净值比例（％）</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A</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农、林、牧、渔业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17,874.00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0.00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B</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采矿业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74B0F">
            <w:pPr>
              <w:spacing w:before="29" w:line="288" w:lineRule="auto"/>
              <w:jc w:val="right"/>
              <w:rPr>
                <w:sz w:val="24"/>
              </w:rPr>
            </w:pPr>
            <w:r w:rsidRPr="00324C76">
              <w:rPr>
                <w:sz w:val="24"/>
              </w:rPr>
              <w:t>382,761.00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74B0F">
            <w:pPr>
              <w:spacing w:before="29" w:line="288" w:lineRule="auto"/>
              <w:jc w:val="right"/>
              <w:rPr>
                <w:sz w:val="24"/>
              </w:rPr>
            </w:pPr>
            <w:r w:rsidRPr="00324C76">
              <w:rPr>
                <w:sz w:val="24"/>
              </w:rPr>
              <w:t>0.10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C</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制造业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1,595,602.92</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0.42</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D</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电力、热力、燃气及水生产和供应业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347,621.00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0.09</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E</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建筑业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506,304.20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0.13</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F</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批发和零售业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155,584.40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0.04</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G</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交通运输、仓储和邮政业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254,799.00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H</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住宿和餐饮业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02794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I</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027942">
            <w:pPr>
              <w:adjustRightInd w:val="0"/>
              <w:snapToGrid w:val="0"/>
              <w:spacing w:before="29" w:line="288" w:lineRule="auto"/>
              <w:rPr>
                <w:sz w:val="24"/>
              </w:rPr>
            </w:pPr>
            <w:r w:rsidRPr="00324C76">
              <w:rPr>
                <w:sz w:val="24"/>
              </w:rPr>
              <w:t>信息传输、软件和信息技术服务业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122,780.00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0.03</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J</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金融业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3,016,325.00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0.79</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K</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房地产业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275,533.60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L</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租赁和商务服务业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M</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科学研究和技术服务业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lastRenderedPageBreak/>
              <w:t>N</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水利、环境和公共设施管理业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316.60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O</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居民服务、修理和其他服务业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P</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教育</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Q</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卫生和社会工作</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R</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文化、体育和娱乐业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S</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综合</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14,950.00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合计</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6,690,451.72</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1.76</w:t>
            </w:r>
          </w:p>
        </w:tc>
      </w:tr>
    </w:tbl>
    <w:p w:rsidR="000D27BF" w:rsidRPr="008A409E" w:rsidRDefault="000D27BF" w:rsidP="000D27BF">
      <w:pPr>
        <w:jc w:val="left"/>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5.3</w:t>
      </w:r>
      <w:r w:rsidRPr="008A409E">
        <w:rPr>
          <w:rFonts w:asciiTheme="minorEastAsia" w:eastAsiaTheme="minorEastAsia" w:hAnsiTheme="minorEastAsia" w:hint="eastAsia"/>
          <w:b/>
          <w:bCs/>
          <w:color w:val="000000" w:themeColor="text1"/>
          <w:kern w:val="0"/>
          <w:sz w:val="24"/>
        </w:rPr>
        <w:t>.2报告期末按行业分类的</w:t>
      </w:r>
      <w:r w:rsidR="0047622F">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0D27BF" w:rsidRDefault="000D27BF" w:rsidP="000D27BF">
      <w:pPr>
        <w:spacing w:before="29" w:line="360" w:lineRule="auto"/>
        <w:ind w:left="17"/>
        <w:rPr>
          <w:color w:val="000000"/>
          <w:sz w:val="24"/>
        </w:rPr>
      </w:pPr>
      <w:r w:rsidRPr="00FF0BBF">
        <w:rPr>
          <w:color w:val="000000"/>
          <w:sz w:val="24"/>
        </w:rPr>
        <w:t>本基金本报告期末未持有通过港股通投资的股票。</w:t>
      </w:r>
    </w:p>
    <w:p w:rsidR="00220542" w:rsidRPr="000D27BF"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4</w:t>
      </w:r>
      <w:r w:rsidRPr="00324C76">
        <w:rPr>
          <w:b/>
          <w:kern w:val="0"/>
          <w:sz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49"/>
        <w:gridCol w:w="1327"/>
        <w:gridCol w:w="1621"/>
        <w:gridCol w:w="1769"/>
        <w:gridCol w:w="2211"/>
        <w:gridCol w:w="1091"/>
      </w:tblGrid>
      <w:tr w:rsidR="00BA574A" w:rsidRPr="00324C76" w:rsidTr="00E42623">
        <w:trPr>
          <w:jc w:val="center"/>
        </w:trPr>
        <w:tc>
          <w:tcPr>
            <w:tcW w:w="817"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序号</w:t>
            </w:r>
          </w:p>
        </w:tc>
        <w:tc>
          <w:tcPr>
            <w:tcW w:w="1276"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股票代码</w:t>
            </w:r>
          </w:p>
        </w:tc>
        <w:tc>
          <w:tcPr>
            <w:tcW w:w="155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股票名称</w:t>
            </w:r>
          </w:p>
        </w:tc>
        <w:tc>
          <w:tcPr>
            <w:tcW w:w="1701"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数量</w:t>
            </w:r>
            <w:r w:rsidR="00CB6AC9" w:rsidRPr="00324C76">
              <w:rPr>
                <w:color w:val="000000"/>
                <w:sz w:val="24"/>
              </w:rPr>
              <w:t>（股）</w:t>
            </w:r>
          </w:p>
        </w:tc>
        <w:tc>
          <w:tcPr>
            <w:tcW w:w="2126" w:type="dxa"/>
            <w:vAlign w:val="center"/>
          </w:tcPr>
          <w:p w:rsidR="00BA574A" w:rsidRPr="00324C76" w:rsidRDefault="00BA574A" w:rsidP="00B04217">
            <w:pPr>
              <w:autoSpaceDE w:val="0"/>
              <w:autoSpaceDN w:val="0"/>
              <w:adjustRightInd w:val="0"/>
              <w:spacing w:before="29" w:line="288" w:lineRule="auto"/>
              <w:ind w:left="17"/>
              <w:jc w:val="center"/>
              <w:rPr>
                <w:color w:val="000000"/>
                <w:sz w:val="24"/>
              </w:rPr>
            </w:pPr>
            <w:r w:rsidRPr="00324C76">
              <w:rPr>
                <w:color w:val="000000"/>
                <w:sz w:val="24"/>
              </w:rPr>
              <w:t>公允价值</w:t>
            </w:r>
            <w:r w:rsidRPr="00324C76">
              <w:rPr>
                <w:color w:val="000000"/>
                <w:sz w:val="24"/>
              </w:rPr>
              <w:t>(</w:t>
            </w:r>
            <w:r w:rsidRPr="00324C76">
              <w:rPr>
                <w:color w:val="000000"/>
                <w:sz w:val="24"/>
              </w:rPr>
              <w:t>元</w:t>
            </w:r>
            <w:r w:rsidRPr="00324C76">
              <w:rPr>
                <w:color w:val="000000"/>
                <w:sz w:val="24"/>
              </w:rPr>
              <w:t>)</w:t>
            </w:r>
          </w:p>
        </w:tc>
        <w:tc>
          <w:tcPr>
            <w:tcW w:w="104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占基金资产净值比例</w:t>
            </w:r>
            <w:r w:rsidR="00CB6AC9" w:rsidRPr="00324C76">
              <w:rPr>
                <w:color w:val="000000"/>
                <w:sz w:val="24"/>
              </w:rPr>
              <w:t>（％）</w:t>
            </w:r>
          </w:p>
        </w:tc>
      </w:tr>
      <w:tr w:rsidR="000F523A">
        <w:trPr>
          <w:jc w:val="center"/>
        </w:trPr>
        <w:tc>
          <w:tcPr>
            <w:tcW w:w="849" w:type="dxa"/>
            <w:vAlign w:val="center"/>
          </w:tcPr>
          <w:p w:rsidR="000F523A" w:rsidRDefault="00B4127A">
            <w:pPr>
              <w:jc w:val="center"/>
            </w:pPr>
            <w:r>
              <w:rPr>
                <w:color w:val="000000"/>
                <w:sz w:val="24"/>
              </w:rPr>
              <w:t>1</w:t>
            </w:r>
          </w:p>
        </w:tc>
        <w:tc>
          <w:tcPr>
            <w:tcW w:w="1327" w:type="dxa"/>
            <w:vAlign w:val="center"/>
          </w:tcPr>
          <w:p w:rsidR="000F523A" w:rsidRDefault="00B4127A">
            <w:pPr>
              <w:jc w:val="center"/>
            </w:pPr>
            <w:r>
              <w:rPr>
                <w:color w:val="000000"/>
                <w:sz w:val="24"/>
              </w:rPr>
              <w:t>601318</w:t>
            </w:r>
          </w:p>
        </w:tc>
        <w:tc>
          <w:tcPr>
            <w:tcW w:w="1621" w:type="dxa"/>
            <w:vAlign w:val="center"/>
          </w:tcPr>
          <w:p w:rsidR="000F523A" w:rsidRDefault="00B4127A">
            <w:pPr>
              <w:jc w:val="center"/>
            </w:pPr>
            <w:r>
              <w:rPr>
                <w:color w:val="000000"/>
                <w:sz w:val="24"/>
              </w:rPr>
              <w:t>中国平安</w:t>
            </w:r>
          </w:p>
        </w:tc>
        <w:tc>
          <w:tcPr>
            <w:tcW w:w="1769" w:type="dxa"/>
            <w:vAlign w:val="center"/>
          </w:tcPr>
          <w:p w:rsidR="000F523A" w:rsidRDefault="00B4127A">
            <w:pPr>
              <w:jc w:val="right"/>
            </w:pPr>
            <w:r>
              <w:rPr>
                <w:color w:val="000000"/>
                <w:sz w:val="24"/>
              </w:rPr>
              <w:t>17,900</w:t>
            </w:r>
          </w:p>
        </w:tc>
        <w:tc>
          <w:tcPr>
            <w:tcW w:w="2211" w:type="dxa"/>
            <w:vAlign w:val="center"/>
          </w:tcPr>
          <w:p w:rsidR="000F523A" w:rsidRDefault="00B4127A">
            <w:pPr>
              <w:jc w:val="right"/>
            </w:pPr>
            <w:r>
              <w:rPr>
                <w:color w:val="000000"/>
                <w:sz w:val="24"/>
              </w:rPr>
              <w:t>1,048,582.00</w:t>
            </w:r>
          </w:p>
        </w:tc>
        <w:tc>
          <w:tcPr>
            <w:tcW w:w="1091" w:type="dxa"/>
            <w:vAlign w:val="center"/>
          </w:tcPr>
          <w:p w:rsidR="000F523A" w:rsidRDefault="00B4127A">
            <w:pPr>
              <w:jc w:val="right"/>
            </w:pPr>
            <w:r>
              <w:rPr>
                <w:color w:val="000000"/>
                <w:sz w:val="24"/>
              </w:rPr>
              <w:t>0.28</w:t>
            </w:r>
          </w:p>
        </w:tc>
      </w:tr>
      <w:tr w:rsidR="000F523A">
        <w:trPr>
          <w:jc w:val="center"/>
        </w:trPr>
        <w:tc>
          <w:tcPr>
            <w:tcW w:w="849" w:type="dxa"/>
            <w:vAlign w:val="center"/>
          </w:tcPr>
          <w:p w:rsidR="000F523A" w:rsidRDefault="00B4127A">
            <w:pPr>
              <w:jc w:val="center"/>
            </w:pPr>
            <w:r>
              <w:rPr>
                <w:color w:val="000000"/>
                <w:sz w:val="24"/>
              </w:rPr>
              <w:t>2</w:t>
            </w:r>
          </w:p>
        </w:tc>
        <w:tc>
          <w:tcPr>
            <w:tcW w:w="1327" w:type="dxa"/>
            <w:vAlign w:val="center"/>
          </w:tcPr>
          <w:p w:rsidR="000F523A" w:rsidRDefault="00B4127A">
            <w:pPr>
              <w:jc w:val="center"/>
            </w:pPr>
            <w:r>
              <w:rPr>
                <w:color w:val="000000"/>
                <w:sz w:val="24"/>
              </w:rPr>
              <w:t>600036</w:t>
            </w:r>
          </w:p>
        </w:tc>
        <w:tc>
          <w:tcPr>
            <w:tcW w:w="1621" w:type="dxa"/>
            <w:vAlign w:val="center"/>
          </w:tcPr>
          <w:p w:rsidR="000F523A" w:rsidRDefault="00B4127A">
            <w:pPr>
              <w:jc w:val="center"/>
            </w:pPr>
            <w:r>
              <w:rPr>
                <w:color w:val="000000"/>
                <w:sz w:val="24"/>
              </w:rPr>
              <w:t>招商银行</w:t>
            </w:r>
          </w:p>
        </w:tc>
        <w:tc>
          <w:tcPr>
            <w:tcW w:w="1769" w:type="dxa"/>
            <w:vAlign w:val="center"/>
          </w:tcPr>
          <w:p w:rsidR="000F523A" w:rsidRDefault="00B4127A">
            <w:pPr>
              <w:jc w:val="right"/>
            </w:pPr>
            <w:r>
              <w:rPr>
                <w:color w:val="000000"/>
                <w:sz w:val="24"/>
              </w:rPr>
              <w:t>17,000</w:t>
            </w:r>
          </w:p>
        </w:tc>
        <w:tc>
          <w:tcPr>
            <w:tcW w:w="2211" w:type="dxa"/>
            <w:vAlign w:val="center"/>
          </w:tcPr>
          <w:p w:rsidR="000F523A" w:rsidRDefault="00B4127A">
            <w:pPr>
              <w:jc w:val="right"/>
            </w:pPr>
            <w:r>
              <w:rPr>
                <w:color w:val="000000"/>
                <w:sz w:val="24"/>
              </w:rPr>
              <w:t>449,480.00</w:t>
            </w:r>
          </w:p>
        </w:tc>
        <w:tc>
          <w:tcPr>
            <w:tcW w:w="1091" w:type="dxa"/>
            <w:vAlign w:val="center"/>
          </w:tcPr>
          <w:p w:rsidR="000F523A" w:rsidRDefault="00B4127A">
            <w:pPr>
              <w:jc w:val="right"/>
            </w:pPr>
            <w:r>
              <w:rPr>
                <w:color w:val="000000"/>
                <w:sz w:val="24"/>
              </w:rPr>
              <w:t>0.12</w:t>
            </w:r>
          </w:p>
        </w:tc>
      </w:tr>
      <w:tr w:rsidR="000F523A">
        <w:trPr>
          <w:jc w:val="center"/>
        </w:trPr>
        <w:tc>
          <w:tcPr>
            <w:tcW w:w="849" w:type="dxa"/>
            <w:vAlign w:val="center"/>
          </w:tcPr>
          <w:p w:rsidR="000F523A" w:rsidRDefault="00B4127A">
            <w:pPr>
              <w:jc w:val="center"/>
            </w:pPr>
            <w:r>
              <w:rPr>
                <w:color w:val="000000"/>
                <w:sz w:val="24"/>
              </w:rPr>
              <w:t>3</w:t>
            </w:r>
          </w:p>
        </w:tc>
        <w:tc>
          <w:tcPr>
            <w:tcW w:w="1327" w:type="dxa"/>
            <w:vAlign w:val="center"/>
          </w:tcPr>
          <w:p w:rsidR="000F523A" w:rsidRDefault="00B4127A">
            <w:pPr>
              <w:jc w:val="center"/>
            </w:pPr>
            <w:r>
              <w:rPr>
                <w:color w:val="000000"/>
                <w:sz w:val="24"/>
              </w:rPr>
              <w:t>601166</w:t>
            </w:r>
          </w:p>
        </w:tc>
        <w:tc>
          <w:tcPr>
            <w:tcW w:w="1621" w:type="dxa"/>
            <w:vAlign w:val="center"/>
          </w:tcPr>
          <w:p w:rsidR="000F523A" w:rsidRDefault="00B4127A">
            <w:pPr>
              <w:jc w:val="center"/>
            </w:pPr>
            <w:r>
              <w:rPr>
                <w:color w:val="000000"/>
                <w:sz w:val="24"/>
              </w:rPr>
              <w:t>兴业银行</w:t>
            </w:r>
          </w:p>
        </w:tc>
        <w:tc>
          <w:tcPr>
            <w:tcW w:w="1769" w:type="dxa"/>
            <w:vAlign w:val="center"/>
          </w:tcPr>
          <w:p w:rsidR="000F523A" w:rsidRDefault="00B4127A">
            <w:pPr>
              <w:jc w:val="right"/>
            </w:pPr>
            <w:r>
              <w:rPr>
                <w:color w:val="000000"/>
                <w:sz w:val="24"/>
              </w:rPr>
              <w:t>20,600</w:t>
            </w:r>
          </w:p>
        </w:tc>
        <w:tc>
          <w:tcPr>
            <w:tcW w:w="2211" w:type="dxa"/>
            <w:vAlign w:val="center"/>
          </w:tcPr>
          <w:p w:rsidR="000F523A" w:rsidRDefault="00B4127A">
            <w:pPr>
              <w:jc w:val="right"/>
            </w:pPr>
            <w:r>
              <w:rPr>
                <w:color w:val="000000"/>
                <w:sz w:val="24"/>
              </w:rPr>
              <w:t>296,640.00</w:t>
            </w:r>
          </w:p>
        </w:tc>
        <w:tc>
          <w:tcPr>
            <w:tcW w:w="1091" w:type="dxa"/>
            <w:vAlign w:val="center"/>
          </w:tcPr>
          <w:p w:rsidR="000F523A" w:rsidRDefault="00B4127A">
            <w:pPr>
              <w:jc w:val="right"/>
            </w:pPr>
            <w:r>
              <w:rPr>
                <w:color w:val="000000"/>
                <w:sz w:val="24"/>
              </w:rPr>
              <w:t>0.08</w:t>
            </w:r>
          </w:p>
        </w:tc>
      </w:tr>
      <w:tr w:rsidR="000F523A">
        <w:trPr>
          <w:jc w:val="center"/>
        </w:trPr>
        <w:tc>
          <w:tcPr>
            <w:tcW w:w="849" w:type="dxa"/>
            <w:vAlign w:val="center"/>
          </w:tcPr>
          <w:p w:rsidR="000F523A" w:rsidRDefault="00B4127A">
            <w:pPr>
              <w:jc w:val="center"/>
            </w:pPr>
            <w:r>
              <w:rPr>
                <w:color w:val="000000"/>
                <w:sz w:val="24"/>
              </w:rPr>
              <w:t>4</w:t>
            </w:r>
          </w:p>
        </w:tc>
        <w:tc>
          <w:tcPr>
            <w:tcW w:w="1327" w:type="dxa"/>
            <w:vAlign w:val="center"/>
          </w:tcPr>
          <w:p w:rsidR="000F523A" w:rsidRDefault="00B4127A">
            <w:pPr>
              <w:jc w:val="center"/>
            </w:pPr>
            <w:r>
              <w:rPr>
                <w:color w:val="000000"/>
                <w:sz w:val="24"/>
              </w:rPr>
              <w:t>600104</w:t>
            </w:r>
          </w:p>
        </w:tc>
        <w:tc>
          <w:tcPr>
            <w:tcW w:w="1621" w:type="dxa"/>
            <w:vAlign w:val="center"/>
          </w:tcPr>
          <w:p w:rsidR="000F523A" w:rsidRDefault="00B4127A">
            <w:pPr>
              <w:jc w:val="center"/>
            </w:pPr>
            <w:r>
              <w:rPr>
                <w:color w:val="000000"/>
                <w:sz w:val="24"/>
              </w:rPr>
              <w:t>上汽集团</w:t>
            </w:r>
          </w:p>
        </w:tc>
        <w:tc>
          <w:tcPr>
            <w:tcW w:w="1769" w:type="dxa"/>
            <w:vAlign w:val="center"/>
          </w:tcPr>
          <w:p w:rsidR="000F523A" w:rsidRDefault="00B4127A">
            <w:pPr>
              <w:jc w:val="right"/>
            </w:pPr>
            <w:r>
              <w:rPr>
                <w:color w:val="000000"/>
                <w:sz w:val="24"/>
              </w:rPr>
              <w:t>5,800</w:t>
            </w:r>
          </w:p>
        </w:tc>
        <w:tc>
          <w:tcPr>
            <w:tcW w:w="2211" w:type="dxa"/>
            <w:vAlign w:val="center"/>
          </w:tcPr>
          <w:p w:rsidR="000F523A" w:rsidRDefault="00B4127A">
            <w:pPr>
              <w:jc w:val="right"/>
            </w:pPr>
            <w:r>
              <w:rPr>
                <w:color w:val="000000"/>
                <w:sz w:val="24"/>
              </w:rPr>
              <w:t>202,942.00</w:t>
            </w:r>
          </w:p>
        </w:tc>
        <w:tc>
          <w:tcPr>
            <w:tcW w:w="1091" w:type="dxa"/>
            <w:vAlign w:val="center"/>
          </w:tcPr>
          <w:p w:rsidR="000F523A" w:rsidRDefault="00B4127A">
            <w:pPr>
              <w:jc w:val="right"/>
            </w:pPr>
            <w:r>
              <w:rPr>
                <w:color w:val="000000"/>
                <w:sz w:val="24"/>
              </w:rPr>
              <w:t>0.05</w:t>
            </w:r>
          </w:p>
        </w:tc>
      </w:tr>
      <w:tr w:rsidR="000F523A">
        <w:trPr>
          <w:jc w:val="center"/>
        </w:trPr>
        <w:tc>
          <w:tcPr>
            <w:tcW w:w="849" w:type="dxa"/>
            <w:vAlign w:val="center"/>
          </w:tcPr>
          <w:p w:rsidR="000F523A" w:rsidRDefault="00B4127A">
            <w:pPr>
              <w:jc w:val="center"/>
            </w:pPr>
            <w:r>
              <w:rPr>
                <w:color w:val="000000"/>
                <w:sz w:val="24"/>
              </w:rPr>
              <w:t>5</w:t>
            </w:r>
          </w:p>
        </w:tc>
        <w:tc>
          <w:tcPr>
            <w:tcW w:w="1327" w:type="dxa"/>
            <w:vAlign w:val="center"/>
          </w:tcPr>
          <w:p w:rsidR="000F523A" w:rsidRDefault="00B4127A">
            <w:pPr>
              <w:jc w:val="center"/>
            </w:pPr>
            <w:r>
              <w:rPr>
                <w:color w:val="000000"/>
                <w:sz w:val="24"/>
              </w:rPr>
              <w:t>601668</w:t>
            </w:r>
          </w:p>
        </w:tc>
        <w:tc>
          <w:tcPr>
            <w:tcW w:w="1621" w:type="dxa"/>
            <w:vAlign w:val="center"/>
          </w:tcPr>
          <w:p w:rsidR="000F523A" w:rsidRDefault="00B4127A">
            <w:pPr>
              <w:jc w:val="center"/>
            </w:pPr>
            <w:r>
              <w:rPr>
                <w:color w:val="000000"/>
                <w:sz w:val="24"/>
              </w:rPr>
              <w:t>中国建筑</w:t>
            </w:r>
          </w:p>
        </w:tc>
        <w:tc>
          <w:tcPr>
            <w:tcW w:w="1769" w:type="dxa"/>
            <w:vAlign w:val="center"/>
          </w:tcPr>
          <w:p w:rsidR="000F523A" w:rsidRDefault="00B4127A">
            <w:pPr>
              <w:jc w:val="right"/>
            </w:pPr>
            <w:r>
              <w:rPr>
                <w:color w:val="000000"/>
                <w:sz w:val="24"/>
              </w:rPr>
              <w:t>34,720</w:t>
            </w:r>
          </w:p>
        </w:tc>
        <w:tc>
          <w:tcPr>
            <w:tcW w:w="2211" w:type="dxa"/>
            <w:vAlign w:val="center"/>
          </w:tcPr>
          <w:p w:rsidR="000F523A" w:rsidRDefault="00B4127A">
            <w:pPr>
              <w:jc w:val="right"/>
            </w:pPr>
            <w:r>
              <w:rPr>
                <w:color w:val="000000"/>
                <w:sz w:val="24"/>
              </w:rPr>
              <w:t>189,571.20</w:t>
            </w:r>
          </w:p>
        </w:tc>
        <w:tc>
          <w:tcPr>
            <w:tcW w:w="1091" w:type="dxa"/>
            <w:vAlign w:val="center"/>
          </w:tcPr>
          <w:p w:rsidR="000F523A" w:rsidRDefault="00B4127A">
            <w:pPr>
              <w:jc w:val="right"/>
            </w:pPr>
            <w:r>
              <w:rPr>
                <w:color w:val="000000"/>
                <w:sz w:val="24"/>
              </w:rPr>
              <w:t>0.05</w:t>
            </w:r>
          </w:p>
        </w:tc>
      </w:tr>
      <w:tr w:rsidR="000F523A">
        <w:trPr>
          <w:jc w:val="center"/>
        </w:trPr>
        <w:tc>
          <w:tcPr>
            <w:tcW w:w="849" w:type="dxa"/>
            <w:vAlign w:val="center"/>
          </w:tcPr>
          <w:p w:rsidR="000F523A" w:rsidRDefault="00B4127A">
            <w:pPr>
              <w:jc w:val="center"/>
            </w:pPr>
            <w:r>
              <w:rPr>
                <w:color w:val="000000"/>
                <w:sz w:val="24"/>
              </w:rPr>
              <w:t>6</w:t>
            </w:r>
          </w:p>
        </w:tc>
        <w:tc>
          <w:tcPr>
            <w:tcW w:w="1327" w:type="dxa"/>
            <w:vAlign w:val="center"/>
          </w:tcPr>
          <w:p w:rsidR="000F523A" w:rsidRDefault="00B4127A">
            <w:pPr>
              <w:jc w:val="center"/>
            </w:pPr>
            <w:r>
              <w:rPr>
                <w:color w:val="000000"/>
                <w:sz w:val="24"/>
              </w:rPr>
              <w:t>601398</w:t>
            </w:r>
          </w:p>
        </w:tc>
        <w:tc>
          <w:tcPr>
            <w:tcW w:w="1621" w:type="dxa"/>
            <w:vAlign w:val="center"/>
          </w:tcPr>
          <w:p w:rsidR="000F523A" w:rsidRDefault="00B4127A">
            <w:pPr>
              <w:jc w:val="center"/>
            </w:pPr>
            <w:r>
              <w:rPr>
                <w:color w:val="000000"/>
                <w:sz w:val="24"/>
              </w:rPr>
              <w:t>工商银行</w:t>
            </w:r>
          </w:p>
        </w:tc>
        <w:tc>
          <w:tcPr>
            <w:tcW w:w="1769" w:type="dxa"/>
            <w:vAlign w:val="center"/>
          </w:tcPr>
          <w:p w:rsidR="000F523A" w:rsidRDefault="00B4127A">
            <w:pPr>
              <w:jc w:val="right"/>
            </w:pPr>
            <w:r>
              <w:rPr>
                <w:color w:val="000000"/>
                <w:sz w:val="24"/>
              </w:rPr>
              <w:t>35,600</w:t>
            </w:r>
          </w:p>
        </w:tc>
        <w:tc>
          <w:tcPr>
            <w:tcW w:w="2211" w:type="dxa"/>
            <w:vAlign w:val="center"/>
          </w:tcPr>
          <w:p w:rsidR="000F523A" w:rsidRDefault="00B4127A">
            <w:pPr>
              <w:jc w:val="right"/>
            </w:pPr>
            <w:r>
              <w:rPr>
                <w:color w:val="000000"/>
                <w:sz w:val="24"/>
              </w:rPr>
              <w:t>189,392.00</w:t>
            </w:r>
          </w:p>
        </w:tc>
        <w:tc>
          <w:tcPr>
            <w:tcW w:w="1091" w:type="dxa"/>
            <w:vAlign w:val="center"/>
          </w:tcPr>
          <w:p w:rsidR="000F523A" w:rsidRDefault="00B4127A">
            <w:pPr>
              <w:jc w:val="right"/>
            </w:pPr>
            <w:r>
              <w:rPr>
                <w:color w:val="000000"/>
                <w:sz w:val="24"/>
              </w:rPr>
              <w:t>0.05</w:t>
            </w:r>
          </w:p>
        </w:tc>
      </w:tr>
      <w:tr w:rsidR="000F523A">
        <w:trPr>
          <w:jc w:val="center"/>
        </w:trPr>
        <w:tc>
          <w:tcPr>
            <w:tcW w:w="849" w:type="dxa"/>
            <w:vAlign w:val="center"/>
          </w:tcPr>
          <w:p w:rsidR="000F523A" w:rsidRDefault="00B4127A">
            <w:pPr>
              <w:jc w:val="center"/>
            </w:pPr>
            <w:r>
              <w:rPr>
                <w:color w:val="000000"/>
                <w:sz w:val="24"/>
              </w:rPr>
              <w:t>7</w:t>
            </w:r>
          </w:p>
        </w:tc>
        <w:tc>
          <w:tcPr>
            <w:tcW w:w="1327" w:type="dxa"/>
            <w:vAlign w:val="center"/>
          </w:tcPr>
          <w:p w:rsidR="000F523A" w:rsidRDefault="00B4127A">
            <w:pPr>
              <w:jc w:val="center"/>
            </w:pPr>
            <w:r>
              <w:rPr>
                <w:color w:val="000000"/>
                <w:sz w:val="24"/>
              </w:rPr>
              <w:t>600000</w:t>
            </w:r>
          </w:p>
        </w:tc>
        <w:tc>
          <w:tcPr>
            <w:tcW w:w="1621" w:type="dxa"/>
            <w:vAlign w:val="center"/>
          </w:tcPr>
          <w:p w:rsidR="000F523A" w:rsidRDefault="00B4127A">
            <w:pPr>
              <w:jc w:val="center"/>
            </w:pPr>
            <w:r>
              <w:rPr>
                <w:color w:val="000000"/>
                <w:sz w:val="24"/>
              </w:rPr>
              <w:t>浦发银行</w:t>
            </w:r>
          </w:p>
        </w:tc>
        <w:tc>
          <w:tcPr>
            <w:tcW w:w="1769" w:type="dxa"/>
            <w:vAlign w:val="center"/>
          </w:tcPr>
          <w:p w:rsidR="000F523A" w:rsidRDefault="00B4127A">
            <w:pPr>
              <w:jc w:val="right"/>
            </w:pPr>
            <w:r>
              <w:rPr>
                <w:color w:val="000000"/>
                <w:sz w:val="24"/>
              </w:rPr>
              <w:t>19,400</w:t>
            </w:r>
          </w:p>
        </w:tc>
        <w:tc>
          <w:tcPr>
            <w:tcW w:w="2211" w:type="dxa"/>
            <w:vAlign w:val="center"/>
          </w:tcPr>
          <w:p w:rsidR="000F523A" w:rsidRDefault="00B4127A">
            <w:pPr>
              <w:jc w:val="right"/>
            </w:pPr>
            <w:r>
              <w:rPr>
                <w:color w:val="000000"/>
                <w:sz w:val="24"/>
              </w:rPr>
              <w:t>185,464.00</w:t>
            </w:r>
          </w:p>
        </w:tc>
        <w:tc>
          <w:tcPr>
            <w:tcW w:w="1091" w:type="dxa"/>
            <w:vAlign w:val="center"/>
          </w:tcPr>
          <w:p w:rsidR="000F523A" w:rsidRDefault="00B4127A">
            <w:pPr>
              <w:jc w:val="right"/>
            </w:pPr>
            <w:r>
              <w:rPr>
                <w:color w:val="000000"/>
                <w:sz w:val="24"/>
              </w:rPr>
              <w:t>0.05</w:t>
            </w:r>
          </w:p>
        </w:tc>
      </w:tr>
      <w:tr w:rsidR="000F523A">
        <w:trPr>
          <w:jc w:val="center"/>
        </w:trPr>
        <w:tc>
          <w:tcPr>
            <w:tcW w:w="849" w:type="dxa"/>
            <w:vAlign w:val="center"/>
          </w:tcPr>
          <w:p w:rsidR="000F523A" w:rsidRDefault="00B4127A">
            <w:pPr>
              <w:jc w:val="center"/>
            </w:pPr>
            <w:r>
              <w:rPr>
                <w:color w:val="000000"/>
                <w:sz w:val="24"/>
              </w:rPr>
              <w:t>8</w:t>
            </w:r>
          </w:p>
        </w:tc>
        <w:tc>
          <w:tcPr>
            <w:tcW w:w="1327" w:type="dxa"/>
            <w:vAlign w:val="center"/>
          </w:tcPr>
          <w:p w:rsidR="000F523A" w:rsidRDefault="00B4127A">
            <w:pPr>
              <w:jc w:val="center"/>
            </w:pPr>
            <w:r>
              <w:rPr>
                <w:color w:val="000000"/>
                <w:sz w:val="24"/>
              </w:rPr>
              <w:t>600900</w:t>
            </w:r>
          </w:p>
        </w:tc>
        <w:tc>
          <w:tcPr>
            <w:tcW w:w="1621" w:type="dxa"/>
            <w:vAlign w:val="center"/>
          </w:tcPr>
          <w:p w:rsidR="000F523A" w:rsidRDefault="00B4127A">
            <w:pPr>
              <w:jc w:val="center"/>
            </w:pPr>
            <w:r>
              <w:rPr>
                <w:color w:val="000000"/>
                <w:sz w:val="24"/>
              </w:rPr>
              <w:t>长江电力</w:t>
            </w:r>
          </w:p>
        </w:tc>
        <w:tc>
          <w:tcPr>
            <w:tcW w:w="1769" w:type="dxa"/>
            <w:vAlign w:val="center"/>
          </w:tcPr>
          <w:p w:rsidR="000F523A" w:rsidRDefault="00B4127A">
            <w:pPr>
              <w:jc w:val="right"/>
            </w:pPr>
            <w:r>
              <w:rPr>
                <w:color w:val="000000"/>
                <w:sz w:val="24"/>
              </w:rPr>
              <w:t>10,900</w:t>
            </w:r>
          </w:p>
        </w:tc>
        <w:tc>
          <w:tcPr>
            <w:tcW w:w="2211" w:type="dxa"/>
            <w:vAlign w:val="center"/>
          </w:tcPr>
          <w:p w:rsidR="000F523A" w:rsidRDefault="00B4127A">
            <w:pPr>
              <w:jc w:val="right"/>
            </w:pPr>
            <w:r>
              <w:rPr>
                <w:color w:val="000000"/>
                <w:sz w:val="24"/>
              </w:rPr>
              <w:t>175,926.00</w:t>
            </w:r>
          </w:p>
        </w:tc>
        <w:tc>
          <w:tcPr>
            <w:tcW w:w="1091" w:type="dxa"/>
            <w:vAlign w:val="center"/>
          </w:tcPr>
          <w:p w:rsidR="000F523A" w:rsidRDefault="00B4127A">
            <w:pPr>
              <w:jc w:val="right"/>
            </w:pPr>
            <w:r>
              <w:rPr>
                <w:color w:val="000000"/>
                <w:sz w:val="24"/>
              </w:rPr>
              <w:t>0.05</w:t>
            </w:r>
          </w:p>
        </w:tc>
      </w:tr>
      <w:tr w:rsidR="000F523A">
        <w:trPr>
          <w:jc w:val="center"/>
        </w:trPr>
        <w:tc>
          <w:tcPr>
            <w:tcW w:w="849" w:type="dxa"/>
            <w:vAlign w:val="center"/>
          </w:tcPr>
          <w:p w:rsidR="000F523A" w:rsidRDefault="00B4127A">
            <w:pPr>
              <w:jc w:val="center"/>
            </w:pPr>
            <w:r>
              <w:rPr>
                <w:color w:val="000000"/>
                <w:sz w:val="24"/>
              </w:rPr>
              <w:t>9</w:t>
            </w:r>
          </w:p>
        </w:tc>
        <w:tc>
          <w:tcPr>
            <w:tcW w:w="1327" w:type="dxa"/>
            <w:vAlign w:val="center"/>
          </w:tcPr>
          <w:p w:rsidR="000F523A" w:rsidRDefault="00B4127A">
            <w:pPr>
              <w:jc w:val="center"/>
            </w:pPr>
            <w:r>
              <w:rPr>
                <w:color w:val="000000"/>
                <w:sz w:val="24"/>
              </w:rPr>
              <w:t>601601</w:t>
            </w:r>
          </w:p>
        </w:tc>
        <w:tc>
          <w:tcPr>
            <w:tcW w:w="1621" w:type="dxa"/>
            <w:vAlign w:val="center"/>
          </w:tcPr>
          <w:p w:rsidR="000F523A" w:rsidRDefault="00B4127A">
            <w:pPr>
              <w:jc w:val="center"/>
            </w:pPr>
            <w:r>
              <w:rPr>
                <w:color w:val="000000"/>
                <w:sz w:val="24"/>
              </w:rPr>
              <w:t>中国太保</w:t>
            </w:r>
          </w:p>
        </w:tc>
        <w:tc>
          <w:tcPr>
            <w:tcW w:w="1769" w:type="dxa"/>
            <w:vAlign w:val="center"/>
          </w:tcPr>
          <w:p w:rsidR="000F523A" w:rsidRDefault="00B4127A">
            <w:pPr>
              <w:jc w:val="right"/>
            </w:pPr>
            <w:r>
              <w:rPr>
                <w:color w:val="000000"/>
                <w:sz w:val="24"/>
              </w:rPr>
              <w:t>5,200</w:t>
            </w:r>
          </w:p>
        </w:tc>
        <w:tc>
          <w:tcPr>
            <w:tcW w:w="2211" w:type="dxa"/>
            <w:vAlign w:val="center"/>
          </w:tcPr>
          <w:p w:rsidR="000F523A" w:rsidRDefault="00B4127A">
            <w:pPr>
              <w:jc w:val="right"/>
            </w:pPr>
            <w:r>
              <w:rPr>
                <w:color w:val="000000"/>
                <w:sz w:val="24"/>
              </w:rPr>
              <w:t>165,620.00</w:t>
            </w:r>
          </w:p>
        </w:tc>
        <w:tc>
          <w:tcPr>
            <w:tcW w:w="1091" w:type="dxa"/>
            <w:vAlign w:val="center"/>
          </w:tcPr>
          <w:p w:rsidR="000F523A" w:rsidRDefault="00B4127A">
            <w:pPr>
              <w:jc w:val="right"/>
            </w:pPr>
            <w:r>
              <w:rPr>
                <w:color w:val="000000"/>
                <w:sz w:val="24"/>
              </w:rPr>
              <w:t>0.04</w:t>
            </w:r>
          </w:p>
        </w:tc>
      </w:tr>
      <w:tr w:rsidR="000F523A">
        <w:trPr>
          <w:jc w:val="center"/>
        </w:trPr>
        <w:tc>
          <w:tcPr>
            <w:tcW w:w="849" w:type="dxa"/>
            <w:vAlign w:val="center"/>
          </w:tcPr>
          <w:p w:rsidR="000F523A" w:rsidRDefault="00B4127A">
            <w:pPr>
              <w:jc w:val="center"/>
            </w:pPr>
            <w:r>
              <w:rPr>
                <w:color w:val="000000"/>
                <w:sz w:val="24"/>
              </w:rPr>
              <w:t>10</w:t>
            </w:r>
          </w:p>
        </w:tc>
        <w:tc>
          <w:tcPr>
            <w:tcW w:w="1327" w:type="dxa"/>
            <w:vAlign w:val="center"/>
          </w:tcPr>
          <w:p w:rsidR="000F523A" w:rsidRDefault="00B4127A">
            <w:pPr>
              <w:jc w:val="center"/>
            </w:pPr>
            <w:r>
              <w:rPr>
                <w:color w:val="000000"/>
                <w:sz w:val="24"/>
              </w:rPr>
              <w:t>600048</w:t>
            </w:r>
          </w:p>
        </w:tc>
        <w:tc>
          <w:tcPr>
            <w:tcW w:w="1621" w:type="dxa"/>
            <w:vAlign w:val="center"/>
          </w:tcPr>
          <w:p w:rsidR="000F523A" w:rsidRDefault="00B4127A">
            <w:pPr>
              <w:jc w:val="center"/>
            </w:pPr>
            <w:r>
              <w:rPr>
                <w:color w:val="000000"/>
                <w:sz w:val="24"/>
              </w:rPr>
              <w:t>保利地产</w:t>
            </w:r>
          </w:p>
        </w:tc>
        <w:tc>
          <w:tcPr>
            <w:tcW w:w="1769" w:type="dxa"/>
            <w:vAlign w:val="center"/>
          </w:tcPr>
          <w:p w:rsidR="000F523A" w:rsidRDefault="00B4127A">
            <w:pPr>
              <w:jc w:val="right"/>
            </w:pPr>
            <w:r>
              <w:rPr>
                <w:color w:val="000000"/>
                <w:sz w:val="24"/>
              </w:rPr>
              <w:t>11,800</w:t>
            </w:r>
          </w:p>
        </w:tc>
        <w:tc>
          <w:tcPr>
            <w:tcW w:w="2211" w:type="dxa"/>
            <w:vAlign w:val="center"/>
          </w:tcPr>
          <w:p w:rsidR="000F523A" w:rsidRDefault="00B4127A">
            <w:pPr>
              <w:jc w:val="right"/>
            </w:pPr>
            <w:r>
              <w:rPr>
                <w:color w:val="000000"/>
                <w:sz w:val="24"/>
              </w:rPr>
              <w:t>143,960.00</w:t>
            </w:r>
          </w:p>
        </w:tc>
        <w:tc>
          <w:tcPr>
            <w:tcW w:w="1091" w:type="dxa"/>
            <w:vAlign w:val="center"/>
          </w:tcPr>
          <w:p w:rsidR="000F523A" w:rsidRDefault="00B4127A">
            <w:pPr>
              <w:jc w:val="right"/>
            </w:pPr>
            <w:r>
              <w:rPr>
                <w:color w:val="000000"/>
                <w:sz w:val="24"/>
              </w:rPr>
              <w:t>0.04</w:t>
            </w:r>
          </w:p>
        </w:tc>
      </w:tr>
    </w:tbl>
    <w:p w:rsidR="00BA574A" w:rsidRPr="00324C76" w:rsidRDefault="00BA574A"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5 </w:t>
      </w:r>
      <w:r w:rsidRPr="00324C76">
        <w:rPr>
          <w:b/>
          <w:kern w:val="0"/>
          <w:sz w:val="24"/>
        </w:rPr>
        <w:t>报告期末按债券品种分类的债券投资组合</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6 </w:t>
      </w:r>
      <w:r w:rsidRPr="00324C76">
        <w:rPr>
          <w:b/>
          <w:kern w:val="0"/>
          <w:sz w:val="24"/>
        </w:rPr>
        <w:t>报告期末按公允价值占基金资产净值比例大小排</w:t>
      </w:r>
      <w:r w:rsidR="00E34648" w:rsidRPr="00324C76">
        <w:rPr>
          <w:b/>
          <w:kern w:val="0"/>
          <w:sz w:val="24"/>
        </w:rPr>
        <w:t>序</w:t>
      </w:r>
      <w:r w:rsidRPr="00324C76">
        <w:rPr>
          <w:b/>
          <w:kern w:val="0"/>
          <w:sz w:val="24"/>
        </w:rPr>
        <w:t>的前五名债券投资明细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7</w:t>
      </w:r>
      <w:r w:rsidRPr="00324C76">
        <w:rPr>
          <w:b/>
          <w:kern w:val="0"/>
          <w:sz w:val="24"/>
        </w:rPr>
        <w:t>报告期末按公允价值占基金资产净值比例大小排</w:t>
      </w:r>
      <w:r w:rsidR="002A089C" w:rsidRPr="00324C76">
        <w:rPr>
          <w:b/>
          <w:kern w:val="0"/>
          <w:sz w:val="24"/>
        </w:rPr>
        <w:t>序</w:t>
      </w:r>
      <w:r w:rsidRPr="00324C76">
        <w:rPr>
          <w:b/>
          <w:kern w:val="0"/>
          <w:sz w:val="24"/>
        </w:rPr>
        <w:t>的前十名资产支持证券投资明细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lastRenderedPageBreak/>
        <w:t>本基金本报告期末未持有资产支持证券。</w:t>
      </w:r>
    </w:p>
    <w:p w:rsidR="00220542" w:rsidRPr="00324C76" w:rsidRDefault="00220542" w:rsidP="00B04217">
      <w:pPr>
        <w:autoSpaceDE w:val="0"/>
        <w:autoSpaceDN w:val="0"/>
        <w:adjustRightInd w:val="0"/>
        <w:spacing w:before="29" w:line="288" w:lineRule="auto"/>
        <w:jc w:val="left"/>
        <w:rPr>
          <w:kern w:val="0"/>
          <w:sz w:val="24"/>
        </w:rPr>
      </w:pPr>
    </w:p>
    <w:p w:rsidR="002A089C" w:rsidRPr="00324C76" w:rsidRDefault="002A089C" w:rsidP="00B04217">
      <w:pPr>
        <w:autoSpaceDE w:val="0"/>
        <w:autoSpaceDN w:val="0"/>
        <w:adjustRightInd w:val="0"/>
        <w:spacing w:before="29" w:line="288" w:lineRule="auto"/>
        <w:jc w:val="left"/>
        <w:rPr>
          <w:kern w:val="0"/>
          <w:sz w:val="24"/>
        </w:rPr>
      </w:pPr>
      <w:r w:rsidRPr="00324C76">
        <w:rPr>
          <w:rFonts w:eastAsiaTheme="minorEastAsia"/>
          <w:b/>
          <w:bCs/>
          <w:color w:val="000000"/>
          <w:kern w:val="0"/>
          <w:sz w:val="24"/>
        </w:rPr>
        <w:t xml:space="preserve">5.8 </w:t>
      </w:r>
      <w:r w:rsidRPr="00324C76">
        <w:rPr>
          <w:rFonts w:hAnsi="宋体"/>
          <w:b/>
          <w:bCs/>
          <w:color w:val="000000"/>
          <w:kern w:val="0"/>
          <w:sz w:val="24"/>
        </w:rPr>
        <w:t>报告期末按公允价值占基金资产净值比例大小排序的前五名贵金属投资明细</w:t>
      </w:r>
    </w:p>
    <w:p w:rsidR="002A089C" w:rsidRPr="002124AD" w:rsidRDefault="002A089C" w:rsidP="00B04217">
      <w:pPr>
        <w:autoSpaceDE w:val="0"/>
        <w:autoSpaceDN w:val="0"/>
        <w:adjustRightInd w:val="0"/>
        <w:spacing w:before="29" w:line="288" w:lineRule="auto"/>
        <w:jc w:val="left"/>
        <w:rPr>
          <w:sz w:val="24"/>
        </w:rPr>
      </w:pPr>
      <w:r w:rsidRPr="002124AD">
        <w:rPr>
          <w:sz w:val="24"/>
        </w:rPr>
        <w:t>本基金本报告期末未持有贵金属。</w:t>
      </w:r>
    </w:p>
    <w:p w:rsidR="002A089C" w:rsidRPr="00324C76" w:rsidRDefault="002A089C" w:rsidP="00B04217">
      <w:pPr>
        <w:autoSpaceDE w:val="0"/>
        <w:autoSpaceDN w:val="0"/>
        <w:adjustRightInd w:val="0"/>
        <w:spacing w:before="29" w:line="288" w:lineRule="auto"/>
        <w:jc w:val="left"/>
        <w:rPr>
          <w:kern w:val="0"/>
          <w:sz w:val="24"/>
        </w:rPr>
      </w:pPr>
    </w:p>
    <w:p w:rsidR="008D6BC7" w:rsidRPr="00324C76" w:rsidRDefault="008D6BC7" w:rsidP="00B04217">
      <w:pPr>
        <w:autoSpaceDE w:val="0"/>
        <w:autoSpaceDN w:val="0"/>
        <w:adjustRightInd w:val="0"/>
        <w:spacing w:before="29" w:line="288" w:lineRule="auto"/>
        <w:jc w:val="left"/>
        <w:rPr>
          <w:b/>
          <w:kern w:val="0"/>
          <w:sz w:val="24"/>
        </w:rPr>
      </w:pPr>
      <w:r w:rsidRPr="00324C76">
        <w:rPr>
          <w:b/>
          <w:kern w:val="0"/>
          <w:sz w:val="24"/>
        </w:rPr>
        <w:t xml:space="preserve">5.9 </w:t>
      </w:r>
      <w:r w:rsidRPr="00324C76">
        <w:rPr>
          <w:b/>
          <w:bCs/>
          <w:sz w:val="24"/>
        </w:rPr>
        <w:t>报告期末按公允价值占基金资产净值比例大小排</w:t>
      </w:r>
      <w:r w:rsidR="002A089C" w:rsidRPr="00324C76">
        <w:rPr>
          <w:b/>
          <w:kern w:val="0"/>
          <w:sz w:val="24"/>
        </w:rPr>
        <w:t>序</w:t>
      </w:r>
      <w:r w:rsidRPr="00324C76">
        <w:rPr>
          <w:b/>
          <w:bCs/>
          <w:sz w:val="24"/>
        </w:rPr>
        <w:t>的前五名权证投资明细</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本基金本报告期末未持有权证。</w:t>
      </w:r>
    </w:p>
    <w:p w:rsidR="008D6BC7" w:rsidRPr="00324C76" w:rsidRDefault="008D6BC7" w:rsidP="00B04217">
      <w:pPr>
        <w:autoSpaceDE w:val="0"/>
        <w:autoSpaceDN w:val="0"/>
        <w:adjustRightInd w:val="0"/>
        <w:spacing w:before="29" w:line="288" w:lineRule="auto"/>
        <w:jc w:val="left"/>
        <w:rPr>
          <w:kern w:val="0"/>
          <w:sz w:val="24"/>
        </w:rPr>
      </w:pPr>
    </w:p>
    <w:p w:rsidR="00C73818" w:rsidRPr="00324C76" w:rsidRDefault="006003EC" w:rsidP="00B04217">
      <w:pPr>
        <w:adjustRightInd w:val="0"/>
        <w:snapToGrid w:val="0"/>
        <w:spacing w:before="29" w:line="288" w:lineRule="auto"/>
        <w:rPr>
          <w:b/>
          <w:sz w:val="24"/>
        </w:rPr>
      </w:pPr>
      <w:r w:rsidRPr="00324C76">
        <w:rPr>
          <w:b/>
          <w:sz w:val="24"/>
        </w:rPr>
        <w:t>5.</w:t>
      </w:r>
      <w:r w:rsidR="007D10B0" w:rsidRPr="00324C76">
        <w:rPr>
          <w:b/>
          <w:sz w:val="24"/>
        </w:rPr>
        <w:t>10</w:t>
      </w:r>
      <w:r w:rsidR="00C73818" w:rsidRPr="00324C76">
        <w:rPr>
          <w:b/>
          <w:sz w:val="24"/>
        </w:rPr>
        <w:t>报告期末本基金投资的股指期货交易情况说明</w:t>
      </w:r>
    </w:p>
    <w:p w:rsidR="00C73818" w:rsidRPr="00324C76" w:rsidRDefault="00046A8E" w:rsidP="00B04217">
      <w:pPr>
        <w:autoSpaceDE w:val="0"/>
        <w:autoSpaceDN w:val="0"/>
        <w:adjustRightInd w:val="0"/>
        <w:spacing w:before="29" w:line="288" w:lineRule="auto"/>
        <w:jc w:val="left"/>
        <w:rPr>
          <w:sz w:val="24"/>
        </w:rPr>
      </w:pPr>
      <w:r w:rsidRPr="00324C76">
        <w:rPr>
          <w:sz w:val="24"/>
        </w:rPr>
        <w:t>本基金本报告期末未持有股指期货。</w:t>
      </w:r>
    </w:p>
    <w:p w:rsidR="00046A8E" w:rsidRPr="00324C76" w:rsidRDefault="00046A8E" w:rsidP="00B04217">
      <w:pPr>
        <w:autoSpaceDE w:val="0"/>
        <w:autoSpaceDN w:val="0"/>
        <w:adjustRightInd w:val="0"/>
        <w:spacing w:before="29" w:line="288" w:lineRule="auto"/>
        <w:jc w:val="left"/>
        <w:rPr>
          <w:sz w:val="24"/>
        </w:rPr>
      </w:pPr>
    </w:p>
    <w:p w:rsidR="008D6BC7" w:rsidRPr="00324C76" w:rsidRDefault="008D6BC7" w:rsidP="00B04217">
      <w:pPr>
        <w:adjustRightInd w:val="0"/>
        <w:snapToGrid w:val="0"/>
        <w:spacing w:before="29" w:line="288" w:lineRule="auto"/>
        <w:rPr>
          <w:b/>
          <w:sz w:val="24"/>
        </w:rPr>
      </w:pPr>
      <w:r w:rsidRPr="00324C76">
        <w:rPr>
          <w:b/>
          <w:sz w:val="24"/>
        </w:rPr>
        <w:t>5.11</w:t>
      </w:r>
      <w:r w:rsidRPr="00324C76">
        <w:rPr>
          <w:b/>
          <w:sz w:val="24"/>
        </w:rPr>
        <w:t>报告期末本基金投资的国债期货交易情况说明</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本基金本报告期末未持有国债期货。</w:t>
      </w:r>
    </w:p>
    <w:p w:rsidR="000A7493" w:rsidRPr="00324C76" w:rsidRDefault="000A7493"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
          <w:kern w:val="0"/>
          <w:sz w:val="24"/>
        </w:rPr>
      </w:pPr>
      <w:r w:rsidRPr="00324C76">
        <w:rPr>
          <w:b/>
          <w:kern w:val="0"/>
          <w:sz w:val="24"/>
        </w:rPr>
        <w:t>5</w:t>
      </w:r>
      <w:r w:rsidR="00220542" w:rsidRPr="00324C76">
        <w:rPr>
          <w:b/>
          <w:kern w:val="0"/>
          <w:sz w:val="24"/>
        </w:rPr>
        <w:t>.</w:t>
      </w:r>
      <w:r w:rsidRPr="00324C76">
        <w:rPr>
          <w:b/>
          <w:kern w:val="0"/>
          <w:sz w:val="24"/>
        </w:rPr>
        <w:t>12</w:t>
      </w:r>
      <w:r w:rsidR="00220542" w:rsidRPr="00324C76">
        <w:rPr>
          <w:b/>
          <w:kern w:val="0"/>
          <w:sz w:val="24"/>
        </w:rPr>
        <w:t>投资组合报告附注</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5.12.1</w:t>
      </w:r>
      <w:r w:rsidRPr="00120EC8">
        <w:rPr>
          <w:kern w:val="0"/>
          <w:sz w:val="24"/>
        </w:rPr>
        <w:t>报告期内本基金投资的前十名证券的发行主体除浦发银行（证券代码：</w:t>
      </w:r>
      <w:r w:rsidRPr="00120EC8">
        <w:rPr>
          <w:kern w:val="0"/>
          <w:sz w:val="24"/>
        </w:rPr>
        <w:t>600000</w:t>
      </w:r>
      <w:r w:rsidRPr="00120EC8">
        <w:rPr>
          <w:kern w:val="0"/>
          <w:sz w:val="24"/>
        </w:rPr>
        <w:t>）外，未出现被监管部门立案调查，或在报告编制日前一年内受到公开谴责、处罚的情形。</w:t>
      </w:r>
    </w:p>
    <w:p w:rsidR="000F523A" w:rsidRDefault="00B4127A">
      <w:pPr>
        <w:autoSpaceDE w:val="0"/>
        <w:autoSpaceDN w:val="0"/>
        <w:adjustRightInd w:val="0"/>
        <w:spacing w:before="29" w:line="288" w:lineRule="auto"/>
        <w:rPr>
          <w:kern w:val="0"/>
          <w:sz w:val="24"/>
        </w:rPr>
      </w:pPr>
      <w:r>
        <w:rPr>
          <w:kern w:val="0"/>
          <w:sz w:val="24"/>
        </w:rPr>
        <w:t>报告期内本基金投资的前十名证券之一浦发银行（证券代码：</w:t>
      </w:r>
      <w:r>
        <w:rPr>
          <w:kern w:val="0"/>
          <w:sz w:val="24"/>
        </w:rPr>
        <w:t>600000</w:t>
      </w:r>
      <w:r>
        <w:rPr>
          <w:kern w:val="0"/>
          <w:sz w:val="24"/>
        </w:rPr>
        <w:t>）收到中国银行业监督管理委员会四川监管局（以下简称</w:t>
      </w:r>
      <w:r>
        <w:rPr>
          <w:kern w:val="0"/>
          <w:sz w:val="24"/>
        </w:rPr>
        <w:t>“</w:t>
      </w:r>
      <w:r>
        <w:rPr>
          <w:kern w:val="0"/>
          <w:sz w:val="24"/>
        </w:rPr>
        <w:t>银监会四川监管局</w:t>
      </w:r>
      <w:r>
        <w:rPr>
          <w:kern w:val="0"/>
          <w:sz w:val="24"/>
        </w:rPr>
        <w:t>”</w:t>
      </w:r>
      <w:r>
        <w:rPr>
          <w:kern w:val="0"/>
          <w:sz w:val="24"/>
        </w:rPr>
        <w:t>）行政处罚决定书（川银监罚字【</w:t>
      </w:r>
      <w:r>
        <w:rPr>
          <w:kern w:val="0"/>
          <w:sz w:val="24"/>
        </w:rPr>
        <w:t>2018</w:t>
      </w:r>
      <w:r>
        <w:rPr>
          <w:kern w:val="0"/>
          <w:sz w:val="24"/>
        </w:rPr>
        <w:t>】</w:t>
      </w:r>
      <w:r>
        <w:rPr>
          <w:kern w:val="0"/>
          <w:sz w:val="24"/>
        </w:rPr>
        <w:t>2</w:t>
      </w:r>
      <w:r>
        <w:rPr>
          <w:kern w:val="0"/>
          <w:sz w:val="24"/>
        </w:rPr>
        <w:t>号），对成都分行内控管理严重失效</w:t>
      </w:r>
      <w:r>
        <w:rPr>
          <w:kern w:val="0"/>
          <w:sz w:val="24"/>
        </w:rPr>
        <w:t>,</w:t>
      </w:r>
      <w:r>
        <w:rPr>
          <w:kern w:val="0"/>
          <w:sz w:val="24"/>
        </w:rPr>
        <w:t>授信管理违规，违规办理信贷业务等严重违反审慎经营规则的违规行为依法查处，执行罚款</w:t>
      </w:r>
      <w:r>
        <w:rPr>
          <w:kern w:val="0"/>
          <w:sz w:val="24"/>
        </w:rPr>
        <w:t>46,175</w:t>
      </w:r>
      <w:r>
        <w:rPr>
          <w:kern w:val="0"/>
          <w:sz w:val="24"/>
        </w:rPr>
        <w:t>万元人民币。</w:t>
      </w:r>
    </w:p>
    <w:p w:rsidR="000F523A" w:rsidRDefault="00B4127A">
      <w:pPr>
        <w:autoSpaceDE w:val="0"/>
        <w:autoSpaceDN w:val="0"/>
        <w:adjustRightInd w:val="0"/>
        <w:spacing w:before="29" w:line="288" w:lineRule="auto"/>
        <w:rPr>
          <w:kern w:val="0"/>
          <w:sz w:val="24"/>
        </w:rPr>
      </w:pPr>
      <w:r>
        <w:rPr>
          <w:kern w:val="0"/>
          <w:sz w:val="24"/>
        </w:rPr>
        <w:t>本基金遵循指数化投资理念，本基金通过把全部或接近全部的基金资产投资于目标</w:t>
      </w:r>
      <w:r>
        <w:rPr>
          <w:kern w:val="0"/>
          <w:sz w:val="24"/>
        </w:rPr>
        <w:t>ETF</w:t>
      </w:r>
      <w:r>
        <w:rPr>
          <w:kern w:val="0"/>
          <w:sz w:val="24"/>
        </w:rPr>
        <w:t>、标的指数成份股和备选成份股进行被动式指数化投资。本基金对该证券的投资遵守本基金管理人基金投资管理相关制度及被动式指数化投资策略</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5.12.2</w:t>
      </w:r>
      <w:r w:rsidRPr="00120EC8">
        <w:rPr>
          <w:kern w:val="0"/>
          <w:sz w:val="24"/>
        </w:rPr>
        <w:t>本基金投资的前十名股票中，没有超出基金合同规定的备选股票库之外的股票。</w:t>
      </w:r>
    </w:p>
    <w:p w:rsidR="00220542" w:rsidRPr="00120EC8" w:rsidRDefault="007D10B0" w:rsidP="00B04217">
      <w:pPr>
        <w:autoSpaceDE w:val="0"/>
        <w:autoSpaceDN w:val="0"/>
        <w:adjustRightInd w:val="0"/>
        <w:spacing w:before="29" w:line="288" w:lineRule="auto"/>
        <w:rPr>
          <w:kern w:val="0"/>
          <w:sz w:val="24"/>
        </w:rPr>
      </w:pPr>
      <w:r w:rsidRPr="00120EC8">
        <w:rPr>
          <w:kern w:val="0"/>
          <w:sz w:val="24"/>
        </w:rPr>
        <w:t>5</w:t>
      </w:r>
      <w:r w:rsidR="00220542" w:rsidRPr="00120EC8">
        <w:rPr>
          <w:kern w:val="0"/>
          <w:sz w:val="24"/>
        </w:rPr>
        <w:t>.</w:t>
      </w:r>
      <w:r w:rsidRPr="00120EC8">
        <w:rPr>
          <w:kern w:val="0"/>
          <w:sz w:val="24"/>
        </w:rPr>
        <w:t>12.3</w:t>
      </w:r>
      <w:r w:rsidR="00220542" w:rsidRPr="00120EC8">
        <w:rPr>
          <w:kern w:val="0"/>
          <w:sz w:val="24"/>
        </w:rPr>
        <w:t>其他资产构成</w:t>
      </w:r>
    </w:p>
    <w:tbl>
      <w:tblPr>
        <w:tblStyle w:val="af7"/>
        <w:tblW w:w="8868" w:type="dxa"/>
        <w:jc w:val="center"/>
        <w:tblLook w:val="04A0" w:firstRow="1" w:lastRow="0" w:firstColumn="1" w:lastColumn="0" w:noHBand="0" w:noVBand="1"/>
      </w:tblPr>
      <w:tblGrid>
        <w:gridCol w:w="984"/>
        <w:gridCol w:w="2876"/>
        <w:gridCol w:w="5008"/>
      </w:tblGrid>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序号</w:t>
            </w:r>
          </w:p>
        </w:tc>
        <w:tc>
          <w:tcPr>
            <w:tcW w:w="2761"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名称</w:t>
            </w:r>
          </w:p>
        </w:tc>
        <w:tc>
          <w:tcPr>
            <w:tcW w:w="4808"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金额</w:t>
            </w:r>
            <w:r w:rsidR="00527176" w:rsidRPr="00324C76">
              <w:rPr>
                <w:color w:val="000000"/>
                <w:kern w:val="0"/>
                <w:sz w:val="24"/>
              </w:rPr>
              <w:t>（元）</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kern w:val="0"/>
                <w:sz w:val="24"/>
              </w:rPr>
            </w:pPr>
            <w:r w:rsidRPr="00324C76">
              <w:rPr>
                <w:color w:val="000000"/>
                <w:sz w:val="24"/>
              </w:rPr>
              <w:t>1</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存出保证金</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25,139.12</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2</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应收证券清算款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3</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应收股利</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4</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应收利息</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4,179.63</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5</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应收申购款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50,730.37</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6</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其他应收款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7</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sz w:val="24"/>
              </w:rPr>
            </w:pPr>
            <w:r w:rsidRPr="00324C76">
              <w:rPr>
                <w:color w:val="000000"/>
                <w:sz w:val="24"/>
              </w:rPr>
              <w:t>待摊费用</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sz w:val="24"/>
              </w:rPr>
            </w:pPr>
            <w:r w:rsidRPr="00324C76">
              <w:rPr>
                <w:color w:val="00000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lastRenderedPageBreak/>
              <w:t>8</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9</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合计</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80,049.12</w:t>
            </w:r>
          </w:p>
        </w:tc>
      </w:tr>
    </w:tbl>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kern w:val="0"/>
          <w:sz w:val="24"/>
        </w:rPr>
      </w:pPr>
      <w:r w:rsidRPr="00324C76">
        <w:rPr>
          <w:kern w:val="0"/>
          <w:sz w:val="24"/>
        </w:rPr>
        <w:t>5</w:t>
      </w:r>
      <w:r w:rsidR="00220542" w:rsidRPr="00324C76">
        <w:rPr>
          <w:kern w:val="0"/>
          <w:sz w:val="24"/>
        </w:rPr>
        <w:t>.</w:t>
      </w:r>
      <w:r w:rsidRPr="00324C76">
        <w:rPr>
          <w:kern w:val="0"/>
          <w:sz w:val="24"/>
        </w:rPr>
        <w:t>12.4</w:t>
      </w:r>
      <w:r w:rsidR="00220542" w:rsidRPr="00324C76">
        <w:rPr>
          <w:kern w:val="0"/>
          <w:sz w:val="24"/>
        </w:rPr>
        <w:t>报告期末持有的处于转股期的可转换债券明细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本基金本报告期末未持有处于转股期的可转换债券。</w:t>
      </w:r>
    </w:p>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Cs/>
          <w:sz w:val="24"/>
        </w:rPr>
      </w:pPr>
      <w:r w:rsidRPr="00324C76">
        <w:rPr>
          <w:kern w:val="0"/>
          <w:sz w:val="24"/>
        </w:rPr>
        <w:t>5.12.5</w:t>
      </w:r>
      <w:r w:rsidR="00220542" w:rsidRPr="00324C76">
        <w:rPr>
          <w:bCs/>
          <w:sz w:val="24"/>
        </w:rPr>
        <w:t>报告期末前十名股票中存在流通受限情况的说明</w:t>
      </w:r>
    </w:p>
    <w:p w:rsidR="00220542" w:rsidRPr="00324C76" w:rsidRDefault="00A40C1C" w:rsidP="00B04217">
      <w:pPr>
        <w:autoSpaceDE w:val="0"/>
        <w:autoSpaceDN w:val="0"/>
        <w:adjustRightInd w:val="0"/>
        <w:spacing w:before="29" w:line="288" w:lineRule="auto"/>
        <w:jc w:val="left"/>
        <w:rPr>
          <w:sz w:val="24"/>
        </w:rPr>
      </w:pPr>
      <w:r w:rsidRPr="00324C76">
        <w:rPr>
          <w:sz w:val="24"/>
        </w:rPr>
        <w:t>本基金本报告期末前十名股票中不存在流通受限情况。</w:t>
      </w:r>
    </w:p>
    <w:p w:rsidR="00163AE8" w:rsidRPr="00324C76" w:rsidRDefault="00163AE8" w:rsidP="00B04217">
      <w:pPr>
        <w:spacing w:before="29" w:line="288" w:lineRule="auto"/>
        <w:rPr>
          <w:sz w:val="24"/>
        </w:rPr>
      </w:pPr>
    </w:p>
    <w:p w:rsidR="00A40C1C" w:rsidRPr="00324C76" w:rsidRDefault="007D10B0" w:rsidP="00B04217">
      <w:pPr>
        <w:spacing w:before="29" w:line="288" w:lineRule="auto"/>
        <w:rPr>
          <w:color w:val="000000"/>
          <w:kern w:val="0"/>
          <w:sz w:val="24"/>
        </w:rPr>
      </w:pPr>
      <w:r w:rsidRPr="00324C76">
        <w:rPr>
          <w:kern w:val="0"/>
          <w:sz w:val="24"/>
        </w:rPr>
        <w:t>5.12.6</w:t>
      </w:r>
      <w:r w:rsidR="00A40C1C" w:rsidRPr="00324C76">
        <w:rPr>
          <w:color w:val="000000"/>
          <w:kern w:val="0"/>
          <w:sz w:val="24"/>
        </w:rPr>
        <w:t>投资组合报告附注的其他文字描述部分</w:t>
      </w:r>
    </w:p>
    <w:p w:rsidR="002620C9" w:rsidRPr="00324C76" w:rsidRDefault="00A40C1C" w:rsidP="00B04217">
      <w:pPr>
        <w:spacing w:before="29" w:line="288" w:lineRule="auto"/>
        <w:rPr>
          <w:color w:val="000000"/>
          <w:sz w:val="24"/>
        </w:rPr>
      </w:pPr>
      <w:r w:rsidRPr="00324C76">
        <w:rPr>
          <w:color w:val="000000"/>
          <w:sz w:val="24"/>
        </w:rPr>
        <w:t>由于四舍五入的原因，分项之和与合计项之间可能存在尾差。</w:t>
      </w:r>
    </w:p>
    <w:p w:rsidR="00232D92" w:rsidRPr="00324C76" w:rsidRDefault="00232D92" w:rsidP="00B04217">
      <w:pPr>
        <w:spacing w:before="29" w:line="288" w:lineRule="auto"/>
        <w:rPr>
          <w:color w:val="000000"/>
          <w:sz w:val="24"/>
        </w:rPr>
      </w:pPr>
    </w:p>
    <w:p w:rsidR="00220542" w:rsidRPr="00324C76" w:rsidRDefault="00035A19" w:rsidP="00AE0465">
      <w:pPr>
        <w:pStyle w:val="1"/>
        <w:spacing w:beforeLines="100" w:before="312" w:afterLines="100" w:after="312" w:line="288" w:lineRule="auto"/>
        <w:jc w:val="center"/>
        <w:rPr>
          <w:kern w:val="0"/>
          <w:sz w:val="24"/>
          <w:szCs w:val="24"/>
        </w:rPr>
      </w:pPr>
      <w:r>
        <w:rPr>
          <w:rFonts w:eastAsiaTheme="minorEastAsia"/>
          <w:color w:val="000000" w:themeColor="text1"/>
          <w:kern w:val="0"/>
          <w:sz w:val="21"/>
          <w:szCs w:val="21"/>
        </w:rPr>
        <w:t>§6</w:t>
      </w:r>
      <w:r w:rsidR="00805F23">
        <w:rPr>
          <w:rFonts w:eastAsiaTheme="minorEastAsia" w:hint="eastAsia"/>
          <w:color w:val="000000" w:themeColor="text1"/>
          <w:kern w:val="0"/>
          <w:sz w:val="21"/>
          <w:szCs w:val="21"/>
        </w:rPr>
        <w:t xml:space="preserve"> </w:t>
      </w:r>
      <w:r w:rsidR="00C66A9E">
        <w:rPr>
          <w:rFonts w:eastAsiaTheme="minorEastAsia"/>
          <w:color w:val="000000" w:themeColor="text1"/>
          <w:kern w:val="0"/>
          <w:sz w:val="21"/>
          <w:szCs w:val="21"/>
        </w:rPr>
        <w:t xml:space="preserve"> </w:t>
      </w:r>
      <w:r w:rsidR="00220542" w:rsidRPr="00324C76">
        <w:rPr>
          <w:kern w:val="0"/>
          <w:sz w:val="24"/>
          <w:szCs w:val="24"/>
        </w:rPr>
        <w:t>开放式基金份额变动</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单位：份</w:t>
      </w:r>
    </w:p>
    <w:tbl>
      <w:tblPr>
        <w:tblW w:w="8868" w:type="dxa"/>
        <w:jc w:val="center"/>
        <w:tblLayout w:type="fixed"/>
        <w:tblLook w:val="0000" w:firstRow="0" w:lastRow="0" w:firstColumn="0" w:lastColumn="0" w:noHBand="0" w:noVBand="0"/>
      </w:tblPr>
      <w:tblGrid>
        <w:gridCol w:w="4734"/>
        <w:gridCol w:w="4134"/>
      </w:tblGrid>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336,431,127.68</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3,231,321.97</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减：</w:t>
            </w:r>
            <w:r w:rsidR="006973EC" w:rsidRPr="00324C76">
              <w:rPr>
                <w:color w:val="000000"/>
                <w:kern w:val="0"/>
                <w:sz w:val="24"/>
              </w:rPr>
              <w:t>本报告期</w:t>
            </w:r>
            <w:r w:rsidR="00D621B5">
              <w:rPr>
                <w:rFonts w:hint="eastAsia"/>
                <w:color w:val="000000"/>
                <w:kern w:val="0"/>
                <w:sz w:val="24"/>
              </w:rPr>
              <w:t>期间</w:t>
            </w:r>
            <w:r w:rsidRPr="00324C76">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12,454,738.97</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0F11CB">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基金拆分变动份额</w:t>
            </w:r>
            <w:r w:rsidR="00D621B5" w:rsidRPr="006664D2">
              <w:rPr>
                <w:rFonts w:hint="eastAsia"/>
                <w:color w:val="000000"/>
                <w:kern w:val="0"/>
                <w:sz w:val="24"/>
              </w:rPr>
              <w:t>（份额减少以</w:t>
            </w:r>
            <w:r w:rsidR="00D621B5" w:rsidRPr="004D5D71">
              <w:rPr>
                <w:color w:val="000000"/>
              </w:rPr>
              <w:t>“-”</w:t>
            </w:r>
            <w:r w:rsidR="00D621B5"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327,207,710.68</w:t>
            </w:r>
          </w:p>
        </w:tc>
      </w:tr>
    </w:tbl>
    <w:p w:rsidR="000F523A" w:rsidRDefault="00B4127A">
      <w:pPr>
        <w:autoSpaceDE w:val="0"/>
        <w:autoSpaceDN w:val="0"/>
        <w:adjustRightInd w:val="0"/>
        <w:spacing w:before="29" w:line="288" w:lineRule="auto"/>
        <w:jc w:val="left"/>
        <w:rPr>
          <w:sz w:val="24"/>
        </w:rPr>
      </w:pPr>
      <w:r>
        <w:rPr>
          <w:sz w:val="24"/>
        </w:rPr>
        <w:t>注：</w:t>
      </w:r>
      <w:r>
        <w:rPr>
          <w:sz w:val="24"/>
        </w:rPr>
        <w:t>1</w:t>
      </w:r>
      <w:r>
        <w:rPr>
          <w:sz w:val="24"/>
        </w:rPr>
        <w:t>、如果本报告期间发生转换入、红利再投业务，则总申购份额中包含该业务；</w:t>
      </w:r>
    </w:p>
    <w:p w:rsidR="00220542" w:rsidRPr="00324C76" w:rsidRDefault="00A40C1C" w:rsidP="00B04217">
      <w:pPr>
        <w:autoSpaceDE w:val="0"/>
        <w:autoSpaceDN w:val="0"/>
        <w:adjustRightInd w:val="0"/>
        <w:spacing w:before="29" w:line="288" w:lineRule="auto"/>
        <w:jc w:val="left"/>
        <w:rPr>
          <w:sz w:val="24"/>
        </w:rPr>
      </w:pPr>
      <w:r w:rsidRPr="00324C76">
        <w:rPr>
          <w:sz w:val="24"/>
        </w:rPr>
        <w:t xml:space="preserve">    2</w:t>
      </w:r>
      <w:r w:rsidRPr="00324C76">
        <w:rPr>
          <w:sz w:val="24"/>
        </w:rPr>
        <w:t>、如果本报告期间发生转换出业务，则总赎回份额中包含该业务。</w:t>
      </w:r>
    </w:p>
    <w:p w:rsidR="00035465" w:rsidRDefault="00035465" w:rsidP="00B04217">
      <w:pPr>
        <w:autoSpaceDE w:val="0"/>
        <w:autoSpaceDN w:val="0"/>
        <w:adjustRightInd w:val="0"/>
        <w:spacing w:before="29" w:line="288" w:lineRule="auto"/>
        <w:jc w:val="left"/>
        <w:rPr>
          <w:sz w:val="24"/>
        </w:rPr>
      </w:pPr>
    </w:p>
    <w:p w:rsidR="00F229B7" w:rsidRPr="00F229B7" w:rsidRDefault="00805F23" w:rsidP="00AE0465">
      <w:pPr>
        <w:pStyle w:val="1"/>
        <w:tabs>
          <w:tab w:val="center" w:pos="4156"/>
          <w:tab w:val="right" w:pos="8312"/>
        </w:tabs>
        <w:spacing w:beforeLines="100" w:before="312" w:afterLines="100" w:after="312" w:line="288" w:lineRule="auto"/>
        <w:jc w:val="center"/>
        <w:rPr>
          <w:sz w:val="24"/>
          <w:szCs w:val="24"/>
        </w:rPr>
      </w:pPr>
      <w:r>
        <w:rPr>
          <w:rFonts w:eastAsiaTheme="minorEastAsia"/>
          <w:color w:val="000000"/>
          <w:kern w:val="0"/>
          <w:sz w:val="24"/>
          <w:szCs w:val="24"/>
        </w:rPr>
        <w:t>§</w:t>
      </w:r>
      <w:r w:rsidR="00035A19">
        <w:rPr>
          <w:rFonts w:eastAsiaTheme="minorEastAsia"/>
          <w:color w:val="000000"/>
          <w:kern w:val="0"/>
          <w:sz w:val="24"/>
          <w:szCs w:val="24"/>
        </w:rPr>
        <w:t>7</w:t>
      </w:r>
      <w:r w:rsidR="00F229B7" w:rsidRPr="00F229B7">
        <w:rPr>
          <w:rFonts w:eastAsiaTheme="minorEastAsia"/>
          <w:color w:val="000000"/>
          <w:kern w:val="0"/>
          <w:sz w:val="24"/>
          <w:szCs w:val="24"/>
        </w:rPr>
        <w:t xml:space="preserve">  </w:t>
      </w:r>
      <w:r w:rsidR="00F229B7" w:rsidRPr="00F229B7">
        <w:rPr>
          <w:sz w:val="24"/>
          <w:szCs w:val="24"/>
        </w:rPr>
        <w:t>基金管理人运用固有资金投资本基金情况</w:t>
      </w:r>
    </w:p>
    <w:p w:rsidR="00F229B7" w:rsidRPr="00F229B7" w:rsidRDefault="00035A19" w:rsidP="00B04217">
      <w:pPr>
        <w:spacing w:line="288" w:lineRule="auto"/>
        <w:jc w:val="left"/>
        <w:rPr>
          <w:sz w:val="24"/>
        </w:rPr>
      </w:pPr>
      <w:r>
        <w:rPr>
          <w:b/>
          <w:sz w:val="24"/>
        </w:rPr>
        <w:t>7</w:t>
      </w:r>
      <w:r w:rsidR="00F229B7" w:rsidRPr="00F229B7">
        <w:rPr>
          <w:b/>
          <w:sz w:val="24"/>
        </w:rPr>
        <w:t xml:space="preserve">.1 </w:t>
      </w:r>
      <w:r w:rsidR="00F229B7" w:rsidRPr="00F229B7">
        <w:rPr>
          <w:b/>
          <w:sz w:val="24"/>
        </w:rPr>
        <w:t>基金管理人持有本基金份额变动情况</w:t>
      </w:r>
    </w:p>
    <w:p w:rsidR="00F20F7C" w:rsidRDefault="00F229B7" w:rsidP="00B04217">
      <w:pPr>
        <w:autoSpaceDE w:val="0"/>
        <w:autoSpaceDN w:val="0"/>
        <w:adjustRightInd w:val="0"/>
        <w:spacing w:before="29" w:line="288" w:lineRule="auto"/>
        <w:jc w:val="left"/>
        <w:rPr>
          <w:rFonts w:eastAsiaTheme="minorEastAsia"/>
          <w:color w:val="000000"/>
          <w:sz w:val="24"/>
        </w:rPr>
      </w:pPr>
      <w:r w:rsidRPr="00F229B7">
        <w:rPr>
          <w:rFonts w:eastAsiaTheme="minorEastAsia"/>
          <w:color w:val="000000"/>
          <w:sz w:val="24"/>
        </w:rPr>
        <w:t>本报告期内未发生基金管理人运用固有资金投资本基金的情况。</w:t>
      </w:r>
    </w:p>
    <w:p w:rsidR="00F20F7C" w:rsidRDefault="00F20F7C" w:rsidP="00B04217">
      <w:pPr>
        <w:autoSpaceDE w:val="0"/>
        <w:autoSpaceDN w:val="0"/>
        <w:adjustRightInd w:val="0"/>
        <w:spacing w:before="29" w:line="288" w:lineRule="auto"/>
        <w:jc w:val="left"/>
        <w:rPr>
          <w:rFonts w:eastAsiaTheme="minorEastAsia"/>
          <w:color w:val="000000"/>
          <w:sz w:val="24"/>
        </w:rPr>
      </w:pPr>
    </w:p>
    <w:p w:rsidR="00F20F7C" w:rsidRPr="00F20F7C" w:rsidRDefault="00035A19" w:rsidP="009744C4">
      <w:pPr>
        <w:spacing w:line="288" w:lineRule="auto"/>
        <w:jc w:val="left"/>
        <w:rPr>
          <w:rFonts w:eastAsiaTheme="minorEastAsia"/>
          <w:b/>
          <w:color w:val="000000"/>
          <w:sz w:val="24"/>
        </w:rPr>
      </w:pPr>
      <w:r>
        <w:rPr>
          <w:b/>
          <w:sz w:val="24"/>
        </w:rPr>
        <w:t>7</w:t>
      </w:r>
      <w:r w:rsidR="00F229B7" w:rsidRPr="00F20F7C">
        <w:rPr>
          <w:b/>
          <w:sz w:val="24"/>
        </w:rPr>
        <w:t xml:space="preserve">.2 </w:t>
      </w:r>
      <w:r w:rsidR="00F229B7" w:rsidRPr="00F20F7C">
        <w:rPr>
          <w:rFonts w:hint="eastAsia"/>
          <w:b/>
          <w:sz w:val="24"/>
        </w:rPr>
        <w:t>基金管理人运用固有资金投资本基金交易明细</w:t>
      </w:r>
    </w:p>
    <w:p w:rsidR="00EF07DC" w:rsidRPr="00324C76" w:rsidRDefault="00EF07DC" w:rsidP="00B04217">
      <w:pPr>
        <w:autoSpaceDE w:val="0"/>
        <w:autoSpaceDN w:val="0"/>
        <w:adjustRightInd w:val="0"/>
        <w:spacing w:before="29" w:line="288" w:lineRule="auto"/>
        <w:jc w:val="left"/>
        <w:rPr>
          <w:color w:val="000000"/>
          <w:sz w:val="24"/>
        </w:rPr>
      </w:pPr>
      <w:r w:rsidRPr="00324C76">
        <w:rPr>
          <w:color w:val="000000"/>
          <w:sz w:val="24"/>
        </w:rPr>
        <w:t>本基金管理人本报告期内未进行本基金的申购、赎回、红利再投等。</w:t>
      </w:r>
    </w:p>
    <w:p w:rsidR="00016A56" w:rsidRPr="00324C76" w:rsidRDefault="00016A56" w:rsidP="00B04217">
      <w:pPr>
        <w:autoSpaceDE w:val="0"/>
        <w:autoSpaceDN w:val="0"/>
        <w:adjustRightInd w:val="0"/>
        <w:spacing w:before="29" w:line="288" w:lineRule="auto"/>
        <w:jc w:val="left"/>
        <w:rPr>
          <w:color w:val="000000"/>
          <w:sz w:val="24"/>
        </w:rPr>
      </w:pPr>
    </w:p>
    <w:p w:rsidR="006A0A24" w:rsidRPr="00495FAB" w:rsidRDefault="00220542" w:rsidP="00AE0465">
      <w:pPr>
        <w:pStyle w:val="1"/>
        <w:spacing w:beforeLines="100" w:before="312" w:afterLines="100" w:after="312" w:line="288" w:lineRule="auto"/>
        <w:jc w:val="center"/>
        <w:rPr>
          <w:kern w:val="0"/>
          <w:sz w:val="24"/>
          <w:szCs w:val="24"/>
        </w:rPr>
      </w:pPr>
      <w:r w:rsidRPr="00324C76">
        <w:rPr>
          <w:kern w:val="0"/>
          <w:sz w:val="24"/>
          <w:szCs w:val="24"/>
        </w:rPr>
        <w:lastRenderedPageBreak/>
        <w:t>§</w:t>
      </w:r>
      <w:r w:rsidR="00035A19">
        <w:rPr>
          <w:kern w:val="0"/>
          <w:sz w:val="24"/>
          <w:szCs w:val="24"/>
        </w:rPr>
        <w:t>8</w:t>
      </w:r>
      <w:r w:rsidR="00C66A9E">
        <w:rPr>
          <w:kern w:val="0"/>
          <w:sz w:val="24"/>
          <w:szCs w:val="24"/>
        </w:rPr>
        <w:t xml:space="preserve">  </w:t>
      </w:r>
      <w:r w:rsidRPr="00324C76">
        <w:rPr>
          <w:kern w:val="0"/>
          <w:sz w:val="24"/>
          <w:szCs w:val="24"/>
        </w:rPr>
        <w:t>备查文件目录</w:t>
      </w:r>
    </w:p>
    <w:p w:rsidR="00220542" w:rsidRPr="00324C76" w:rsidRDefault="00035A19" w:rsidP="00B04217">
      <w:pPr>
        <w:spacing w:before="29" w:line="288" w:lineRule="auto"/>
        <w:rPr>
          <w:b/>
          <w:sz w:val="24"/>
        </w:rPr>
      </w:pPr>
      <w:r>
        <w:rPr>
          <w:b/>
          <w:sz w:val="24"/>
        </w:rPr>
        <w:t>8</w:t>
      </w:r>
      <w:r w:rsidR="00220542" w:rsidRPr="00324C76">
        <w:rPr>
          <w:b/>
          <w:sz w:val="24"/>
        </w:rPr>
        <w:t>.</w:t>
      </w:r>
      <w:r w:rsidR="0083066D" w:rsidRPr="00324C76">
        <w:rPr>
          <w:b/>
          <w:sz w:val="24"/>
        </w:rPr>
        <w:t>1</w:t>
      </w:r>
      <w:r w:rsidR="00220542" w:rsidRPr="00324C76">
        <w:rPr>
          <w:b/>
          <w:sz w:val="24"/>
        </w:rPr>
        <w:t>备查文件目录</w:t>
      </w:r>
    </w:p>
    <w:p w:rsidR="000F523A" w:rsidRDefault="00B4127A">
      <w:pPr>
        <w:spacing w:before="29" w:line="288" w:lineRule="auto"/>
        <w:ind w:firstLineChars="200" w:firstLine="480"/>
        <w:rPr>
          <w:color w:val="000000"/>
          <w:sz w:val="24"/>
        </w:rPr>
      </w:pPr>
      <w:r>
        <w:rPr>
          <w:color w:val="000000"/>
          <w:sz w:val="24"/>
        </w:rPr>
        <w:t>1</w:t>
      </w:r>
      <w:r>
        <w:rPr>
          <w:color w:val="000000"/>
          <w:sz w:val="24"/>
        </w:rPr>
        <w:t>、中国证监会核准交银施罗德上证</w:t>
      </w:r>
      <w:r>
        <w:rPr>
          <w:color w:val="000000"/>
          <w:sz w:val="24"/>
        </w:rPr>
        <w:t>180</w:t>
      </w:r>
      <w:r>
        <w:rPr>
          <w:color w:val="000000"/>
          <w:sz w:val="24"/>
        </w:rPr>
        <w:t>公司治理交易型开放式指数证券投资基金联接基金募集的文件；</w:t>
      </w:r>
    </w:p>
    <w:p w:rsidR="000F523A" w:rsidRDefault="00B4127A">
      <w:pPr>
        <w:spacing w:before="29" w:line="288" w:lineRule="auto"/>
        <w:ind w:firstLineChars="200" w:firstLine="480"/>
        <w:rPr>
          <w:color w:val="000000"/>
          <w:sz w:val="24"/>
        </w:rPr>
      </w:pPr>
      <w:r>
        <w:rPr>
          <w:color w:val="000000"/>
          <w:sz w:val="24"/>
        </w:rPr>
        <w:t>2</w:t>
      </w:r>
      <w:r>
        <w:rPr>
          <w:color w:val="000000"/>
          <w:sz w:val="24"/>
        </w:rPr>
        <w:t>、《交银施罗德上证</w:t>
      </w:r>
      <w:r>
        <w:rPr>
          <w:color w:val="000000"/>
          <w:sz w:val="24"/>
        </w:rPr>
        <w:t>180</w:t>
      </w:r>
      <w:r>
        <w:rPr>
          <w:color w:val="000000"/>
          <w:sz w:val="24"/>
        </w:rPr>
        <w:t>公司治理交易型开放式指数证券投资基金联接基金基金合同》；</w:t>
      </w:r>
      <w:r>
        <w:rPr>
          <w:color w:val="000000"/>
          <w:sz w:val="24"/>
        </w:rPr>
        <w:t xml:space="preserve"> </w:t>
      </w:r>
    </w:p>
    <w:p w:rsidR="000F523A" w:rsidRDefault="00B4127A">
      <w:pPr>
        <w:spacing w:before="29" w:line="288" w:lineRule="auto"/>
        <w:ind w:firstLineChars="200" w:firstLine="480"/>
        <w:rPr>
          <w:color w:val="000000"/>
          <w:sz w:val="24"/>
        </w:rPr>
      </w:pPr>
      <w:r>
        <w:rPr>
          <w:color w:val="000000"/>
          <w:sz w:val="24"/>
        </w:rPr>
        <w:t>3</w:t>
      </w:r>
      <w:r>
        <w:rPr>
          <w:color w:val="000000"/>
          <w:sz w:val="24"/>
        </w:rPr>
        <w:t>、《交银施罗德上证</w:t>
      </w:r>
      <w:r>
        <w:rPr>
          <w:color w:val="000000"/>
          <w:sz w:val="24"/>
        </w:rPr>
        <w:t>180</w:t>
      </w:r>
      <w:r>
        <w:rPr>
          <w:color w:val="000000"/>
          <w:sz w:val="24"/>
        </w:rPr>
        <w:t>公司治理交易型开放式指数证券投资基金联接基金招募说明书》；</w:t>
      </w:r>
    </w:p>
    <w:p w:rsidR="000F523A" w:rsidRDefault="00B4127A">
      <w:pPr>
        <w:spacing w:before="29" w:line="288" w:lineRule="auto"/>
        <w:ind w:firstLineChars="200" w:firstLine="480"/>
        <w:rPr>
          <w:color w:val="000000"/>
          <w:sz w:val="24"/>
        </w:rPr>
      </w:pPr>
      <w:r>
        <w:rPr>
          <w:color w:val="000000"/>
          <w:sz w:val="24"/>
        </w:rPr>
        <w:t>4</w:t>
      </w:r>
      <w:r>
        <w:rPr>
          <w:color w:val="000000"/>
          <w:sz w:val="24"/>
        </w:rPr>
        <w:t>、《交银施罗德上证</w:t>
      </w:r>
      <w:r>
        <w:rPr>
          <w:color w:val="000000"/>
          <w:sz w:val="24"/>
        </w:rPr>
        <w:t>180</w:t>
      </w:r>
      <w:r>
        <w:rPr>
          <w:color w:val="000000"/>
          <w:sz w:val="24"/>
        </w:rPr>
        <w:t>公司治理交易型开放式指数证券投资基金联接基金托管协议》；</w:t>
      </w:r>
    </w:p>
    <w:p w:rsidR="000F523A" w:rsidRDefault="00B4127A">
      <w:pPr>
        <w:spacing w:before="29" w:line="288" w:lineRule="auto"/>
        <w:ind w:firstLineChars="200" w:firstLine="480"/>
        <w:rPr>
          <w:color w:val="000000"/>
          <w:sz w:val="24"/>
        </w:rPr>
      </w:pPr>
      <w:r>
        <w:rPr>
          <w:color w:val="000000"/>
          <w:sz w:val="24"/>
        </w:rPr>
        <w:t>5</w:t>
      </w:r>
      <w:r>
        <w:rPr>
          <w:color w:val="000000"/>
          <w:sz w:val="24"/>
        </w:rPr>
        <w:t>、关于申请募集交银施罗德上证</w:t>
      </w:r>
      <w:r>
        <w:rPr>
          <w:color w:val="000000"/>
          <w:sz w:val="24"/>
        </w:rPr>
        <w:t>180</w:t>
      </w:r>
      <w:r>
        <w:rPr>
          <w:color w:val="000000"/>
          <w:sz w:val="24"/>
        </w:rPr>
        <w:t>公司治理交易型开放式指数证券投资基金联接基金之法律意见书；</w:t>
      </w:r>
    </w:p>
    <w:p w:rsidR="000F523A" w:rsidRDefault="00B4127A">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0F523A" w:rsidRDefault="00B4127A">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24C76" w:rsidRDefault="00A40C1C" w:rsidP="00B04217">
      <w:pPr>
        <w:spacing w:before="29" w:line="288" w:lineRule="auto"/>
        <w:ind w:firstLineChars="200" w:firstLine="480"/>
        <w:rPr>
          <w:color w:val="000000"/>
          <w:sz w:val="24"/>
        </w:rPr>
      </w:pPr>
      <w:r w:rsidRPr="00324C76">
        <w:rPr>
          <w:color w:val="000000"/>
          <w:sz w:val="24"/>
        </w:rPr>
        <w:t>8</w:t>
      </w:r>
      <w:r w:rsidRPr="00324C76">
        <w:rPr>
          <w:color w:val="000000"/>
          <w:sz w:val="24"/>
        </w:rPr>
        <w:t>、报告期内交银施罗德上证</w:t>
      </w:r>
      <w:r w:rsidRPr="00324C76">
        <w:rPr>
          <w:color w:val="000000"/>
          <w:sz w:val="24"/>
        </w:rPr>
        <w:t>180</w:t>
      </w:r>
      <w:r w:rsidRPr="00324C76">
        <w:rPr>
          <w:color w:val="000000"/>
          <w:sz w:val="24"/>
        </w:rPr>
        <w:t>公司治理交易型开放式指数证券投资基金联接基金在指定报刊上各项公告的原稿。</w:t>
      </w:r>
    </w:p>
    <w:p w:rsidR="001E7CAE" w:rsidRPr="00324C76" w:rsidRDefault="001E7CAE" w:rsidP="00B04217">
      <w:pPr>
        <w:spacing w:before="29" w:line="288" w:lineRule="auto"/>
        <w:ind w:firstLineChars="200" w:firstLine="480"/>
        <w:rPr>
          <w:color w:val="000000"/>
          <w:sz w:val="24"/>
        </w:rPr>
      </w:pPr>
    </w:p>
    <w:p w:rsidR="00220542" w:rsidRPr="00324C76" w:rsidRDefault="00035A19" w:rsidP="00B04217">
      <w:pPr>
        <w:spacing w:before="29" w:line="288" w:lineRule="auto"/>
        <w:rPr>
          <w:b/>
          <w:sz w:val="24"/>
        </w:rPr>
      </w:pPr>
      <w:r>
        <w:rPr>
          <w:b/>
          <w:sz w:val="24"/>
        </w:rPr>
        <w:t>8</w:t>
      </w:r>
      <w:r w:rsidR="0083066D" w:rsidRPr="00324C76">
        <w:rPr>
          <w:b/>
          <w:sz w:val="24"/>
        </w:rPr>
        <w:t>.2</w:t>
      </w:r>
      <w:r w:rsidR="00220542" w:rsidRPr="00324C76">
        <w:rPr>
          <w:b/>
          <w:sz w:val="24"/>
        </w:rPr>
        <w:t>存放地点</w:t>
      </w:r>
    </w:p>
    <w:p w:rsidR="00220542" w:rsidRPr="00324C76" w:rsidRDefault="00A40C1C" w:rsidP="00B04217">
      <w:pPr>
        <w:spacing w:before="29" w:line="288" w:lineRule="auto"/>
        <w:ind w:firstLineChars="200" w:firstLine="480"/>
        <w:rPr>
          <w:color w:val="000000"/>
          <w:sz w:val="24"/>
        </w:rPr>
      </w:pPr>
      <w:r w:rsidRPr="00324C76">
        <w:rPr>
          <w:color w:val="000000"/>
          <w:sz w:val="24"/>
        </w:rPr>
        <w:t>备查文件存放于基金管理人的办公场所。</w:t>
      </w:r>
    </w:p>
    <w:p w:rsidR="001E7CAE" w:rsidRPr="00324C76" w:rsidRDefault="001E7CAE" w:rsidP="00B04217">
      <w:pPr>
        <w:spacing w:before="29" w:line="288" w:lineRule="auto"/>
        <w:ind w:firstLineChars="200" w:firstLine="480"/>
        <w:rPr>
          <w:color w:val="000000"/>
          <w:sz w:val="24"/>
        </w:rPr>
      </w:pPr>
    </w:p>
    <w:p w:rsidR="00220542" w:rsidRPr="00324C76" w:rsidRDefault="00035A19" w:rsidP="00B04217">
      <w:pPr>
        <w:spacing w:before="29" w:line="288" w:lineRule="auto"/>
        <w:rPr>
          <w:b/>
          <w:sz w:val="24"/>
        </w:rPr>
      </w:pPr>
      <w:r>
        <w:rPr>
          <w:b/>
          <w:sz w:val="24"/>
        </w:rPr>
        <w:t>8</w:t>
      </w:r>
      <w:bookmarkStart w:id="1" w:name="_GoBack"/>
      <w:bookmarkEnd w:id="1"/>
      <w:r w:rsidR="0083066D" w:rsidRPr="00324C76">
        <w:rPr>
          <w:b/>
          <w:sz w:val="24"/>
        </w:rPr>
        <w:t>.3</w:t>
      </w:r>
      <w:r w:rsidR="00220542" w:rsidRPr="00324C76">
        <w:rPr>
          <w:b/>
          <w:sz w:val="24"/>
        </w:rPr>
        <w:t>查阅方式</w:t>
      </w:r>
    </w:p>
    <w:p w:rsidR="000F523A" w:rsidRDefault="00B4127A">
      <w:pPr>
        <w:spacing w:before="29" w:line="288" w:lineRule="auto"/>
        <w:ind w:firstLineChars="200" w:firstLine="480"/>
        <w:rPr>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E33DCE" w:rsidRPr="00324C76" w:rsidRDefault="00A40C1C" w:rsidP="00B04217">
      <w:pPr>
        <w:spacing w:before="29" w:line="288" w:lineRule="auto"/>
        <w:ind w:firstLineChars="200" w:firstLine="480"/>
        <w:rPr>
          <w:sz w:val="24"/>
        </w:rPr>
      </w:pPr>
      <w:r w:rsidRPr="00324C76">
        <w:rPr>
          <w:color w:val="000000"/>
          <w:sz w:val="24"/>
        </w:rPr>
        <w:t>投资者对本报告书如有疑问，可咨询本基金管理人交银施罗德基金管理有限公司。本公司客户服务中心电话：</w:t>
      </w:r>
      <w:r w:rsidRPr="00324C76">
        <w:rPr>
          <w:color w:val="000000"/>
          <w:sz w:val="24"/>
        </w:rPr>
        <w:t>400-700-5000</w:t>
      </w:r>
      <w:r w:rsidRPr="00324C76">
        <w:rPr>
          <w:color w:val="000000"/>
          <w:sz w:val="24"/>
        </w:rPr>
        <w:t>（免长途话费），</w:t>
      </w:r>
      <w:r w:rsidRPr="00324C76">
        <w:rPr>
          <w:color w:val="000000"/>
          <w:sz w:val="24"/>
        </w:rPr>
        <w:t>021-61055000</w:t>
      </w:r>
      <w:r w:rsidRPr="00324C76">
        <w:rPr>
          <w:color w:val="000000"/>
          <w:sz w:val="24"/>
        </w:rPr>
        <w:t>，电子邮件：</w:t>
      </w:r>
      <w:r w:rsidRPr="00324C76">
        <w:rPr>
          <w:color w:val="000000"/>
          <w:sz w:val="24"/>
        </w:rPr>
        <w:t>services@jysld.com</w:t>
      </w:r>
    </w:p>
    <w:p w:rsidR="00897EC2" w:rsidRPr="00324C76" w:rsidRDefault="00897EC2" w:rsidP="00B04217">
      <w:pPr>
        <w:spacing w:before="29" w:line="288" w:lineRule="auto"/>
        <w:ind w:firstLineChars="200" w:firstLine="480"/>
        <w:rPr>
          <w:sz w:val="24"/>
        </w:rPr>
      </w:pPr>
    </w:p>
    <w:sectPr w:rsidR="00897EC2" w:rsidRPr="00324C76" w:rsidSect="00412E7F">
      <w:footerReference w:type="even" r:id="rId15"/>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9D4" w:rsidRDefault="007129D4">
      <w:r>
        <w:separator/>
      </w:r>
    </w:p>
  </w:endnote>
  <w:endnote w:type="continuationSeparator" w:id="0">
    <w:p w:rsidR="007129D4" w:rsidRDefault="0071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1D0DB0" w:rsidRDefault="00FC3631" w:rsidP="00DB4EE7">
    <w:pPr>
      <w:pStyle w:val="a6"/>
      <w:jc w:val="center"/>
    </w:pPr>
    <w:r>
      <w:rPr>
        <w:rFonts w:hint="eastAsia"/>
        <w:kern w:val="0"/>
        <w:szCs w:val="21"/>
      </w:rPr>
      <w:t>第</w:t>
    </w:r>
    <w:r w:rsidR="009A4FC8">
      <w:rPr>
        <w:kern w:val="0"/>
        <w:szCs w:val="21"/>
      </w:rPr>
      <w:fldChar w:fldCharType="begin"/>
    </w:r>
    <w:r>
      <w:rPr>
        <w:kern w:val="0"/>
        <w:szCs w:val="21"/>
      </w:rPr>
      <w:instrText xml:space="preserve"> PAGE </w:instrText>
    </w:r>
    <w:r w:rsidR="009A4FC8">
      <w:rPr>
        <w:kern w:val="0"/>
        <w:szCs w:val="21"/>
      </w:rPr>
      <w:fldChar w:fldCharType="separate"/>
    </w:r>
    <w:r w:rsidR="00035A19">
      <w:rPr>
        <w:noProof/>
        <w:kern w:val="0"/>
        <w:szCs w:val="21"/>
      </w:rPr>
      <w:t>12</w:t>
    </w:r>
    <w:r w:rsidR="009A4FC8">
      <w:rPr>
        <w:kern w:val="0"/>
        <w:szCs w:val="21"/>
      </w:rPr>
      <w:fldChar w:fldCharType="end"/>
    </w:r>
    <w:r>
      <w:rPr>
        <w:rFonts w:hint="eastAsia"/>
        <w:kern w:val="0"/>
        <w:szCs w:val="21"/>
      </w:rPr>
      <w:t>页共</w:t>
    </w:r>
    <w:r w:rsidR="009A4FC8">
      <w:rPr>
        <w:kern w:val="0"/>
        <w:szCs w:val="21"/>
      </w:rPr>
      <w:fldChar w:fldCharType="begin"/>
    </w:r>
    <w:r>
      <w:rPr>
        <w:kern w:val="0"/>
        <w:szCs w:val="21"/>
      </w:rPr>
      <w:instrText xml:space="preserve"> NUMPAGES </w:instrText>
    </w:r>
    <w:r w:rsidR="009A4FC8">
      <w:rPr>
        <w:kern w:val="0"/>
        <w:szCs w:val="21"/>
      </w:rPr>
      <w:fldChar w:fldCharType="separate"/>
    </w:r>
    <w:r w:rsidR="00035A19">
      <w:rPr>
        <w:noProof/>
        <w:kern w:val="0"/>
        <w:szCs w:val="21"/>
      </w:rPr>
      <w:t>13</w:t>
    </w:r>
    <w:r w:rsidR="009A4FC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Default="009A4FC8">
    <w:pPr>
      <w:pStyle w:val="a6"/>
      <w:framePr w:wrap="around" w:vAnchor="text" w:hAnchor="margin" w:xAlign="center" w:y="1"/>
      <w:rPr>
        <w:rStyle w:val="a7"/>
      </w:rPr>
    </w:pPr>
    <w:r>
      <w:rPr>
        <w:rStyle w:val="a7"/>
      </w:rPr>
      <w:fldChar w:fldCharType="begin"/>
    </w:r>
    <w:r w:rsidR="00FC3631">
      <w:rPr>
        <w:rStyle w:val="a7"/>
      </w:rPr>
      <w:instrText xml:space="preserve">PAGE  </w:instrText>
    </w:r>
    <w:r>
      <w:rPr>
        <w:rStyle w:val="a7"/>
      </w:rPr>
      <w:fldChar w:fldCharType="end"/>
    </w:r>
  </w:p>
  <w:p w:rsidR="00FC3631" w:rsidRDefault="00FC36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9D4" w:rsidRDefault="007129D4">
      <w:r>
        <w:separator/>
      </w:r>
    </w:p>
  </w:footnote>
  <w:footnote w:type="continuationSeparator" w:id="0">
    <w:p w:rsidR="007129D4" w:rsidRDefault="00712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E74491" w:rsidRDefault="00E74491" w:rsidP="00E74491">
    <w:pPr>
      <w:pStyle w:val="a9"/>
      <w:pBdr>
        <w:bottom w:val="single" w:sz="6" w:space="0" w:color="auto"/>
      </w:pBdr>
      <w:ind w:firstLine="480"/>
      <w:jc w:val="right"/>
      <w:rPr>
        <w:sz w:val="24"/>
        <w:szCs w:val="24"/>
      </w:rPr>
    </w:pPr>
    <w:r w:rsidRPr="003E676C">
      <w:rPr>
        <w:sz w:val="24"/>
        <w:szCs w:val="24"/>
      </w:rPr>
      <w:t>交银施罗德上证</w:t>
    </w:r>
    <w:r w:rsidRPr="003E676C">
      <w:rPr>
        <w:sz w:val="24"/>
        <w:szCs w:val="24"/>
      </w:rPr>
      <w:t>180</w:t>
    </w:r>
    <w:r w:rsidRPr="003E676C">
      <w:rPr>
        <w:sz w:val="24"/>
        <w:szCs w:val="24"/>
      </w:rPr>
      <w:t>公司治理交易型开放式指数证券投资基金联接基金</w:t>
    </w:r>
    <w:r w:rsidRPr="003E676C">
      <w:rPr>
        <w:sz w:val="24"/>
        <w:szCs w:val="24"/>
      </w:rPr>
      <w:t>2018</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BC330C7"/>
    <w:multiLevelType w:val="multilevel"/>
    <w:tmpl w:val="0E80B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491157F5"/>
    <w:multiLevelType w:val="multilevel"/>
    <w:tmpl w:val="4E30F4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6302"/>
    <w:rsid w:val="0000403B"/>
    <w:rsid w:val="00005911"/>
    <w:rsid w:val="00006B68"/>
    <w:rsid w:val="00010A83"/>
    <w:rsid w:val="00010A8E"/>
    <w:rsid w:val="00010AC3"/>
    <w:rsid w:val="00011250"/>
    <w:rsid w:val="00011EB5"/>
    <w:rsid w:val="0001280C"/>
    <w:rsid w:val="00016A56"/>
    <w:rsid w:val="00017581"/>
    <w:rsid w:val="00020583"/>
    <w:rsid w:val="00021C28"/>
    <w:rsid w:val="00021DD4"/>
    <w:rsid w:val="00023BE7"/>
    <w:rsid w:val="00024528"/>
    <w:rsid w:val="00027942"/>
    <w:rsid w:val="00027D15"/>
    <w:rsid w:val="00035465"/>
    <w:rsid w:val="00035A19"/>
    <w:rsid w:val="00037FCF"/>
    <w:rsid w:val="000421B8"/>
    <w:rsid w:val="00043ABF"/>
    <w:rsid w:val="000445E4"/>
    <w:rsid w:val="00045A7E"/>
    <w:rsid w:val="00046A8E"/>
    <w:rsid w:val="000510AB"/>
    <w:rsid w:val="00052864"/>
    <w:rsid w:val="00052921"/>
    <w:rsid w:val="0005338E"/>
    <w:rsid w:val="00053B07"/>
    <w:rsid w:val="00055AF1"/>
    <w:rsid w:val="00064AE3"/>
    <w:rsid w:val="00066524"/>
    <w:rsid w:val="00070CD1"/>
    <w:rsid w:val="0007171B"/>
    <w:rsid w:val="00076821"/>
    <w:rsid w:val="00081D05"/>
    <w:rsid w:val="0008252F"/>
    <w:rsid w:val="00087CF7"/>
    <w:rsid w:val="0009414A"/>
    <w:rsid w:val="00094876"/>
    <w:rsid w:val="00095912"/>
    <w:rsid w:val="00095CE0"/>
    <w:rsid w:val="00096933"/>
    <w:rsid w:val="00097230"/>
    <w:rsid w:val="000A056F"/>
    <w:rsid w:val="000A06A0"/>
    <w:rsid w:val="000A1C78"/>
    <w:rsid w:val="000A457E"/>
    <w:rsid w:val="000A53FD"/>
    <w:rsid w:val="000A549A"/>
    <w:rsid w:val="000A72F2"/>
    <w:rsid w:val="000A7493"/>
    <w:rsid w:val="000B0C56"/>
    <w:rsid w:val="000B3E43"/>
    <w:rsid w:val="000B5CC0"/>
    <w:rsid w:val="000B666F"/>
    <w:rsid w:val="000C027D"/>
    <w:rsid w:val="000C0871"/>
    <w:rsid w:val="000C14B1"/>
    <w:rsid w:val="000C1723"/>
    <w:rsid w:val="000C1B20"/>
    <w:rsid w:val="000C4107"/>
    <w:rsid w:val="000C45E7"/>
    <w:rsid w:val="000C6634"/>
    <w:rsid w:val="000D01F4"/>
    <w:rsid w:val="000D1519"/>
    <w:rsid w:val="000D1C1A"/>
    <w:rsid w:val="000D1E9C"/>
    <w:rsid w:val="000D27BF"/>
    <w:rsid w:val="000D7713"/>
    <w:rsid w:val="000E0611"/>
    <w:rsid w:val="000E186B"/>
    <w:rsid w:val="000E4456"/>
    <w:rsid w:val="000F11CB"/>
    <w:rsid w:val="000F175F"/>
    <w:rsid w:val="000F17D1"/>
    <w:rsid w:val="000F523A"/>
    <w:rsid w:val="000F5C95"/>
    <w:rsid w:val="000F60FF"/>
    <w:rsid w:val="000F635F"/>
    <w:rsid w:val="000F6C61"/>
    <w:rsid w:val="00100C12"/>
    <w:rsid w:val="001049B6"/>
    <w:rsid w:val="00104BDD"/>
    <w:rsid w:val="001051C6"/>
    <w:rsid w:val="0011177A"/>
    <w:rsid w:val="00116E31"/>
    <w:rsid w:val="00120EC8"/>
    <w:rsid w:val="0012304E"/>
    <w:rsid w:val="001248EF"/>
    <w:rsid w:val="001257C7"/>
    <w:rsid w:val="00125830"/>
    <w:rsid w:val="0012658D"/>
    <w:rsid w:val="00126DDF"/>
    <w:rsid w:val="001270BF"/>
    <w:rsid w:val="00127A39"/>
    <w:rsid w:val="00127BAC"/>
    <w:rsid w:val="001378A4"/>
    <w:rsid w:val="00140A14"/>
    <w:rsid w:val="00142A56"/>
    <w:rsid w:val="00144DF5"/>
    <w:rsid w:val="00145A97"/>
    <w:rsid w:val="00146485"/>
    <w:rsid w:val="00150AD6"/>
    <w:rsid w:val="00153B40"/>
    <w:rsid w:val="00154ADA"/>
    <w:rsid w:val="0015531A"/>
    <w:rsid w:val="00156E40"/>
    <w:rsid w:val="00163AE8"/>
    <w:rsid w:val="00163B27"/>
    <w:rsid w:val="00165317"/>
    <w:rsid w:val="00165E22"/>
    <w:rsid w:val="00171067"/>
    <w:rsid w:val="00171BAD"/>
    <w:rsid w:val="00174121"/>
    <w:rsid w:val="001744B4"/>
    <w:rsid w:val="001756A1"/>
    <w:rsid w:val="001761EE"/>
    <w:rsid w:val="00176EAA"/>
    <w:rsid w:val="00177009"/>
    <w:rsid w:val="0017725A"/>
    <w:rsid w:val="00177C4B"/>
    <w:rsid w:val="00180BE7"/>
    <w:rsid w:val="0018325A"/>
    <w:rsid w:val="00186199"/>
    <w:rsid w:val="001928F7"/>
    <w:rsid w:val="00192EC8"/>
    <w:rsid w:val="00194537"/>
    <w:rsid w:val="0019563C"/>
    <w:rsid w:val="00197779"/>
    <w:rsid w:val="001A21A9"/>
    <w:rsid w:val="001A2984"/>
    <w:rsid w:val="001A59D8"/>
    <w:rsid w:val="001A5FA6"/>
    <w:rsid w:val="001A6E56"/>
    <w:rsid w:val="001A78A4"/>
    <w:rsid w:val="001B2F0C"/>
    <w:rsid w:val="001B3F9C"/>
    <w:rsid w:val="001C078E"/>
    <w:rsid w:val="001C2E42"/>
    <w:rsid w:val="001C37F6"/>
    <w:rsid w:val="001C4587"/>
    <w:rsid w:val="001C6288"/>
    <w:rsid w:val="001D0F6A"/>
    <w:rsid w:val="001D1D94"/>
    <w:rsid w:val="001D20D5"/>
    <w:rsid w:val="001D21BC"/>
    <w:rsid w:val="001D2FA5"/>
    <w:rsid w:val="001D35E0"/>
    <w:rsid w:val="001D5045"/>
    <w:rsid w:val="001D57CC"/>
    <w:rsid w:val="001D5A44"/>
    <w:rsid w:val="001D5A49"/>
    <w:rsid w:val="001D724B"/>
    <w:rsid w:val="001E11D3"/>
    <w:rsid w:val="001E2A6A"/>
    <w:rsid w:val="001E3DC2"/>
    <w:rsid w:val="001E429A"/>
    <w:rsid w:val="001E5689"/>
    <w:rsid w:val="001E56FF"/>
    <w:rsid w:val="001E5C6B"/>
    <w:rsid w:val="001E7CAE"/>
    <w:rsid w:val="001F03E1"/>
    <w:rsid w:val="001F0853"/>
    <w:rsid w:val="001F38BB"/>
    <w:rsid w:val="001F3CC6"/>
    <w:rsid w:val="001F4530"/>
    <w:rsid w:val="002005FD"/>
    <w:rsid w:val="00200C9F"/>
    <w:rsid w:val="002010DE"/>
    <w:rsid w:val="00202968"/>
    <w:rsid w:val="00202C32"/>
    <w:rsid w:val="00203AEF"/>
    <w:rsid w:val="002070DE"/>
    <w:rsid w:val="0021023C"/>
    <w:rsid w:val="00211A26"/>
    <w:rsid w:val="002124AD"/>
    <w:rsid w:val="002125F7"/>
    <w:rsid w:val="00214463"/>
    <w:rsid w:val="00214756"/>
    <w:rsid w:val="00214B50"/>
    <w:rsid w:val="00215CF2"/>
    <w:rsid w:val="00220542"/>
    <w:rsid w:val="00221174"/>
    <w:rsid w:val="00221233"/>
    <w:rsid w:val="00221540"/>
    <w:rsid w:val="00225ADC"/>
    <w:rsid w:val="00232D92"/>
    <w:rsid w:val="00234D01"/>
    <w:rsid w:val="002359EB"/>
    <w:rsid w:val="002363AB"/>
    <w:rsid w:val="00237963"/>
    <w:rsid w:val="002404C7"/>
    <w:rsid w:val="00240E66"/>
    <w:rsid w:val="0024260D"/>
    <w:rsid w:val="00245012"/>
    <w:rsid w:val="0024504E"/>
    <w:rsid w:val="0024651F"/>
    <w:rsid w:val="0024740E"/>
    <w:rsid w:val="0025007E"/>
    <w:rsid w:val="00250970"/>
    <w:rsid w:val="00251392"/>
    <w:rsid w:val="0025158D"/>
    <w:rsid w:val="0025281A"/>
    <w:rsid w:val="00253D3C"/>
    <w:rsid w:val="00255292"/>
    <w:rsid w:val="00260200"/>
    <w:rsid w:val="00261468"/>
    <w:rsid w:val="002620C9"/>
    <w:rsid w:val="00263E8D"/>
    <w:rsid w:val="002648D8"/>
    <w:rsid w:val="00273F86"/>
    <w:rsid w:val="002774F0"/>
    <w:rsid w:val="00282506"/>
    <w:rsid w:val="0028459B"/>
    <w:rsid w:val="00284C5F"/>
    <w:rsid w:val="00284CBC"/>
    <w:rsid w:val="002873F0"/>
    <w:rsid w:val="0029290C"/>
    <w:rsid w:val="00294DD0"/>
    <w:rsid w:val="002964F9"/>
    <w:rsid w:val="002A089C"/>
    <w:rsid w:val="002A1F14"/>
    <w:rsid w:val="002A24FD"/>
    <w:rsid w:val="002A2678"/>
    <w:rsid w:val="002A2E01"/>
    <w:rsid w:val="002A398F"/>
    <w:rsid w:val="002A5C6B"/>
    <w:rsid w:val="002A5D31"/>
    <w:rsid w:val="002A5D65"/>
    <w:rsid w:val="002A714F"/>
    <w:rsid w:val="002A7558"/>
    <w:rsid w:val="002B1851"/>
    <w:rsid w:val="002B27FF"/>
    <w:rsid w:val="002B6793"/>
    <w:rsid w:val="002B6FAE"/>
    <w:rsid w:val="002C0867"/>
    <w:rsid w:val="002C1726"/>
    <w:rsid w:val="002C21A6"/>
    <w:rsid w:val="002C26D5"/>
    <w:rsid w:val="002C42F9"/>
    <w:rsid w:val="002C5777"/>
    <w:rsid w:val="002C5CC8"/>
    <w:rsid w:val="002C5D69"/>
    <w:rsid w:val="002D179F"/>
    <w:rsid w:val="002D32E3"/>
    <w:rsid w:val="002D4360"/>
    <w:rsid w:val="002E0FEB"/>
    <w:rsid w:val="002E27D4"/>
    <w:rsid w:val="002F0F79"/>
    <w:rsid w:val="002F280E"/>
    <w:rsid w:val="002F3709"/>
    <w:rsid w:val="002F3A6C"/>
    <w:rsid w:val="002F4296"/>
    <w:rsid w:val="002F46DA"/>
    <w:rsid w:val="00300951"/>
    <w:rsid w:val="00300FD7"/>
    <w:rsid w:val="003019BF"/>
    <w:rsid w:val="003023C9"/>
    <w:rsid w:val="00302CA8"/>
    <w:rsid w:val="00302DE9"/>
    <w:rsid w:val="003030C2"/>
    <w:rsid w:val="00304ADD"/>
    <w:rsid w:val="00304C05"/>
    <w:rsid w:val="00305084"/>
    <w:rsid w:val="0031189A"/>
    <w:rsid w:val="00314308"/>
    <w:rsid w:val="003204E9"/>
    <w:rsid w:val="00321E8C"/>
    <w:rsid w:val="003225A9"/>
    <w:rsid w:val="00322A86"/>
    <w:rsid w:val="00323AE8"/>
    <w:rsid w:val="00324548"/>
    <w:rsid w:val="00324C5F"/>
    <w:rsid w:val="00324C76"/>
    <w:rsid w:val="003251EE"/>
    <w:rsid w:val="003251F4"/>
    <w:rsid w:val="003303E3"/>
    <w:rsid w:val="003329EA"/>
    <w:rsid w:val="00333E4E"/>
    <w:rsid w:val="003404B6"/>
    <w:rsid w:val="003407A5"/>
    <w:rsid w:val="00341188"/>
    <w:rsid w:val="0034147B"/>
    <w:rsid w:val="00343D0F"/>
    <w:rsid w:val="00350238"/>
    <w:rsid w:val="0035109C"/>
    <w:rsid w:val="00351F0A"/>
    <w:rsid w:val="0035432B"/>
    <w:rsid w:val="003567DA"/>
    <w:rsid w:val="00357F6A"/>
    <w:rsid w:val="003603E3"/>
    <w:rsid w:val="00360A1E"/>
    <w:rsid w:val="00361E7E"/>
    <w:rsid w:val="003634D5"/>
    <w:rsid w:val="00370748"/>
    <w:rsid w:val="00370AA4"/>
    <w:rsid w:val="00371FF4"/>
    <w:rsid w:val="00372D64"/>
    <w:rsid w:val="00377520"/>
    <w:rsid w:val="00380D36"/>
    <w:rsid w:val="003822D3"/>
    <w:rsid w:val="00383B58"/>
    <w:rsid w:val="00384E91"/>
    <w:rsid w:val="00386630"/>
    <w:rsid w:val="00390B25"/>
    <w:rsid w:val="00397156"/>
    <w:rsid w:val="0039770F"/>
    <w:rsid w:val="00397960"/>
    <w:rsid w:val="003A3BC4"/>
    <w:rsid w:val="003A458A"/>
    <w:rsid w:val="003A7129"/>
    <w:rsid w:val="003B128A"/>
    <w:rsid w:val="003B1FB8"/>
    <w:rsid w:val="003B2F13"/>
    <w:rsid w:val="003B3278"/>
    <w:rsid w:val="003B405E"/>
    <w:rsid w:val="003B460A"/>
    <w:rsid w:val="003B57D3"/>
    <w:rsid w:val="003C044A"/>
    <w:rsid w:val="003C1F58"/>
    <w:rsid w:val="003C4BCB"/>
    <w:rsid w:val="003C6409"/>
    <w:rsid w:val="003C792F"/>
    <w:rsid w:val="003D124B"/>
    <w:rsid w:val="003D1893"/>
    <w:rsid w:val="003D18F3"/>
    <w:rsid w:val="003D3D37"/>
    <w:rsid w:val="003D754A"/>
    <w:rsid w:val="003D78B5"/>
    <w:rsid w:val="003E10F5"/>
    <w:rsid w:val="003E244F"/>
    <w:rsid w:val="003E62A6"/>
    <w:rsid w:val="003E695F"/>
    <w:rsid w:val="003E6C9B"/>
    <w:rsid w:val="003E709C"/>
    <w:rsid w:val="003E7B89"/>
    <w:rsid w:val="003F4241"/>
    <w:rsid w:val="003F48E7"/>
    <w:rsid w:val="003F5DE1"/>
    <w:rsid w:val="003F780A"/>
    <w:rsid w:val="003F7C45"/>
    <w:rsid w:val="004011B3"/>
    <w:rsid w:val="0040132C"/>
    <w:rsid w:val="00402A3A"/>
    <w:rsid w:val="00402ED1"/>
    <w:rsid w:val="00405085"/>
    <w:rsid w:val="004066FC"/>
    <w:rsid w:val="00407C10"/>
    <w:rsid w:val="004113B4"/>
    <w:rsid w:val="00411C09"/>
    <w:rsid w:val="00412E7F"/>
    <w:rsid w:val="00414827"/>
    <w:rsid w:val="00416C10"/>
    <w:rsid w:val="00417017"/>
    <w:rsid w:val="00422543"/>
    <w:rsid w:val="00424EF3"/>
    <w:rsid w:val="004253A2"/>
    <w:rsid w:val="004268BB"/>
    <w:rsid w:val="00427037"/>
    <w:rsid w:val="00431047"/>
    <w:rsid w:val="004318D9"/>
    <w:rsid w:val="00431B86"/>
    <w:rsid w:val="004408EC"/>
    <w:rsid w:val="00441E6A"/>
    <w:rsid w:val="0044240C"/>
    <w:rsid w:val="00442EB8"/>
    <w:rsid w:val="00443810"/>
    <w:rsid w:val="00443C8F"/>
    <w:rsid w:val="004445C7"/>
    <w:rsid w:val="00446302"/>
    <w:rsid w:val="00446862"/>
    <w:rsid w:val="00452481"/>
    <w:rsid w:val="00456BE4"/>
    <w:rsid w:val="00456CEF"/>
    <w:rsid w:val="00457804"/>
    <w:rsid w:val="004646BF"/>
    <w:rsid w:val="00464744"/>
    <w:rsid w:val="004665E3"/>
    <w:rsid w:val="004721FE"/>
    <w:rsid w:val="004731F1"/>
    <w:rsid w:val="004739A8"/>
    <w:rsid w:val="0047622F"/>
    <w:rsid w:val="00480BC8"/>
    <w:rsid w:val="00481265"/>
    <w:rsid w:val="004814BF"/>
    <w:rsid w:val="00481E6C"/>
    <w:rsid w:val="00483508"/>
    <w:rsid w:val="0048587E"/>
    <w:rsid w:val="00486365"/>
    <w:rsid w:val="00486D56"/>
    <w:rsid w:val="00487C2B"/>
    <w:rsid w:val="00487E29"/>
    <w:rsid w:val="004909BF"/>
    <w:rsid w:val="00490A9D"/>
    <w:rsid w:val="00491158"/>
    <w:rsid w:val="00491506"/>
    <w:rsid w:val="0049297D"/>
    <w:rsid w:val="004929F2"/>
    <w:rsid w:val="00494289"/>
    <w:rsid w:val="00495A03"/>
    <w:rsid w:val="00495FAB"/>
    <w:rsid w:val="00497079"/>
    <w:rsid w:val="004A15F0"/>
    <w:rsid w:val="004A1BBA"/>
    <w:rsid w:val="004A3E3C"/>
    <w:rsid w:val="004A5F76"/>
    <w:rsid w:val="004A6C88"/>
    <w:rsid w:val="004A6ECD"/>
    <w:rsid w:val="004B0E6D"/>
    <w:rsid w:val="004B16E8"/>
    <w:rsid w:val="004B6250"/>
    <w:rsid w:val="004B6F8A"/>
    <w:rsid w:val="004B76B1"/>
    <w:rsid w:val="004C0057"/>
    <w:rsid w:val="004C0541"/>
    <w:rsid w:val="004C2C46"/>
    <w:rsid w:val="004C4CF1"/>
    <w:rsid w:val="004C575D"/>
    <w:rsid w:val="004C7235"/>
    <w:rsid w:val="004C7955"/>
    <w:rsid w:val="004D047F"/>
    <w:rsid w:val="004D3D96"/>
    <w:rsid w:val="004D55B2"/>
    <w:rsid w:val="004D650F"/>
    <w:rsid w:val="004D6E34"/>
    <w:rsid w:val="004D6F1D"/>
    <w:rsid w:val="004E2133"/>
    <w:rsid w:val="004E386C"/>
    <w:rsid w:val="004E60FB"/>
    <w:rsid w:val="004F1DD8"/>
    <w:rsid w:val="004F779C"/>
    <w:rsid w:val="004F7846"/>
    <w:rsid w:val="005000D4"/>
    <w:rsid w:val="00504850"/>
    <w:rsid w:val="00510CAF"/>
    <w:rsid w:val="005128C5"/>
    <w:rsid w:val="0051357F"/>
    <w:rsid w:val="0051478B"/>
    <w:rsid w:val="0051566A"/>
    <w:rsid w:val="00515D7B"/>
    <w:rsid w:val="005166E9"/>
    <w:rsid w:val="0052009E"/>
    <w:rsid w:val="00525E59"/>
    <w:rsid w:val="00526BBC"/>
    <w:rsid w:val="00527176"/>
    <w:rsid w:val="005318CC"/>
    <w:rsid w:val="005348C7"/>
    <w:rsid w:val="005349B1"/>
    <w:rsid w:val="00535766"/>
    <w:rsid w:val="0053592B"/>
    <w:rsid w:val="005374BC"/>
    <w:rsid w:val="00542355"/>
    <w:rsid w:val="00542CC1"/>
    <w:rsid w:val="00543188"/>
    <w:rsid w:val="00543367"/>
    <w:rsid w:val="00543BFA"/>
    <w:rsid w:val="00547D9C"/>
    <w:rsid w:val="00547DA1"/>
    <w:rsid w:val="00551BAA"/>
    <w:rsid w:val="0055513C"/>
    <w:rsid w:val="0055753F"/>
    <w:rsid w:val="00560C94"/>
    <w:rsid w:val="0056291C"/>
    <w:rsid w:val="005629AF"/>
    <w:rsid w:val="00563A3F"/>
    <w:rsid w:val="00565A63"/>
    <w:rsid w:val="00566588"/>
    <w:rsid w:val="0057275D"/>
    <w:rsid w:val="005742B7"/>
    <w:rsid w:val="00575252"/>
    <w:rsid w:val="005800A9"/>
    <w:rsid w:val="00580488"/>
    <w:rsid w:val="0058074D"/>
    <w:rsid w:val="00580FD1"/>
    <w:rsid w:val="00582FAD"/>
    <w:rsid w:val="00583489"/>
    <w:rsid w:val="00583771"/>
    <w:rsid w:val="00590FE4"/>
    <w:rsid w:val="00591D9C"/>
    <w:rsid w:val="0059320E"/>
    <w:rsid w:val="00593440"/>
    <w:rsid w:val="005960E5"/>
    <w:rsid w:val="00597057"/>
    <w:rsid w:val="00597D8B"/>
    <w:rsid w:val="00597E06"/>
    <w:rsid w:val="005A1C30"/>
    <w:rsid w:val="005A3295"/>
    <w:rsid w:val="005A44A3"/>
    <w:rsid w:val="005A46FF"/>
    <w:rsid w:val="005B011E"/>
    <w:rsid w:val="005B1C89"/>
    <w:rsid w:val="005B2E84"/>
    <w:rsid w:val="005B323C"/>
    <w:rsid w:val="005B7B0E"/>
    <w:rsid w:val="005B7DCD"/>
    <w:rsid w:val="005C0751"/>
    <w:rsid w:val="005C2C2B"/>
    <w:rsid w:val="005C5409"/>
    <w:rsid w:val="005C69AC"/>
    <w:rsid w:val="005C722E"/>
    <w:rsid w:val="005D01A4"/>
    <w:rsid w:val="005D259B"/>
    <w:rsid w:val="005D278A"/>
    <w:rsid w:val="005D45B3"/>
    <w:rsid w:val="005D4CEB"/>
    <w:rsid w:val="005D5E5B"/>
    <w:rsid w:val="005D6496"/>
    <w:rsid w:val="005E004D"/>
    <w:rsid w:val="005E43A2"/>
    <w:rsid w:val="005F04E6"/>
    <w:rsid w:val="005F43B9"/>
    <w:rsid w:val="005F68CB"/>
    <w:rsid w:val="006003EC"/>
    <w:rsid w:val="006033E3"/>
    <w:rsid w:val="00606088"/>
    <w:rsid w:val="00607134"/>
    <w:rsid w:val="0061321C"/>
    <w:rsid w:val="0062317C"/>
    <w:rsid w:val="0062386E"/>
    <w:rsid w:val="00623D9A"/>
    <w:rsid w:val="00623F01"/>
    <w:rsid w:val="006242FB"/>
    <w:rsid w:val="006243DC"/>
    <w:rsid w:val="00626E2D"/>
    <w:rsid w:val="006272BD"/>
    <w:rsid w:val="0062756F"/>
    <w:rsid w:val="00627D94"/>
    <w:rsid w:val="00630B42"/>
    <w:rsid w:val="006344D2"/>
    <w:rsid w:val="00641808"/>
    <w:rsid w:val="00642072"/>
    <w:rsid w:val="0064350E"/>
    <w:rsid w:val="006440ED"/>
    <w:rsid w:val="00644AF7"/>
    <w:rsid w:val="00645293"/>
    <w:rsid w:val="006469DC"/>
    <w:rsid w:val="00651B78"/>
    <w:rsid w:val="00652263"/>
    <w:rsid w:val="00652881"/>
    <w:rsid w:val="00656F35"/>
    <w:rsid w:val="00660146"/>
    <w:rsid w:val="00661974"/>
    <w:rsid w:val="0066200A"/>
    <w:rsid w:val="0066232F"/>
    <w:rsid w:val="00664551"/>
    <w:rsid w:val="006676A0"/>
    <w:rsid w:val="00670857"/>
    <w:rsid w:val="00671124"/>
    <w:rsid w:val="00671F44"/>
    <w:rsid w:val="00671F51"/>
    <w:rsid w:val="006727B0"/>
    <w:rsid w:val="0067307E"/>
    <w:rsid w:val="00676126"/>
    <w:rsid w:val="0068082B"/>
    <w:rsid w:val="0068640F"/>
    <w:rsid w:val="00687AD5"/>
    <w:rsid w:val="00691921"/>
    <w:rsid w:val="00695251"/>
    <w:rsid w:val="00695ADE"/>
    <w:rsid w:val="00695C0D"/>
    <w:rsid w:val="00696356"/>
    <w:rsid w:val="00696A7B"/>
    <w:rsid w:val="006973EC"/>
    <w:rsid w:val="006A0A24"/>
    <w:rsid w:val="006A1874"/>
    <w:rsid w:val="006A72C6"/>
    <w:rsid w:val="006A7FC4"/>
    <w:rsid w:val="006B02DA"/>
    <w:rsid w:val="006B198C"/>
    <w:rsid w:val="006B2065"/>
    <w:rsid w:val="006B207C"/>
    <w:rsid w:val="006B3940"/>
    <w:rsid w:val="006B4145"/>
    <w:rsid w:val="006B4B1E"/>
    <w:rsid w:val="006B7F36"/>
    <w:rsid w:val="006C168D"/>
    <w:rsid w:val="006C615F"/>
    <w:rsid w:val="006C642C"/>
    <w:rsid w:val="006C6FC6"/>
    <w:rsid w:val="006E2F89"/>
    <w:rsid w:val="006E34B7"/>
    <w:rsid w:val="006F2F56"/>
    <w:rsid w:val="006F4CD8"/>
    <w:rsid w:val="006F53D9"/>
    <w:rsid w:val="006F59D5"/>
    <w:rsid w:val="006F5B9A"/>
    <w:rsid w:val="00700422"/>
    <w:rsid w:val="007004DC"/>
    <w:rsid w:val="00703E8A"/>
    <w:rsid w:val="0070673D"/>
    <w:rsid w:val="00711522"/>
    <w:rsid w:val="007124FE"/>
    <w:rsid w:val="007129D4"/>
    <w:rsid w:val="00713186"/>
    <w:rsid w:val="00713757"/>
    <w:rsid w:val="00714C63"/>
    <w:rsid w:val="00714DCA"/>
    <w:rsid w:val="00717772"/>
    <w:rsid w:val="00721AF1"/>
    <w:rsid w:val="00721C61"/>
    <w:rsid w:val="00722000"/>
    <w:rsid w:val="0072280F"/>
    <w:rsid w:val="00722B5E"/>
    <w:rsid w:val="0072708F"/>
    <w:rsid w:val="00730566"/>
    <w:rsid w:val="00732D1D"/>
    <w:rsid w:val="00733D9B"/>
    <w:rsid w:val="00733FB9"/>
    <w:rsid w:val="00736034"/>
    <w:rsid w:val="0073681C"/>
    <w:rsid w:val="00736C89"/>
    <w:rsid w:val="0073709A"/>
    <w:rsid w:val="00741D09"/>
    <w:rsid w:val="00741EBE"/>
    <w:rsid w:val="00746130"/>
    <w:rsid w:val="007469C0"/>
    <w:rsid w:val="00746A40"/>
    <w:rsid w:val="00750358"/>
    <w:rsid w:val="00750E0C"/>
    <w:rsid w:val="0075424A"/>
    <w:rsid w:val="00755CDF"/>
    <w:rsid w:val="00756731"/>
    <w:rsid w:val="00757A4C"/>
    <w:rsid w:val="00764A94"/>
    <w:rsid w:val="007651E5"/>
    <w:rsid w:val="007670DC"/>
    <w:rsid w:val="00771003"/>
    <w:rsid w:val="0077111A"/>
    <w:rsid w:val="00772272"/>
    <w:rsid w:val="0077542F"/>
    <w:rsid w:val="007756ED"/>
    <w:rsid w:val="0078047B"/>
    <w:rsid w:val="00784443"/>
    <w:rsid w:val="00784955"/>
    <w:rsid w:val="00786656"/>
    <w:rsid w:val="007870FC"/>
    <w:rsid w:val="00787CD0"/>
    <w:rsid w:val="00790B94"/>
    <w:rsid w:val="00791053"/>
    <w:rsid w:val="00791A3A"/>
    <w:rsid w:val="00792F67"/>
    <w:rsid w:val="00794196"/>
    <w:rsid w:val="00797637"/>
    <w:rsid w:val="00797CBF"/>
    <w:rsid w:val="007A0B2A"/>
    <w:rsid w:val="007A3680"/>
    <w:rsid w:val="007A59B8"/>
    <w:rsid w:val="007B0C35"/>
    <w:rsid w:val="007B0E0E"/>
    <w:rsid w:val="007B1A39"/>
    <w:rsid w:val="007B2862"/>
    <w:rsid w:val="007B2A4A"/>
    <w:rsid w:val="007B662A"/>
    <w:rsid w:val="007C099F"/>
    <w:rsid w:val="007C57FC"/>
    <w:rsid w:val="007C67DA"/>
    <w:rsid w:val="007D10B0"/>
    <w:rsid w:val="007D23E1"/>
    <w:rsid w:val="007D28C9"/>
    <w:rsid w:val="007D3CC8"/>
    <w:rsid w:val="007D62F9"/>
    <w:rsid w:val="007D63A4"/>
    <w:rsid w:val="007E1AA2"/>
    <w:rsid w:val="007E4C1F"/>
    <w:rsid w:val="007E5469"/>
    <w:rsid w:val="007F0759"/>
    <w:rsid w:val="007F156E"/>
    <w:rsid w:val="007F25C0"/>
    <w:rsid w:val="007F5F52"/>
    <w:rsid w:val="007F77C6"/>
    <w:rsid w:val="008003A1"/>
    <w:rsid w:val="008006B7"/>
    <w:rsid w:val="00800FDB"/>
    <w:rsid w:val="00802081"/>
    <w:rsid w:val="00802299"/>
    <w:rsid w:val="00805F23"/>
    <w:rsid w:val="00806461"/>
    <w:rsid w:val="0080742F"/>
    <w:rsid w:val="0081096D"/>
    <w:rsid w:val="00810EAD"/>
    <w:rsid w:val="00811833"/>
    <w:rsid w:val="00814DCE"/>
    <w:rsid w:val="0081515B"/>
    <w:rsid w:val="008174D4"/>
    <w:rsid w:val="00820FE6"/>
    <w:rsid w:val="00821545"/>
    <w:rsid w:val="00821A66"/>
    <w:rsid w:val="00822476"/>
    <w:rsid w:val="00822882"/>
    <w:rsid w:val="00822A0F"/>
    <w:rsid w:val="00825F68"/>
    <w:rsid w:val="0083066D"/>
    <w:rsid w:val="0083349B"/>
    <w:rsid w:val="00834467"/>
    <w:rsid w:val="00834F45"/>
    <w:rsid w:val="00835408"/>
    <w:rsid w:val="008359DA"/>
    <w:rsid w:val="00836321"/>
    <w:rsid w:val="00837CEF"/>
    <w:rsid w:val="00840035"/>
    <w:rsid w:val="00841E37"/>
    <w:rsid w:val="008428A9"/>
    <w:rsid w:val="00844112"/>
    <w:rsid w:val="008456C9"/>
    <w:rsid w:val="0084595F"/>
    <w:rsid w:val="0084611D"/>
    <w:rsid w:val="00850C62"/>
    <w:rsid w:val="00857C90"/>
    <w:rsid w:val="00863011"/>
    <w:rsid w:val="00865075"/>
    <w:rsid w:val="0086748F"/>
    <w:rsid w:val="008726BA"/>
    <w:rsid w:val="00872CE4"/>
    <w:rsid w:val="008730DF"/>
    <w:rsid w:val="00877B62"/>
    <w:rsid w:val="00881015"/>
    <w:rsid w:val="008810B0"/>
    <w:rsid w:val="008819B6"/>
    <w:rsid w:val="00881AAC"/>
    <w:rsid w:val="008836B7"/>
    <w:rsid w:val="008841D3"/>
    <w:rsid w:val="00886CF9"/>
    <w:rsid w:val="00887DE6"/>
    <w:rsid w:val="00894C2A"/>
    <w:rsid w:val="00896BE4"/>
    <w:rsid w:val="00897708"/>
    <w:rsid w:val="00897C60"/>
    <w:rsid w:val="00897D88"/>
    <w:rsid w:val="00897EC2"/>
    <w:rsid w:val="008A17AF"/>
    <w:rsid w:val="008A1B66"/>
    <w:rsid w:val="008A22A5"/>
    <w:rsid w:val="008A2F16"/>
    <w:rsid w:val="008A6913"/>
    <w:rsid w:val="008B1823"/>
    <w:rsid w:val="008B6E16"/>
    <w:rsid w:val="008B7110"/>
    <w:rsid w:val="008C1E76"/>
    <w:rsid w:val="008C2029"/>
    <w:rsid w:val="008C4A0E"/>
    <w:rsid w:val="008C550C"/>
    <w:rsid w:val="008C61D6"/>
    <w:rsid w:val="008C64F1"/>
    <w:rsid w:val="008D1BB0"/>
    <w:rsid w:val="008D20FF"/>
    <w:rsid w:val="008D3DE6"/>
    <w:rsid w:val="008D4223"/>
    <w:rsid w:val="008D44CC"/>
    <w:rsid w:val="008D46E3"/>
    <w:rsid w:val="008D6709"/>
    <w:rsid w:val="008D6BC7"/>
    <w:rsid w:val="008E083A"/>
    <w:rsid w:val="008E2450"/>
    <w:rsid w:val="008E7896"/>
    <w:rsid w:val="008F2477"/>
    <w:rsid w:val="008F38A8"/>
    <w:rsid w:val="0090000A"/>
    <w:rsid w:val="009010F0"/>
    <w:rsid w:val="00901162"/>
    <w:rsid w:val="00902123"/>
    <w:rsid w:val="0090223A"/>
    <w:rsid w:val="009028E2"/>
    <w:rsid w:val="00903E90"/>
    <w:rsid w:val="009110CF"/>
    <w:rsid w:val="00913200"/>
    <w:rsid w:val="00914613"/>
    <w:rsid w:val="00914EAB"/>
    <w:rsid w:val="00916017"/>
    <w:rsid w:val="0091769F"/>
    <w:rsid w:val="00920CBA"/>
    <w:rsid w:val="0092140D"/>
    <w:rsid w:val="00922D49"/>
    <w:rsid w:val="00925563"/>
    <w:rsid w:val="00925E37"/>
    <w:rsid w:val="00925EDD"/>
    <w:rsid w:val="009274EF"/>
    <w:rsid w:val="00927D0E"/>
    <w:rsid w:val="00927D28"/>
    <w:rsid w:val="0093042A"/>
    <w:rsid w:val="009309DA"/>
    <w:rsid w:val="00932C9E"/>
    <w:rsid w:val="00933EAB"/>
    <w:rsid w:val="00936688"/>
    <w:rsid w:val="00937CFA"/>
    <w:rsid w:val="009406B3"/>
    <w:rsid w:val="00943748"/>
    <w:rsid w:val="009457CF"/>
    <w:rsid w:val="00945CF5"/>
    <w:rsid w:val="00947E6A"/>
    <w:rsid w:val="009500A1"/>
    <w:rsid w:val="0095037E"/>
    <w:rsid w:val="00952AAD"/>
    <w:rsid w:val="00954567"/>
    <w:rsid w:val="00955B04"/>
    <w:rsid w:val="00956671"/>
    <w:rsid w:val="00957466"/>
    <w:rsid w:val="0096260B"/>
    <w:rsid w:val="009664D5"/>
    <w:rsid w:val="00970C69"/>
    <w:rsid w:val="00971114"/>
    <w:rsid w:val="00971F1C"/>
    <w:rsid w:val="0097211D"/>
    <w:rsid w:val="00972E10"/>
    <w:rsid w:val="009744C4"/>
    <w:rsid w:val="009746CA"/>
    <w:rsid w:val="0097516E"/>
    <w:rsid w:val="00980733"/>
    <w:rsid w:val="00981963"/>
    <w:rsid w:val="00983C82"/>
    <w:rsid w:val="00984520"/>
    <w:rsid w:val="0098545C"/>
    <w:rsid w:val="00991257"/>
    <w:rsid w:val="00992BA2"/>
    <w:rsid w:val="00992F83"/>
    <w:rsid w:val="00994970"/>
    <w:rsid w:val="0099508A"/>
    <w:rsid w:val="009950C6"/>
    <w:rsid w:val="0099581D"/>
    <w:rsid w:val="00995D0B"/>
    <w:rsid w:val="009974EB"/>
    <w:rsid w:val="009A1126"/>
    <w:rsid w:val="009A4FC8"/>
    <w:rsid w:val="009A59AD"/>
    <w:rsid w:val="009A7A14"/>
    <w:rsid w:val="009B0301"/>
    <w:rsid w:val="009B1584"/>
    <w:rsid w:val="009B1B32"/>
    <w:rsid w:val="009B21CA"/>
    <w:rsid w:val="009B2648"/>
    <w:rsid w:val="009B6BB3"/>
    <w:rsid w:val="009C03E5"/>
    <w:rsid w:val="009C196C"/>
    <w:rsid w:val="009C3730"/>
    <w:rsid w:val="009C37BD"/>
    <w:rsid w:val="009C3AAC"/>
    <w:rsid w:val="009C4D19"/>
    <w:rsid w:val="009C5FDB"/>
    <w:rsid w:val="009C693E"/>
    <w:rsid w:val="009C70CB"/>
    <w:rsid w:val="009D1EA4"/>
    <w:rsid w:val="009D27AA"/>
    <w:rsid w:val="009D4991"/>
    <w:rsid w:val="009D54B7"/>
    <w:rsid w:val="009D5BB5"/>
    <w:rsid w:val="009D696D"/>
    <w:rsid w:val="009D6ED2"/>
    <w:rsid w:val="009E0F1A"/>
    <w:rsid w:val="009E140D"/>
    <w:rsid w:val="009E4465"/>
    <w:rsid w:val="009E56E9"/>
    <w:rsid w:val="009E6401"/>
    <w:rsid w:val="009E6C54"/>
    <w:rsid w:val="009F2A25"/>
    <w:rsid w:val="009F2BEF"/>
    <w:rsid w:val="009F4FDA"/>
    <w:rsid w:val="009F5235"/>
    <w:rsid w:val="009F531A"/>
    <w:rsid w:val="009F6550"/>
    <w:rsid w:val="009F786E"/>
    <w:rsid w:val="00A00902"/>
    <w:rsid w:val="00A039FF"/>
    <w:rsid w:val="00A03E55"/>
    <w:rsid w:val="00A05ACE"/>
    <w:rsid w:val="00A13A08"/>
    <w:rsid w:val="00A14AE3"/>
    <w:rsid w:val="00A16675"/>
    <w:rsid w:val="00A22CD6"/>
    <w:rsid w:val="00A234EC"/>
    <w:rsid w:val="00A2417A"/>
    <w:rsid w:val="00A26668"/>
    <w:rsid w:val="00A27804"/>
    <w:rsid w:val="00A27FCA"/>
    <w:rsid w:val="00A31937"/>
    <w:rsid w:val="00A36822"/>
    <w:rsid w:val="00A36AB5"/>
    <w:rsid w:val="00A37DE4"/>
    <w:rsid w:val="00A40C1C"/>
    <w:rsid w:val="00A411D1"/>
    <w:rsid w:val="00A43389"/>
    <w:rsid w:val="00A43E71"/>
    <w:rsid w:val="00A45753"/>
    <w:rsid w:val="00A45CAA"/>
    <w:rsid w:val="00A46683"/>
    <w:rsid w:val="00A4764D"/>
    <w:rsid w:val="00A47B15"/>
    <w:rsid w:val="00A52F84"/>
    <w:rsid w:val="00A54580"/>
    <w:rsid w:val="00A560AC"/>
    <w:rsid w:val="00A56B05"/>
    <w:rsid w:val="00A5725E"/>
    <w:rsid w:val="00A57678"/>
    <w:rsid w:val="00A6082D"/>
    <w:rsid w:val="00A60E2F"/>
    <w:rsid w:val="00A63284"/>
    <w:rsid w:val="00A64CB8"/>
    <w:rsid w:val="00A67018"/>
    <w:rsid w:val="00A672F3"/>
    <w:rsid w:val="00A673DC"/>
    <w:rsid w:val="00A7041B"/>
    <w:rsid w:val="00A7076E"/>
    <w:rsid w:val="00A709BE"/>
    <w:rsid w:val="00A7162E"/>
    <w:rsid w:val="00A7234B"/>
    <w:rsid w:val="00A72D71"/>
    <w:rsid w:val="00A73958"/>
    <w:rsid w:val="00A75705"/>
    <w:rsid w:val="00A77C69"/>
    <w:rsid w:val="00A83953"/>
    <w:rsid w:val="00A8400B"/>
    <w:rsid w:val="00A8678F"/>
    <w:rsid w:val="00A903B6"/>
    <w:rsid w:val="00A9064E"/>
    <w:rsid w:val="00A90F4F"/>
    <w:rsid w:val="00A947AA"/>
    <w:rsid w:val="00AA1B53"/>
    <w:rsid w:val="00AA3556"/>
    <w:rsid w:val="00AA35FD"/>
    <w:rsid w:val="00AA3DB7"/>
    <w:rsid w:val="00AA687B"/>
    <w:rsid w:val="00AB01AA"/>
    <w:rsid w:val="00AB3012"/>
    <w:rsid w:val="00AB321C"/>
    <w:rsid w:val="00AB5C7D"/>
    <w:rsid w:val="00AB660F"/>
    <w:rsid w:val="00AB688F"/>
    <w:rsid w:val="00AB75EA"/>
    <w:rsid w:val="00AB7AA2"/>
    <w:rsid w:val="00AC1269"/>
    <w:rsid w:val="00AC26A8"/>
    <w:rsid w:val="00AC2FFC"/>
    <w:rsid w:val="00AC4BC1"/>
    <w:rsid w:val="00AC658E"/>
    <w:rsid w:val="00AD036A"/>
    <w:rsid w:val="00AD04BD"/>
    <w:rsid w:val="00AD18BE"/>
    <w:rsid w:val="00AD7214"/>
    <w:rsid w:val="00AE0465"/>
    <w:rsid w:val="00AE1066"/>
    <w:rsid w:val="00AE4518"/>
    <w:rsid w:val="00AE5D7F"/>
    <w:rsid w:val="00AE5DDF"/>
    <w:rsid w:val="00AE79F0"/>
    <w:rsid w:val="00AF2DE8"/>
    <w:rsid w:val="00AF650B"/>
    <w:rsid w:val="00AF6EC1"/>
    <w:rsid w:val="00B00331"/>
    <w:rsid w:val="00B01A80"/>
    <w:rsid w:val="00B01BC2"/>
    <w:rsid w:val="00B04217"/>
    <w:rsid w:val="00B046DF"/>
    <w:rsid w:val="00B07B1C"/>
    <w:rsid w:val="00B07C27"/>
    <w:rsid w:val="00B10017"/>
    <w:rsid w:val="00B10CA9"/>
    <w:rsid w:val="00B10DE1"/>
    <w:rsid w:val="00B10FF8"/>
    <w:rsid w:val="00B15902"/>
    <w:rsid w:val="00B16848"/>
    <w:rsid w:val="00B203C4"/>
    <w:rsid w:val="00B2042E"/>
    <w:rsid w:val="00B22E81"/>
    <w:rsid w:val="00B23996"/>
    <w:rsid w:val="00B23CB2"/>
    <w:rsid w:val="00B2561A"/>
    <w:rsid w:val="00B25A64"/>
    <w:rsid w:val="00B31ADE"/>
    <w:rsid w:val="00B32AB3"/>
    <w:rsid w:val="00B34E7C"/>
    <w:rsid w:val="00B34FD9"/>
    <w:rsid w:val="00B368EA"/>
    <w:rsid w:val="00B37EEF"/>
    <w:rsid w:val="00B4127A"/>
    <w:rsid w:val="00B41DF9"/>
    <w:rsid w:val="00B41E22"/>
    <w:rsid w:val="00B51C7C"/>
    <w:rsid w:val="00B53831"/>
    <w:rsid w:val="00B54370"/>
    <w:rsid w:val="00B55185"/>
    <w:rsid w:val="00B558A4"/>
    <w:rsid w:val="00B61923"/>
    <w:rsid w:val="00B621D6"/>
    <w:rsid w:val="00B65D6F"/>
    <w:rsid w:val="00B67C23"/>
    <w:rsid w:val="00B70973"/>
    <w:rsid w:val="00B70DC7"/>
    <w:rsid w:val="00B72596"/>
    <w:rsid w:val="00B731D5"/>
    <w:rsid w:val="00B74B0F"/>
    <w:rsid w:val="00B75735"/>
    <w:rsid w:val="00B77142"/>
    <w:rsid w:val="00B80A2C"/>
    <w:rsid w:val="00B81F60"/>
    <w:rsid w:val="00B841AC"/>
    <w:rsid w:val="00B865B0"/>
    <w:rsid w:val="00B90780"/>
    <w:rsid w:val="00B9240D"/>
    <w:rsid w:val="00BA153D"/>
    <w:rsid w:val="00BA170A"/>
    <w:rsid w:val="00BA22A8"/>
    <w:rsid w:val="00BA3689"/>
    <w:rsid w:val="00BA3E48"/>
    <w:rsid w:val="00BA4BD3"/>
    <w:rsid w:val="00BA4E28"/>
    <w:rsid w:val="00BA574A"/>
    <w:rsid w:val="00BA6DE7"/>
    <w:rsid w:val="00BB0187"/>
    <w:rsid w:val="00BB1EB3"/>
    <w:rsid w:val="00BB2678"/>
    <w:rsid w:val="00BB2A42"/>
    <w:rsid w:val="00BC013A"/>
    <w:rsid w:val="00BC2343"/>
    <w:rsid w:val="00BC3740"/>
    <w:rsid w:val="00BC7A05"/>
    <w:rsid w:val="00BD0A0A"/>
    <w:rsid w:val="00BD2F87"/>
    <w:rsid w:val="00BD30C8"/>
    <w:rsid w:val="00BD3C9B"/>
    <w:rsid w:val="00BD3EB4"/>
    <w:rsid w:val="00BD5C65"/>
    <w:rsid w:val="00BD6051"/>
    <w:rsid w:val="00BE03A5"/>
    <w:rsid w:val="00BE6018"/>
    <w:rsid w:val="00BF1F57"/>
    <w:rsid w:val="00BF3BE6"/>
    <w:rsid w:val="00BF4086"/>
    <w:rsid w:val="00BF426C"/>
    <w:rsid w:val="00BF58D0"/>
    <w:rsid w:val="00BF7D6A"/>
    <w:rsid w:val="00C013E1"/>
    <w:rsid w:val="00C01611"/>
    <w:rsid w:val="00C02D59"/>
    <w:rsid w:val="00C030B6"/>
    <w:rsid w:val="00C03284"/>
    <w:rsid w:val="00C050D7"/>
    <w:rsid w:val="00C05B5F"/>
    <w:rsid w:val="00C07CF9"/>
    <w:rsid w:val="00C104CC"/>
    <w:rsid w:val="00C136D7"/>
    <w:rsid w:val="00C152FE"/>
    <w:rsid w:val="00C16739"/>
    <w:rsid w:val="00C1675B"/>
    <w:rsid w:val="00C1697D"/>
    <w:rsid w:val="00C1750D"/>
    <w:rsid w:val="00C22CCE"/>
    <w:rsid w:val="00C23BA2"/>
    <w:rsid w:val="00C26024"/>
    <w:rsid w:val="00C2623B"/>
    <w:rsid w:val="00C30F79"/>
    <w:rsid w:val="00C32AF2"/>
    <w:rsid w:val="00C33204"/>
    <w:rsid w:val="00C338EB"/>
    <w:rsid w:val="00C3465D"/>
    <w:rsid w:val="00C379E9"/>
    <w:rsid w:val="00C438E2"/>
    <w:rsid w:val="00C439FB"/>
    <w:rsid w:val="00C43F23"/>
    <w:rsid w:val="00C50011"/>
    <w:rsid w:val="00C51D0A"/>
    <w:rsid w:val="00C56CC6"/>
    <w:rsid w:val="00C6357C"/>
    <w:rsid w:val="00C640D9"/>
    <w:rsid w:val="00C645E6"/>
    <w:rsid w:val="00C64D82"/>
    <w:rsid w:val="00C64FBC"/>
    <w:rsid w:val="00C65A83"/>
    <w:rsid w:val="00C66A9E"/>
    <w:rsid w:val="00C66CBE"/>
    <w:rsid w:val="00C704E8"/>
    <w:rsid w:val="00C72B6C"/>
    <w:rsid w:val="00C72C6F"/>
    <w:rsid w:val="00C73818"/>
    <w:rsid w:val="00C77C8A"/>
    <w:rsid w:val="00C80F23"/>
    <w:rsid w:val="00C81151"/>
    <w:rsid w:val="00C82CC6"/>
    <w:rsid w:val="00C83E51"/>
    <w:rsid w:val="00C850A3"/>
    <w:rsid w:val="00C85C32"/>
    <w:rsid w:val="00C87568"/>
    <w:rsid w:val="00C90DB6"/>
    <w:rsid w:val="00C9394F"/>
    <w:rsid w:val="00C93A35"/>
    <w:rsid w:val="00C93B1A"/>
    <w:rsid w:val="00C967C1"/>
    <w:rsid w:val="00C96F5F"/>
    <w:rsid w:val="00CA5927"/>
    <w:rsid w:val="00CA79EC"/>
    <w:rsid w:val="00CB0C68"/>
    <w:rsid w:val="00CB39C2"/>
    <w:rsid w:val="00CB4C8C"/>
    <w:rsid w:val="00CB6782"/>
    <w:rsid w:val="00CB6AC9"/>
    <w:rsid w:val="00CC02A5"/>
    <w:rsid w:val="00CC080A"/>
    <w:rsid w:val="00CC0D0F"/>
    <w:rsid w:val="00CC33C2"/>
    <w:rsid w:val="00CC6971"/>
    <w:rsid w:val="00CD076B"/>
    <w:rsid w:val="00CD08CC"/>
    <w:rsid w:val="00CD4512"/>
    <w:rsid w:val="00CD4C31"/>
    <w:rsid w:val="00CE2E10"/>
    <w:rsid w:val="00CE4C23"/>
    <w:rsid w:val="00CE5277"/>
    <w:rsid w:val="00CE6358"/>
    <w:rsid w:val="00CE695A"/>
    <w:rsid w:val="00CF2161"/>
    <w:rsid w:val="00CF2D54"/>
    <w:rsid w:val="00CF6A2C"/>
    <w:rsid w:val="00D03538"/>
    <w:rsid w:val="00D038C4"/>
    <w:rsid w:val="00D049B8"/>
    <w:rsid w:val="00D0516C"/>
    <w:rsid w:val="00D05EE7"/>
    <w:rsid w:val="00D068D0"/>
    <w:rsid w:val="00D078D1"/>
    <w:rsid w:val="00D129A8"/>
    <w:rsid w:val="00D12FB9"/>
    <w:rsid w:val="00D178F5"/>
    <w:rsid w:val="00D200BD"/>
    <w:rsid w:val="00D22399"/>
    <w:rsid w:val="00D260E1"/>
    <w:rsid w:val="00D33374"/>
    <w:rsid w:val="00D33751"/>
    <w:rsid w:val="00D33822"/>
    <w:rsid w:val="00D33A3D"/>
    <w:rsid w:val="00D36125"/>
    <w:rsid w:val="00D36F6E"/>
    <w:rsid w:val="00D37343"/>
    <w:rsid w:val="00D41291"/>
    <w:rsid w:val="00D4205E"/>
    <w:rsid w:val="00D46057"/>
    <w:rsid w:val="00D5081E"/>
    <w:rsid w:val="00D5574C"/>
    <w:rsid w:val="00D6057D"/>
    <w:rsid w:val="00D61982"/>
    <w:rsid w:val="00D62130"/>
    <w:rsid w:val="00D621B5"/>
    <w:rsid w:val="00D6267A"/>
    <w:rsid w:val="00D63BBA"/>
    <w:rsid w:val="00D67D12"/>
    <w:rsid w:val="00D72602"/>
    <w:rsid w:val="00D734A9"/>
    <w:rsid w:val="00D7585A"/>
    <w:rsid w:val="00D759A7"/>
    <w:rsid w:val="00D76DD5"/>
    <w:rsid w:val="00D80618"/>
    <w:rsid w:val="00D82494"/>
    <w:rsid w:val="00D83335"/>
    <w:rsid w:val="00D84264"/>
    <w:rsid w:val="00D84A4B"/>
    <w:rsid w:val="00D92168"/>
    <w:rsid w:val="00D940B5"/>
    <w:rsid w:val="00D95CB0"/>
    <w:rsid w:val="00D96099"/>
    <w:rsid w:val="00D96765"/>
    <w:rsid w:val="00D977C0"/>
    <w:rsid w:val="00DA00A3"/>
    <w:rsid w:val="00DA0D88"/>
    <w:rsid w:val="00DA13F3"/>
    <w:rsid w:val="00DA2DE3"/>
    <w:rsid w:val="00DA7146"/>
    <w:rsid w:val="00DA716A"/>
    <w:rsid w:val="00DB1F4F"/>
    <w:rsid w:val="00DB37EE"/>
    <w:rsid w:val="00DB4450"/>
    <w:rsid w:val="00DB4EE7"/>
    <w:rsid w:val="00DB7B69"/>
    <w:rsid w:val="00DC234A"/>
    <w:rsid w:val="00DC3788"/>
    <w:rsid w:val="00DC3FD7"/>
    <w:rsid w:val="00DC41E4"/>
    <w:rsid w:val="00DC5116"/>
    <w:rsid w:val="00DC7C77"/>
    <w:rsid w:val="00DD7E19"/>
    <w:rsid w:val="00DD7EA2"/>
    <w:rsid w:val="00DE00F2"/>
    <w:rsid w:val="00DE117F"/>
    <w:rsid w:val="00DE401C"/>
    <w:rsid w:val="00DF0E58"/>
    <w:rsid w:val="00DF63FA"/>
    <w:rsid w:val="00E00A1C"/>
    <w:rsid w:val="00E012CC"/>
    <w:rsid w:val="00E02A1E"/>
    <w:rsid w:val="00E02B71"/>
    <w:rsid w:val="00E02DEB"/>
    <w:rsid w:val="00E03D58"/>
    <w:rsid w:val="00E042A1"/>
    <w:rsid w:val="00E05E5E"/>
    <w:rsid w:val="00E07093"/>
    <w:rsid w:val="00E104FA"/>
    <w:rsid w:val="00E1082A"/>
    <w:rsid w:val="00E11166"/>
    <w:rsid w:val="00E13182"/>
    <w:rsid w:val="00E147F9"/>
    <w:rsid w:val="00E15383"/>
    <w:rsid w:val="00E16722"/>
    <w:rsid w:val="00E1738C"/>
    <w:rsid w:val="00E20793"/>
    <w:rsid w:val="00E22B9D"/>
    <w:rsid w:val="00E22D28"/>
    <w:rsid w:val="00E230E3"/>
    <w:rsid w:val="00E2336E"/>
    <w:rsid w:val="00E27AF2"/>
    <w:rsid w:val="00E30EDF"/>
    <w:rsid w:val="00E3112B"/>
    <w:rsid w:val="00E31FBA"/>
    <w:rsid w:val="00E3387E"/>
    <w:rsid w:val="00E33A9F"/>
    <w:rsid w:val="00E33DCE"/>
    <w:rsid w:val="00E34648"/>
    <w:rsid w:val="00E350EA"/>
    <w:rsid w:val="00E36AAE"/>
    <w:rsid w:val="00E36D79"/>
    <w:rsid w:val="00E3741F"/>
    <w:rsid w:val="00E41773"/>
    <w:rsid w:val="00E42623"/>
    <w:rsid w:val="00E42759"/>
    <w:rsid w:val="00E44758"/>
    <w:rsid w:val="00E44E28"/>
    <w:rsid w:val="00E513F6"/>
    <w:rsid w:val="00E5188E"/>
    <w:rsid w:val="00E51A6A"/>
    <w:rsid w:val="00E52EBA"/>
    <w:rsid w:val="00E52F3B"/>
    <w:rsid w:val="00E53D94"/>
    <w:rsid w:val="00E53DEA"/>
    <w:rsid w:val="00E616DB"/>
    <w:rsid w:val="00E627A4"/>
    <w:rsid w:val="00E62FCD"/>
    <w:rsid w:val="00E630ED"/>
    <w:rsid w:val="00E6357F"/>
    <w:rsid w:val="00E74491"/>
    <w:rsid w:val="00E74EC5"/>
    <w:rsid w:val="00E76B86"/>
    <w:rsid w:val="00E81ABD"/>
    <w:rsid w:val="00E8342F"/>
    <w:rsid w:val="00E847A7"/>
    <w:rsid w:val="00E85E29"/>
    <w:rsid w:val="00E86E79"/>
    <w:rsid w:val="00E906B4"/>
    <w:rsid w:val="00E9095B"/>
    <w:rsid w:val="00E91C4F"/>
    <w:rsid w:val="00E92040"/>
    <w:rsid w:val="00E926B8"/>
    <w:rsid w:val="00E9399B"/>
    <w:rsid w:val="00E94008"/>
    <w:rsid w:val="00E94762"/>
    <w:rsid w:val="00E96B52"/>
    <w:rsid w:val="00EA10BE"/>
    <w:rsid w:val="00EA2244"/>
    <w:rsid w:val="00EA52F2"/>
    <w:rsid w:val="00EA6B24"/>
    <w:rsid w:val="00EA6FA7"/>
    <w:rsid w:val="00EB067F"/>
    <w:rsid w:val="00EB1F02"/>
    <w:rsid w:val="00EB2D20"/>
    <w:rsid w:val="00EB5BC5"/>
    <w:rsid w:val="00EB6233"/>
    <w:rsid w:val="00EC086C"/>
    <w:rsid w:val="00EC2832"/>
    <w:rsid w:val="00EC42D0"/>
    <w:rsid w:val="00EC638F"/>
    <w:rsid w:val="00EC7E46"/>
    <w:rsid w:val="00ED6C22"/>
    <w:rsid w:val="00ED7363"/>
    <w:rsid w:val="00EE16C9"/>
    <w:rsid w:val="00EE4874"/>
    <w:rsid w:val="00EE574D"/>
    <w:rsid w:val="00EE79A6"/>
    <w:rsid w:val="00EF07DC"/>
    <w:rsid w:val="00EF1D5B"/>
    <w:rsid w:val="00EF6111"/>
    <w:rsid w:val="00EF673D"/>
    <w:rsid w:val="00F005A0"/>
    <w:rsid w:val="00F00C35"/>
    <w:rsid w:val="00F06616"/>
    <w:rsid w:val="00F10BC6"/>
    <w:rsid w:val="00F11352"/>
    <w:rsid w:val="00F1498D"/>
    <w:rsid w:val="00F14DDF"/>
    <w:rsid w:val="00F152AD"/>
    <w:rsid w:val="00F15335"/>
    <w:rsid w:val="00F16161"/>
    <w:rsid w:val="00F20F7C"/>
    <w:rsid w:val="00F21C76"/>
    <w:rsid w:val="00F2285F"/>
    <w:rsid w:val="00F229B7"/>
    <w:rsid w:val="00F23155"/>
    <w:rsid w:val="00F237A6"/>
    <w:rsid w:val="00F24236"/>
    <w:rsid w:val="00F24E0E"/>
    <w:rsid w:val="00F250F9"/>
    <w:rsid w:val="00F26693"/>
    <w:rsid w:val="00F31F40"/>
    <w:rsid w:val="00F36130"/>
    <w:rsid w:val="00F40444"/>
    <w:rsid w:val="00F423BD"/>
    <w:rsid w:val="00F432FF"/>
    <w:rsid w:val="00F4715C"/>
    <w:rsid w:val="00F532A8"/>
    <w:rsid w:val="00F538F6"/>
    <w:rsid w:val="00F53C6A"/>
    <w:rsid w:val="00F54869"/>
    <w:rsid w:val="00F54A02"/>
    <w:rsid w:val="00F556B2"/>
    <w:rsid w:val="00F5754B"/>
    <w:rsid w:val="00F576DE"/>
    <w:rsid w:val="00F63979"/>
    <w:rsid w:val="00F63BF7"/>
    <w:rsid w:val="00F65617"/>
    <w:rsid w:val="00F70F32"/>
    <w:rsid w:val="00F710BE"/>
    <w:rsid w:val="00F73153"/>
    <w:rsid w:val="00F736D2"/>
    <w:rsid w:val="00F741F2"/>
    <w:rsid w:val="00F7564C"/>
    <w:rsid w:val="00F76220"/>
    <w:rsid w:val="00F769BE"/>
    <w:rsid w:val="00F81953"/>
    <w:rsid w:val="00F81F0D"/>
    <w:rsid w:val="00F82E6B"/>
    <w:rsid w:val="00F840F0"/>
    <w:rsid w:val="00F92701"/>
    <w:rsid w:val="00F977B5"/>
    <w:rsid w:val="00F97B71"/>
    <w:rsid w:val="00F97C28"/>
    <w:rsid w:val="00FA1245"/>
    <w:rsid w:val="00FA2DDA"/>
    <w:rsid w:val="00FA34CA"/>
    <w:rsid w:val="00FA4A55"/>
    <w:rsid w:val="00FA4D4F"/>
    <w:rsid w:val="00FA54E8"/>
    <w:rsid w:val="00FB2D17"/>
    <w:rsid w:val="00FB2F69"/>
    <w:rsid w:val="00FB368B"/>
    <w:rsid w:val="00FB45FF"/>
    <w:rsid w:val="00FB4FCE"/>
    <w:rsid w:val="00FB5989"/>
    <w:rsid w:val="00FB5D97"/>
    <w:rsid w:val="00FC1CA5"/>
    <w:rsid w:val="00FC2979"/>
    <w:rsid w:val="00FC3631"/>
    <w:rsid w:val="00FD1C3C"/>
    <w:rsid w:val="00FD38A8"/>
    <w:rsid w:val="00FD4AC8"/>
    <w:rsid w:val="00FD6AC8"/>
    <w:rsid w:val="00FD730D"/>
    <w:rsid w:val="00FE24FC"/>
    <w:rsid w:val="00FE3EA1"/>
    <w:rsid w:val="00FE4818"/>
    <w:rsid w:val="00FE5D80"/>
    <w:rsid w:val="00FE6190"/>
    <w:rsid w:val="00FE7458"/>
    <w:rsid w:val="00FF1577"/>
    <w:rsid w:val="00FF507C"/>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9BD905A-D358-4F4C-A628-0AE0BE36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6973EC"/>
    <w:pPr>
      <w:keepNext/>
      <w:keepLines/>
      <w:spacing w:before="340" w:after="330" w:line="578" w:lineRule="auto"/>
      <w:outlineLvl w:val="0"/>
    </w:pPr>
    <w:rPr>
      <w:b/>
      <w:bCs/>
      <w:kern w:val="44"/>
      <w:sz w:val="44"/>
      <w:szCs w:val="44"/>
    </w:rPr>
  </w:style>
  <w:style w:type="paragraph" w:styleId="2">
    <w:name w:val="heading 2"/>
    <w:basedOn w:val="a"/>
    <w:next w:val="a0"/>
    <w:qFormat/>
    <w:rsid w:val="00171067"/>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71067"/>
    <w:pPr>
      <w:ind w:firstLineChars="200" w:firstLine="420"/>
    </w:pPr>
  </w:style>
  <w:style w:type="paragraph" w:styleId="a4">
    <w:name w:val="Body Text Indent"/>
    <w:basedOn w:val="a"/>
    <w:rsid w:val="00171067"/>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171067"/>
    <w:rPr>
      <w:rFonts w:ascii="宋体" w:hAnsi="Courier New"/>
      <w:szCs w:val="21"/>
    </w:rPr>
  </w:style>
  <w:style w:type="paragraph" w:styleId="20">
    <w:name w:val="Body Text Indent 2"/>
    <w:basedOn w:val="a"/>
    <w:rsid w:val="00171067"/>
    <w:pPr>
      <w:spacing w:line="560" w:lineRule="exact"/>
      <w:ind w:firstLineChars="200" w:firstLine="480"/>
    </w:pPr>
    <w:rPr>
      <w:rFonts w:ascii="宋体" w:hAnsi="宋体"/>
      <w:color w:val="FF0000"/>
      <w:sz w:val="24"/>
    </w:rPr>
  </w:style>
  <w:style w:type="paragraph" w:styleId="a6">
    <w:name w:val="footer"/>
    <w:basedOn w:val="a"/>
    <w:rsid w:val="00171067"/>
    <w:pPr>
      <w:tabs>
        <w:tab w:val="center" w:pos="4153"/>
        <w:tab w:val="right" w:pos="8306"/>
      </w:tabs>
      <w:snapToGrid w:val="0"/>
      <w:jc w:val="left"/>
    </w:pPr>
    <w:rPr>
      <w:sz w:val="18"/>
      <w:szCs w:val="18"/>
    </w:rPr>
  </w:style>
  <w:style w:type="character" w:styleId="a7">
    <w:name w:val="page number"/>
    <w:basedOn w:val="a1"/>
    <w:rsid w:val="00171067"/>
  </w:style>
  <w:style w:type="character" w:styleId="a8">
    <w:name w:val="Hyperlink"/>
    <w:basedOn w:val="a1"/>
    <w:rsid w:val="00171067"/>
    <w:rPr>
      <w:color w:val="0000FF"/>
      <w:u w:val="single"/>
    </w:rPr>
  </w:style>
  <w:style w:type="paragraph" w:styleId="3">
    <w:name w:val="Body Text Indent 3"/>
    <w:basedOn w:val="a"/>
    <w:rsid w:val="00171067"/>
    <w:pPr>
      <w:spacing w:line="560" w:lineRule="exact"/>
      <w:ind w:firstLineChars="200" w:firstLine="420"/>
    </w:pPr>
    <w:rPr>
      <w:rFonts w:ascii="Arial" w:hAnsi="Arial" w:cs="Arial"/>
      <w:color w:val="FF0000"/>
    </w:rPr>
  </w:style>
  <w:style w:type="paragraph" w:styleId="a9">
    <w:name w:val="header"/>
    <w:basedOn w:val="a"/>
    <w:link w:val="Char0"/>
    <w:uiPriority w:val="99"/>
    <w:rsid w:val="00171067"/>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171067"/>
    <w:rPr>
      <w:color w:val="800080"/>
      <w:u w:val="single"/>
    </w:rPr>
  </w:style>
  <w:style w:type="paragraph" w:styleId="ab">
    <w:name w:val="List"/>
    <w:basedOn w:val="ac"/>
    <w:rsid w:val="00171067"/>
    <w:pPr>
      <w:spacing w:after="220" w:line="220" w:lineRule="atLeast"/>
      <w:ind w:left="1440" w:hanging="360"/>
    </w:pPr>
    <w:rPr>
      <w:szCs w:val="20"/>
    </w:rPr>
  </w:style>
  <w:style w:type="paragraph" w:styleId="ac">
    <w:name w:val="Body Text"/>
    <w:basedOn w:val="a"/>
    <w:rsid w:val="00171067"/>
    <w:pPr>
      <w:spacing w:after="120"/>
    </w:pPr>
  </w:style>
  <w:style w:type="paragraph" w:styleId="ad">
    <w:name w:val="Date"/>
    <w:basedOn w:val="a"/>
    <w:next w:val="a"/>
    <w:link w:val="Char1"/>
    <w:rsid w:val="00171067"/>
    <w:rPr>
      <w:sz w:val="24"/>
      <w:szCs w:val="20"/>
    </w:rPr>
  </w:style>
  <w:style w:type="character" w:customStyle="1" w:styleId="c1">
    <w:name w:val="c1"/>
    <w:basedOn w:val="a1"/>
    <w:rsid w:val="00171067"/>
    <w:rPr>
      <w:color w:val="000000"/>
      <w:sz w:val="18"/>
      <w:szCs w:val="18"/>
    </w:rPr>
  </w:style>
  <w:style w:type="paragraph" w:styleId="10">
    <w:name w:val="index 1"/>
    <w:basedOn w:val="a"/>
    <w:next w:val="a"/>
    <w:autoRedefine/>
    <w:semiHidden/>
    <w:rsid w:val="00171067"/>
    <w:pPr>
      <w:jc w:val="right"/>
    </w:pPr>
    <w:rPr>
      <w:color w:val="008000"/>
    </w:rPr>
  </w:style>
  <w:style w:type="paragraph" w:customStyle="1" w:styleId="font5">
    <w:name w:val="font5"/>
    <w:basedOn w:val="a"/>
    <w:rsid w:val="00171067"/>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17106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171067"/>
    <w:rPr>
      <w:sz w:val="18"/>
      <w:szCs w:val="18"/>
    </w:rPr>
  </w:style>
  <w:style w:type="character" w:styleId="af">
    <w:name w:val="annotation reference"/>
    <w:basedOn w:val="a1"/>
    <w:semiHidden/>
    <w:rsid w:val="00171067"/>
    <w:rPr>
      <w:sz w:val="21"/>
      <w:szCs w:val="21"/>
    </w:rPr>
  </w:style>
  <w:style w:type="paragraph" w:styleId="af0">
    <w:name w:val="annotation text"/>
    <w:basedOn w:val="a"/>
    <w:semiHidden/>
    <w:rsid w:val="00171067"/>
    <w:pPr>
      <w:jc w:val="left"/>
    </w:pPr>
  </w:style>
  <w:style w:type="paragraph" w:styleId="af1">
    <w:name w:val="annotation subject"/>
    <w:basedOn w:val="af0"/>
    <w:next w:val="af0"/>
    <w:semiHidden/>
    <w:rsid w:val="00171067"/>
    <w:rPr>
      <w:b/>
      <w:bCs/>
    </w:rPr>
  </w:style>
  <w:style w:type="paragraph" w:customStyle="1" w:styleId="Char2">
    <w:name w:val="Char"/>
    <w:basedOn w:val="a"/>
    <w:rsid w:val="00171067"/>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5">
    <w:name w:val="样式5"/>
    <w:rsid w:val="00B72596"/>
    <w:pPr>
      <w:numPr>
        <w:numId w:val="6"/>
      </w:numPr>
    </w:pPr>
  </w:style>
  <w:style w:type="character" w:customStyle="1" w:styleId="t1">
    <w:name w:val="t1"/>
    <w:rsid w:val="004E386C"/>
    <w:rPr>
      <w:color w:val="990000"/>
    </w:rPr>
  </w:style>
  <w:style w:type="character" w:customStyle="1" w:styleId="m1">
    <w:name w:val="m1"/>
    <w:rsid w:val="004E386C"/>
    <w:rPr>
      <w:color w:val="0000FF"/>
    </w:rPr>
  </w:style>
  <w:style w:type="character" w:customStyle="1" w:styleId="Char">
    <w:name w:val="纯文本 Char"/>
    <w:link w:val="a5"/>
    <w:uiPriority w:val="99"/>
    <w:rsid w:val="00402ED1"/>
    <w:rPr>
      <w:rFonts w:ascii="宋体" w:hAnsi="Courier New"/>
      <w:kern w:val="2"/>
      <w:sz w:val="21"/>
      <w:szCs w:val="21"/>
    </w:rPr>
  </w:style>
  <w:style w:type="paragraph" w:customStyle="1" w:styleId="Default">
    <w:name w:val="Default"/>
    <w:rsid w:val="00C73818"/>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C136D7"/>
    <w:rPr>
      <w:kern w:val="2"/>
      <w:sz w:val="18"/>
      <w:szCs w:val="18"/>
    </w:rPr>
  </w:style>
  <w:style w:type="character" w:customStyle="1" w:styleId="1Char">
    <w:name w:val="标题 1 Char"/>
    <w:basedOn w:val="a1"/>
    <w:link w:val="1"/>
    <w:uiPriority w:val="99"/>
    <w:rsid w:val="006973EC"/>
    <w:rPr>
      <w:b/>
      <w:bCs/>
      <w:kern w:val="44"/>
      <w:sz w:val="44"/>
      <w:szCs w:val="44"/>
    </w:rPr>
  </w:style>
  <w:style w:type="character" w:customStyle="1" w:styleId="Char1">
    <w:name w:val="日期 Char"/>
    <w:basedOn w:val="a1"/>
    <w:link w:val="ad"/>
    <w:rsid w:val="00294DD0"/>
    <w:rPr>
      <w:kern w:val="2"/>
      <w:sz w:val="24"/>
    </w:rPr>
  </w:style>
  <w:style w:type="character" w:styleId="af8">
    <w:name w:val="Strong"/>
    <w:basedOn w:val="a1"/>
    <w:uiPriority w:val="22"/>
    <w:qFormat/>
    <w:rsid w:val="00491158"/>
    <w:rPr>
      <w:b/>
      <w:bCs/>
    </w:rPr>
  </w:style>
  <w:style w:type="paragraph" w:styleId="af9">
    <w:name w:val="Revision"/>
    <w:hidden/>
    <w:uiPriority w:val="99"/>
    <w:semiHidden/>
    <w:rsid w:val="007220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06975386">
      <w:bodyDiv w:val="1"/>
      <w:marLeft w:val="0"/>
      <w:marRight w:val="0"/>
      <w:marTop w:val="0"/>
      <w:marBottom w:val="0"/>
      <w:divBdr>
        <w:top w:val="none" w:sz="0" w:space="0" w:color="auto"/>
        <w:left w:val="none" w:sz="0" w:space="0" w:color="auto"/>
        <w:bottom w:val="none" w:sz="0" w:space="0" w:color="auto"/>
        <w:right w:val="none" w:sz="0" w:space="0" w:color="auto"/>
      </w:divBdr>
    </w:div>
    <w:div w:id="108742882">
      <w:bodyDiv w:val="1"/>
      <w:marLeft w:val="0"/>
      <w:marRight w:val="0"/>
      <w:marTop w:val="0"/>
      <w:marBottom w:val="0"/>
      <w:divBdr>
        <w:top w:val="none" w:sz="0" w:space="0" w:color="auto"/>
        <w:left w:val="none" w:sz="0" w:space="0" w:color="auto"/>
        <w:bottom w:val="none" w:sz="0" w:space="0" w:color="auto"/>
        <w:right w:val="none" w:sz="0" w:space="0" w:color="auto"/>
      </w:divBdr>
    </w:div>
    <w:div w:id="188841736">
      <w:bodyDiv w:val="1"/>
      <w:marLeft w:val="0"/>
      <w:marRight w:val="0"/>
      <w:marTop w:val="0"/>
      <w:marBottom w:val="0"/>
      <w:divBdr>
        <w:top w:val="none" w:sz="0" w:space="0" w:color="auto"/>
        <w:left w:val="none" w:sz="0" w:space="0" w:color="auto"/>
        <w:bottom w:val="none" w:sz="0" w:space="0" w:color="auto"/>
        <w:right w:val="none" w:sz="0" w:space="0" w:color="auto"/>
      </w:divBdr>
    </w:div>
    <w:div w:id="223832582">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31490476">
      <w:bodyDiv w:val="1"/>
      <w:marLeft w:val="0"/>
      <w:marRight w:val="0"/>
      <w:marTop w:val="0"/>
      <w:marBottom w:val="0"/>
      <w:divBdr>
        <w:top w:val="none" w:sz="0" w:space="0" w:color="auto"/>
        <w:left w:val="none" w:sz="0" w:space="0" w:color="auto"/>
        <w:bottom w:val="none" w:sz="0" w:space="0" w:color="auto"/>
        <w:right w:val="none" w:sz="0" w:space="0" w:color="auto"/>
      </w:divBdr>
    </w:div>
    <w:div w:id="655113944">
      <w:bodyDiv w:val="1"/>
      <w:marLeft w:val="0"/>
      <w:marRight w:val="0"/>
      <w:marTop w:val="0"/>
      <w:marBottom w:val="0"/>
      <w:divBdr>
        <w:top w:val="none" w:sz="0" w:space="0" w:color="auto"/>
        <w:left w:val="none" w:sz="0" w:space="0" w:color="auto"/>
        <w:bottom w:val="none" w:sz="0" w:space="0" w:color="auto"/>
        <w:right w:val="none" w:sz="0" w:space="0" w:color="auto"/>
      </w:divBdr>
    </w:div>
    <w:div w:id="665864550">
      <w:bodyDiv w:val="1"/>
      <w:marLeft w:val="0"/>
      <w:marRight w:val="0"/>
      <w:marTop w:val="0"/>
      <w:marBottom w:val="0"/>
      <w:divBdr>
        <w:top w:val="none" w:sz="0" w:space="0" w:color="auto"/>
        <w:left w:val="none" w:sz="0" w:space="0" w:color="auto"/>
        <w:bottom w:val="none" w:sz="0" w:space="0" w:color="auto"/>
        <w:right w:val="none" w:sz="0" w:space="0" w:color="auto"/>
      </w:divBdr>
    </w:div>
    <w:div w:id="673456134">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02306911">
      <w:bodyDiv w:val="1"/>
      <w:marLeft w:val="0"/>
      <w:marRight w:val="0"/>
      <w:marTop w:val="0"/>
      <w:marBottom w:val="0"/>
      <w:divBdr>
        <w:top w:val="none" w:sz="0" w:space="0" w:color="auto"/>
        <w:left w:val="none" w:sz="0" w:space="0" w:color="auto"/>
        <w:bottom w:val="none" w:sz="0" w:space="0" w:color="auto"/>
        <w:right w:val="none" w:sz="0" w:space="0" w:color="auto"/>
      </w:divBdr>
    </w:div>
    <w:div w:id="837574697">
      <w:bodyDiv w:val="1"/>
      <w:marLeft w:val="0"/>
      <w:marRight w:val="0"/>
      <w:marTop w:val="0"/>
      <w:marBottom w:val="0"/>
      <w:divBdr>
        <w:top w:val="none" w:sz="0" w:space="0" w:color="auto"/>
        <w:left w:val="none" w:sz="0" w:space="0" w:color="auto"/>
        <w:bottom w:val="none" w:sz="0" w:space="0" w:color="auto"/>
        <w:right w:val="none" w:sz="0" w:space="0" w:color="auto"/>
      </w:divBdr>
    </w:div>
    <w:div w:id="995836840">
      <w:bodyDiv w:val="1"/>
      <w:marLeft w:val="0"/>
      <w:marRight w:val="0"/>
      <w:marTop w:val="0"/>
      <w:marBottom w:val="0"/>
      <w:divBdr>
        <w:top w:val="none" w:sz="0" w:space="0" w:color="auto"/>
        <w:left w:val="none" w:sz="0" w:space="0" w:color="auto"/>
        <w:bottom w:val="none" w:sz="0" w:space="0" w:color="auto"/>
        <w:right w:val="none" w:sz="0" w:space="0" w:color="auto"/>
      </w:divBdr>
    </w:div>
    <w:div w:id="1155953967">
      <w:bodyDiv w:val="1"/>
      <w:marLeft w:val="0"/>
      <w:marRight w:val="0"/>
      <w:marTop w:val="0"/>
      <w:marBottom w:val="0"/>
      <w:divBdr>
        <w:top w:val="none" w:sz="0" w:space="0" w:color="auto"/>
        <w:left w:val="none" w:sz="0" w:space="0" w:color="auto"/>
        <w:bottom w:val="none" w:sz="0" w:space="0" w:color="auto"/>
        <w:right w:val="none" w:sz="0" w:space="0" w:color="auto"/>
      </w:divBdr>
    </w:div>
    <w:div w:id="1224368644">
      <w:bodyDiv w:val="1"/>
      <w:marLeft w:val="0"/>
      <w:marRight w:val="0"/>
      <w:marTop w:val="0"/>
      <w:marBottom w:val="0"/>
      <w:divBdr>
        <w:top w:val="none" w:sz="0" w:space="0" w:color="auto"/>
        <w:left w:val="none" w:sz="0" w:space="0" w:color="auto"/>
        <w:bottom w:val="none" w:sz="0" w:space="0" w:color="auto"/>
        <w:right w:val="none" w:sz="0" w:space="0" w:color="auto"/>
      </w:divBdr>
    </w:div>
    <w:div w:id="1292370086">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28572465">
      <w:bodyDiv w:val="1"/>
      <w:marLeft w:val="0"/>
      <w:marRight w:val="0"/>
      <w:marTop w:val="0"/>
      <w:marBottom w:val="0"/>
      <w:divBdr>
        <w:top w:val="none" w:sz="0" w:space="0" w:color="auto"/>
        <w:left w:val="none" w:sz="0" w:space="0" w:color="auto"/>
        <w:bottom w:val="none" w:sz="0" w:space="0" w:color="auto"/>
        <w:right w:val="none" w:sz="0" w:space="0" w:color="auto"/>
      </w:divBdr>
    </w:div>
    <w:div w:id="1448623340">
      <w:bodyDiv w:val="1"/>
      <w:marLeft w:val="0"/>
      <w:marRight w:val="0"/>
      <w:marTop w:val="0"/>
      <w:marBottom w:val="0"/>
      <w:divBdr>
        <w:top w:val="none" w:sz="0" w:space="0" w:color="auto"/>
        <w:left w:val="none" w:sz="0" w:space="0" w:color="auto"/>
        <w:bottom w:val="none" w:sz="0" w:space="0" w:color="auto"/>
        <w:right w:val="none" w:sz="0" w:space="0" w:color="auto"/>
      </w:divBdr>
    </w:div>
    <w:div w:id="1456631699">
      <w:bodyDiv w:val="1"/>
      <w:marLeft w:val="0"/>
      <w:marRight w:val="0"/>
      <w:marTop w:val="0"/>
      <w:marBottom w:val="0"/>
      <w:divBdr>
        <w:top w:val="none" w:sz="0" w:space="0" w:color="auto"/>
        <w:left w:val="none" w:sz="0" w:space="0" w:color="auto"/>
        <w:bottom w:val="none" w:sz="0" w:space="0" w:color="auto"/>
        <w:right w:val="none" w:sz="0" w:space="0" w:color="auto"/>
      </w:divBdr>
    </w:div>
    <w:div w:id="1462846141">
      <w:bodyDiv w:val="1"/>
      <w:marLeft w:val="0"/>
      <w:marRight w:val="0"/>
      <w:marTop w:val="0"/>
      <w:marBottom w:val="0"/>
      <w:divBdr>
        <w:top w:val="none" w:sz="0" w:space="0" w:color="auto"/>
        <w:left w:val="none" w:sz="0" w:space="0" w:color="auto"/>
        <w:bottom w:val="none" w:sz="0" w:space="0" w:color="auto"/>
        <w:right w:val="none" w:sz="0" w:space="0" w:color="auto"/>
      </w:divBdr>
    </w:div>
    <w:div w:id="1491367987">
      <w:bodyDiv w:val="1"/>
      <w:marLeft w:val="0"/>
      <w:marRight w:val="0"/>
      <w:marTop w:val="0"/>
      <w:marBottom w:val="0"/>
      <w:divBdr>
        <w:top w:val="none" w:sz="0" w:space="0" w:color="auto"/>
        <w:left w:val="none" w:sz="0" w:space="0" w:color="auto"/>
        <w:bottom w:val="none" w:sz="0" w:space="0" w:color="auto"/>
        <w:right w:val="none" w:sz="0" w:space="0" w:color="auto"/>
      </w:divBdr>
    </w:div>
    <w:div w:id="1551649530">
      <w:bodyDiv w:val="1"/>
      <w:marLeft w:val="0"/>
      <w:marRight w:val="0"/>
      <w:marTop w:val="0"/>
      <w:marBottom w:val="0"/>
      <w:divBdr>
        <w:top w:val="none" w:sz="0" w:space="0" w:color="auto"/>
        <w:left w:val="none" w:sz="0" w:space="0" w:color="auto"/>
        <w:bottom w:val="none" w:sz="0" w:space="0" w:color="auto"/>
        <w:right w:val="none" w:sz="0" w:space="0" w:color="auto"/>
      </w:divBdr>
    </w:div>
    <w:div w:id="1591622299">
      <w:bodyDiv w:val="1"/>
      <w:marLeft w:val="0"/>
      <w:marRight w:val="0"/>
      <w:marTop w:val="0"/>
      <w:marBottom w:val="0"/>
      <w:divBdr>
        <w:top w:val="none" w:sz="0" w:space="0" w:color="auto"/>
        <w:left w:val="none" w:sz="0" w:space="0" w:color="auto"/>
        <w:bottom w:val="none" w:sz="0" w:space="0" w:color="auto"/>
        <w:right w:val="none" w:sz="0" w:space="0" w:color="auto"/>
      </w:divBdr>
    </w:div>
    <w:div w:id="1609118636">
      <w:bodyDiv w:val="1"/>
      <w:marLeft w:val="0"/>
      <w:marRight w:val="0"/>
      <w:marTop w:val="0"/>
      <w:marBottom w:val="0"/>
      <w:divBdr>
        <w:top w:val="none" w:sz="0" w:space="0" w:color="auto"/>
        <w:left w:val="none" w:sz="0" w:space="0" w:color="auto"/>
        <w:bottom w:val="none" w:sz="0" w:space="0" w:color="auto"/>
        <w:right w:val="none" w:sz="0" w:space="0" w:color="auto"/>
      </w:divBdr>
    </w:div>
    <w:div w:id="1649238446">
      <w:bodyDiv w:val="1"/>
      <w:marLeft w:val="0"/>
      <w:marRight w:val="0"/>
      <w:marTop w:val="0"/>
      <w:marBottom w:val="0"/>
      <w:divBdr>
        <w:top w:val="none" w:sz="0" w:space="0" w:color="auto"/>
        <w:left w:val="none" w:sz="0" w:space="0" w:color="auto"/>
        <w:bottom w:val="none" w:sz="0" w:space="0" w:color="auto"/>
        <w:right w:val="none" w:sz="0" w:space="0" w:color="auto"/>
      </w:divBdr>
    </w:div>
    <w:div w:id="1730575389">
      <w:bodyDiv w:val="1"/>
      <w:marLeft w:val="0"/>
      <w:marRight w:val="0"/>
      <w:marTop w:val="0"/>
      <w:marBottom w:val="0"/>
      <w:divBdr>
        <w:top w:val="none" w:sz="0" w:space="0" w:color="auto"/>
        <w:left w:val="none" w:sz="0" w:space="0" w:color="auto"/>
        <w:bottom w:val="none" w:sz="0" w:space="0" w:color="auto"/>
        <w:right w:val="none" w:sz="0" w:space="0" w:color="auto"/>
      </w:divBdr>
    </w:div>
    <w:div w:id="1795323283">
      <w:bodyDiv w:val="1"/>
      <w:marLeft w:val="0"/>
      <w:marRight w:val="0"/>
      <w:marTop w:val="0"/>
      <w:marBottom w:val="0"/>
      <w:divBdr>
        <w:top w:val="none" w:sz="0" w:space="0" w:color="auto"/>
        <w:left w:val="none" w:sz="0" w:space="0" w:color="auto"/>
        <w:bottom w:val="none" w:sz="0" w:space="0" w:color="auto"/>
        <w:right w:val="none" w:sz="0" w:space="0" w:color="auto"/>
      </w:divBdr>
    </w:div>
    <w:div w:id="1816334313">
      <w:bodyDiv w:val="1"/>
      <w:marLeft w:val="0"/>
      <w:marRight w:val="0"/>
      <w:marTop w:val="0"/>
      <w:marBottom w:val="0"/>
      <w:divBdr>
        <w:top w:val="none" w:sz="0" w:space="0" w:color="auto"/>
        <w:left w:val="none" w:sz="0" w:space="0" w:color="auto"/>
        <w:bottom w:val="none" w:sz="0" w:space="0" w:color="auto"/>
        <w:right w:val="none" w:sz="0" w:space="0" w:color="auto"/>
      </w:divBdr>
    </w:div>
    <w:div w:id="1834908079">
      <w:bodyDiv w:val="1"/>
      <w:marLeft w:val="0"/>
      <w:marRight w:val="0"/>
      <w:marTop w:val="0"/>
      <w:marBottom w:val="0"/>
      <w:divBdr>
        <w:top w:val="none" w:sz="0" w:space="0" w:color="auto"/>
        <w:left w:val="none" w:sz="0" w:space="0" w:color="auto"/>
        <w:bottom w:val="none" w:sz="0" w:space="0" w:color="auto"/>
        <w:right w:val="none" w:sz="0" w:space="0" w:color="auto"/>
      </w:divBdr>
    </w:div>
    <w:div w:id="1984847970">
      <w:bodyDiv w:val="1"/>
      <w:marLeft w:val="0"/>
      <w:marRight w:val="0"/>
      <w:marTop w:val="0"/>
      <w:marBottom w:val="0"/>
      <w:divBdr>
        <w:top w:val="none" w:sz="0" w:space="0" w:color="auto"/>
        <w:left w:val="none" w:sz="0" w:space="0" w:color="auto"/>
        <w:bottom w:val="none" w:sz="0" w:space="0" w:color="auto"/>
        <w:right w:val="none" w:sz="0" w:space="0" w:color="auto"/>
      </w:divBdr>
    </w:div>
    <w:div w:id="20059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temp\etf.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55872-C232-4D3D-AC99-F3B89C25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etf.dot</Template>
  <TotalTime>340</TotalTime>
  <Pages>13</Pages>
  <Words>1111</Words>
  <Characters>6335</Characters>
  <Application>Microsoft Office Word</Application>
  <DocSecurity>0</DocSecurity>
  <Lines>52</Lines>
  <Paragraphs>14</Paragraphs>
  <ScaleCrop>false</ScaleCrop>
  <Company>TRT. Ltd. Co.</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汤程翔</cp:lastModifiedBy>
  <cp:revision>416</cp:revision>
  <cp:lastPrinted>2007-07-19T00:46:00Z</cp:lastPrinted>
  <dcterms:created xsi:type="dcterms:W3CDTF">2012-11-13T02:08:00Z</dcterms:created>
  <dcterms:modified xsi:type="dcterms:W3CDTF">2019-04-15T07:11:00Z</dcterms:modified>
</cp:coreProperties>
</file>