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60" w:rsidRDefault="001E6160" w:rsidP="00CD0E47">
      <w:pPr>
        <w:jc w:val="center"/>
        <w:rPr>
          <w:rFonts w:ascii="仿宋_GB2312" w:eastAsia="仿宋_GB2312"/>
          <w:b/>
          <w:sz w:val="32"/>
          <w:szCs w:val="28"/>
        </w:rPr>
      </w:pPr>
      <w:bookmarkStart w:id="0" w:name="OLE_LINK3"/>
      <w:bookmarkStart w:id="1" w:name="OLE_LINK4"/>
      <w:bookmarkStart w:id="2" w:name="OLE_LINK5"/>
      <w:bookmarkStart w:id="3" w:name="_Toc472509887"/>
      <w:bookmarkStart w:id="4" w:name="_Toc85535074"/>
      <w:bookmarkStart w:id="5" w:name="_Toc85535247"/>
      <w:bookmarkStart w:id="6" w:name="_GoBack"/>
      <w:bookmarkEnd w:id="6"/>
    </w:p>
    <w:p w:rsidR="008141E3" w:rsidRPr="003D7C42" w:rsidRDefault="00E655E5" w:rsidP="00CD0E47">
      <w:pPr>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交银施罗德安享稳健养老目标一年持有期混合型基金中基金</w:t>
      </w:r>
      <w:r w:rsidR="00E00282" w:rsidRPr="003D7C42">
        <w:rPr>
          <w:rFonts w:asciiTheme="majorEastAsia" w:eastAsiaTheme="majorEastAsia" w:hAnsiTheme="majorEastAsia" w:hint="eastAsia"/>
          <w:b/>
          <w:sz w:val="32"/>
          <w:szCs w:val="28"/>
        </w:rPr>
        <w:t>（FOF）</w:t>
      </w:r>
      <w:r w:rsidR="00864181" w:rsidRPr="003D7C42">
        <w:rPr>
          <w:rFonts w:asciiTheme="majorEastAsia" w:eastAsiaTheme="majorEastAsia" w:hAnsiTheme="majorEastAsia" w:hint="eastAsia"/>
          <w:b/>
          <w:sz w:val="32"/>
          <w:szCs w:val="28"/>
        </w:rPr>
        <w:t>风险揭示</w:t>
      </w:r>
      <w:r w:rsidR="00864181" w:rsidRPr="003D7C42">
        <w:rPr>
          <w:rFonts w:asciiTheme="majorEastAsia" w:eastAsiaTheme="majorEastAsia" w:hAnsiTheme="majorEastAsia"/>
          <w:b/>
          <w:sz w:val="32"/>
          <w:szCs w:val="28"/>
        </w:rPr>
        <w:t>书</w:t>
      </w:r>
    </w:p>
    <w:bookmarkEnd w:id="0"/>
    <w:bookmarkEnd w:id="1"/>
    <w:bookmarkEnd w:id="2"/>
    <w:p w:rsidR="00CD0E47" w:rsidRPr="003D7C42" w:rsidRDefault="00CD0E47" w:rsidP="00CD0E47">
      <w:pPr>
        <w:rPr>
          <w:rFonts w:asciiTheme="minorEastAsia" w:eastAsiaTheme="minorEastAsia" w:hAnsiTheme="minorEastAsia"/>
          <w:sz w:val="28"/>
          <w:szCs w:val="28"/>
        </w:rPr>
      </w:pPr>
    </w:p>
    <w:bookmarkEnd w:id="3"/>
    <w:bookmarkEnd w:id="4"/>
    <w:bookmarkEnd w:id="5"/>
    <w:p w:rsidR="002610E5" w:rsidRPr="00821845" w:rsidRDefault="002610E5" w:rsidP="002610E5">
      <w:pPr>
        <w:adjustRightInd w:val="0"/>
        <w:snapToGrid w:val="0"/>
        <w:spacing w:line="360" w:lineRule="auto"/>
        <w:rPr>
          <w:rFonts w:hAnsi="宋体"/>
          <w:sz w:val="24"/>
        </w:rPr>
      </w:pPr>
      <w:r w:rsidRPr="00821845">
        <w:rPr>
          <w:rFonts w:hAnsi="宋体" w:hint="eastAsia"/>
          <w:sz w:val="24"/>
        </w:rPr>
        <w:t>尊敬的</w:t>
      </w:r>
      <w:r w:rsidRPr="00821845">
        <w:rPr>
          <w:rFonts w:hAnsi="宋体"/>
          <w:sz w:val="24"/>
        </w:rPr>
        <w:t>投资人：</w:t>
      </w:r>
    </w:p>
    <w:p w:rsidR="002610E5" w:rsidRDefault="002610E5" w:rsidP="002610E5">
      <w:pPr>
        <w:adjustRightInd w:val="0"/>
        <w:snapToGrid w:val="0"/>
        <w:spacing w:line="360" w:lineRule="auto"/>
        <w:ind w:firstLineChars="200" w:firstLine="480"/>
        <w:rPr>
          <w:rFonts w:hAnsi="宋体"/>
          <w:sz w:val="24"/>
        </w:rPr>
      </w:pPr>
      <w:r>
        <w:rPr>
          <w:rFonts w:hAnsi="宋体" w:hint="eastAsia"/>
          <w:sz w:val="24"/>
        </w:rPr>
        <w:t>感谢您选择由</w:t>
      </w:r>
      <w:r>
        <w:rPr>
          <w:rFonts w:hAnsi="宋体"/>
          <w:sz w:val="24"/>
        </w:rPr>
        <w:t>交银施罗德基金管理有限公司</w:t>
      </w:r>
      <w:r>
        <w:rPr>
          <w:rFonts w:hAnsi="宋体" w:hint="eastAsia"/>
          <w:sz w:val="24"/>
        </w:rPr>
        <w:t>发起募集</w:t>
      </w:r>
      <w:r>
        <w:rPr>
          <w:rFonts w:hAnsi="宋体"/>
          <w:sz w:val="24"/>
        </w:rPr>
        <w:t>并</w:t>
      </w:r>
      <w:r>
        <w:rPr>
          <w:rFonts w:hAnsi="宋体" w:hint="eastAsia"/>
          <w:sz w:val="24"/>
        </w:rPr>
        <w:t>管理</w:t>
      </w:r>
      <w:r>
        <w:rPr>
          <w:rFonts w:hAnsi="宋体"/>
          <w:sz w:val="24"/>
        </w:rPr>
        <w:t>的“</w:t>
      </w:r>
      <w:r w:rsidRPr="002610E5">
        <w:rPr>
          <w:rFonts w:hAnsi="宋体" w:hint="eastAsia"/>
          <w:sz w:val="24"/>
        </w:rPr>
        <w:t>交银施罗德安享稳健养老目标一年持有期混合型基金中基金（</w:t>
      </w:r>
      <w:r w:rsidRPr="002610E5">
        <w:rPr>
          <w:rFonts w:hAnsi="宋体" w:hint="eastAsia"/>
          <w:sz w:val="24"/>
        </w:rPr>
        <w:t>FOF</w:t>
      </w:r>
      <w:r w:rsidRPr="002610E5">
        <w:rPr>
          <w:rFonts w:hAnsi="宋体" w:hint="eastAsia"/>
          <w:sz w:val="24"/>
        </w:rPr>
        <w:t>）</w:t>
      </w:r>
      <w:r>
        <w:rPr>
          <w:rFonts w:hAnsi="宋体"/>
          <w:sz w:val="24"/>
        </w:rPr>
        <w:t>”</w:t>
      </w:r>
      <w:r>
        <w:rPr>
          <w:rFonts w:hAnsi="宋体" w:hint="eastAsia"/>
          <w:sz w:val="24"/>
        </w:rPr>
        <w:t>，</w:t>
      </w:r>
      <w:r w:rsidRPr="004E4B80">
        <w:rPr>
          <w:rFonts w:hAnsi="宋体" w:hint="eastAsia"/>
          <w:sz w:val="24"/>
        </w:rPr>
        <w:t>在您做出投资决策前，敬请仔细阅读本风险提示</w:t>
      </w:r>
      <w:r>
        <w:rPr>
          <w:rFonts w:hAnsi="宋体" w:hint="eastAsia"/>
          <w:sz w:val="24"/>
        </w:rPr>
        <w:t>书</w:t>
      </w:r>
      <w:r w:rsidRPr="004E4B80">
        <w:rPr>
          <w:rFonts w:hAnsi="宋体" w:hint="eastAsia"/>
          <w:sz w:val="24"/>
        </w:rPr>
        <w:t>和《基金合同》、《招募说明书》等基金法律文件。</w:t>
      </w:r>
    </w:p>
    <w:p w:rsidR="00EE0749" w:rsidRPr="005435A1" w:rsidRDefault="00EE0749" w:rsidP="00EE0749">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 w:name="_Hlt91150550"/>
      <w:bookmarkStart w:id="8" w:name="_Hlt88901012"/>
      <w:bookmarkStart w:id="9" w:name="_Toc109537396"/>
      <w:bookmarkEnd w:id="7"/>
      <w:bookmarkEnd w:id="8"/>
      <w:r w:rsidRPr="005435A1">
        <w:rPr>
          <w:rFonts w:hAnsi="宋体"/>
          <w:sz w:val="24"/>
        </w:rPr>
        <w:t>生的收益，也可能承担</w:t>
      </w:r>
      <w:bookmarkEnd w:id="9"/>
      <w:r w:rsidRPr="005435A1">
        <w:rPr>
          <w:rFonts w:hAnsi="宋体"/>
          <w:sz w:val="24"/>
        </w:rPr>
        <w:t>基金投资所带来的损失。</w:t>
      </w:r>
    </w:p>
    <w:p w:rsidR="00EE0749" w:rsidRDefault="00EE0749" w:rsidP="00EE0749">
      <w:pPr>
        <w:adjustRightInd w:val="0"/>
        <w:snapToGrid w:val="0"/>
        <w:spacing w:line="360" w:lineRule="auto"/>
        <w:ind w:firstLineChars="200" w:firstLine="480"/>
        <w:rPr>
          <w:rFonts w:hAnsi="宋体"/>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前一开放日</w:t>
      </w:r>
      <w:r w:rsidRPr="005435A1">
        <w:rPr>
          <w:rFonts w:hAnsi="宋体"/>
          <w:sz w:val="24"/>
        </w:rPr>
        <w:t>基金总份额的百分之十时，投资人将可能无法及时赎回持有的全部基金份额。</w:t>
      </w:r>
    </w:p>
    <w:p w:rsidR="00EE0749" w:rsidRPr="005435A1" w:rsidRDefault="00EE0749" w:rsidP="00EE0749">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w:t>
      </w:r>
      <w:r w:rsidRPr="00772E92">
        <w:rPr>
          <w:rFonts w:hAnsi="宋体" w:hint="eastAsia"/>
          <w:sz w:val="24"/>
        </w:rPr>
        <w:t>、</w:t>
      </w:r>
      <w:r w:rsidRPr="00772E92">
        <w:rPr>
          <w:rFonts w:hAnsi="宋体"/>
          <w:sz w:val="24"/>
        </w:rPr>
        <w:t>基金中基金</w:t>
      </w:r>
      <w:r w:rsidRPr="005435A1">
        <w:rPr>
          <w:rFonts w:hAnsi="宋体"/>
          <w:sz w:val="24"/>
        </w:rPr>
        <w:t>等不同类型，</w:t>
      </w:r>
      <w:r>
        <w:rPr>
          <w:rFonts w:hAnsi="宋体" w:hint="eastAsia"/>
          <w:sz w:val="24"/>
        </w:rPr>
        <w:t>基金中</w:t>
      </w:r>
      <w:r>
        <w:rPr>
          <w:rFonts w:hAnsi="宋体"/>
          <w:sz w:val="24"/>
        </w:rPr>
        <w:t>基金</w:t>
      </w:r>
      <w:r>
        <w:rPr>
          <w:rFonts w:hAnsi="宋体" w:hint="eastAsia"/>
          <w:sz w:val="24"/>
        </w:rPr>
        <w:t>进一步</w:t>
      </w:r>
      <w:r>
        <w:rPr>
          <w:rFonts w:hAnsi="宋体"/>
          <w:sz w:val="24"/>
        </w:rPr>
        <w:t>分为股票型基金中基金、混合型基金中基金、债券型基金中基金、</w:t>
      </w:r>
      <w:r>
        <w:rPr>
          <w:rFonts w:hAnsi="宋体" w:hint="eastAsia"/>
          <w:sz w:val="24"/>
        </w:rPr>
        <w:t>货币型</w:t>
      </w:r>
      <w:r>
        <w:rPr>
          <w:rFonts w:hAnsi="宋体"/>
          <w:sz w:val="24"/>
        </w:rPr>
        <w:t>基金中基金等不同类型，</w:t>
      </w:r>
      <w:r w:rsidRPr="005435A1">
        <w:rPr>
          <w:rFonts w:hAnsi="宋体"/>
          <w:sz w:val="24"/>
        </w:rPr>
        <w:t>投资人投资不同类型的基金将获得不同的收益预期，也将承担不同程度的风险。一般来说，基金的收益预期越高，投资人承担的风险也越大。</w:t>
      </w:r>
    </w:p>
    <w:p w:rsidR="00EE0749" w:rsidRPr="005435A1" w:rsidRDefault="00EE0749" w:rsidP="00EE0749">
      <w:pPr>
        <w:adjustRightInd w:val="0"/>
        <w:snapToGrid w:val="0"/>
        <w:spacing w:line="360" w:lineRule="auto"/>
        <w:ind w:firstLineChars="200" w:firstLine="480"/>
        <w:rPr>
          <w:sz w:val="24"/>
        </w:rPr>
      </w:pPr>
      <w:r w:rsidRPr="005435A1">
        <w:rPr>
          <w:rFonts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rsidR="00EE0749" w:rsidRPr="005435A1" w:rsidRDefault="00EE0749" w:rsidP="00EE0749">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w:t>
      </w:r>
      <w:r w:rsidRPr="005435A1">
        <w:rPr>
          <w:rFonts w:hAnsi="宋体"/>
          <w:sz w:val="24"/>
        </w:rPr>
        <w:lastRenderedPageBreak/>
        <w:t>定额投资是引导投资人进行长期投资、平均投资成本的一种简单易行的投资方式。但是定期定额投资并不能规避基金投资所固有的风险，不能保证投资人获得收益，也不是替代储蓄的等效理财方式。</w:t>
      </w:r>
    </w:p>
    <w:p w:rsidR="00EE0749" w:rsidRPr="005435A1" w:rsidRDefault="00EE0749" w:rsidP="00EE0749">
      <w:pPr>
        <w:widowControl/>
        <w:adjustRightInd w:val="0"/>
        <w:snapToGrid w:val="0"/>
        <w:spacing w:line="360" w:lineRule="auto"/>
        <w:ind w:firstLineChars="200" w:firstLine="480"/>
        <w:rPr>
          <w:sz w:val="24"/>
        </w:rPr>
      </w:pPr>
      <w:r w:rsidRPr="005435A1">
        <w:rPr>
          <w:rFonts w:hAnsi="宋体"/>
          <w:sz w:val="24"/>
        </w:rPr>
        <w:t>因</w:t>
      </w:r>
      <w:r w:rsidRPr="005435A1">
        <w:rPr>
          <w:rFonts w:hAnsi="宋体" w:hint="eastAsia"/>
          <w:sz w:val="24"/>
        </w:rPr>
        <w:t>拆分</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rsidR="00EE0749" w:rsidRDefault="00EE0749" w:rsidP="00EE0749">
      <w:pPr>
        <w:widowControl/>
        <w:adjustRightInd w:val="0"/>
        <w:snapToGrid w:val="0"/>
        <w:spacing w:line="360" w:lineRule="auto"/>
        <w:ind w:firstLineChars="200" w:firstLine="480"/>
        <w:rPr>
          <w:rFonts w:hAnsi="宋体"/>
          <w:sz w:val="24"/>
        </w:rPr>
      </w:pPr>
      <w:r w:rsidRPr="005435A1">
        <w:rPr>
          <w:rFonts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rsidR="00EE0749" w:rsidRDefault="00EE0749" w:rsidP="00EE0749">
      <w:pPr>
        <w:widowControl/>
        <w:adjustRightInd w:val="0"/>
        <w:snapToGrid w:val="0"/>
        <w:spacing w:line="360" w:lineRule="auto"/>
        <w:ind w:firstLineChars="200" w:firstLine="480"/>
        <w:rPr>
          <w:rFonts w:ascii="宋体" w:hAnsi="宋体"/>
          <w:kern w:val="0"/>
          <w:sz w:val="24"/>
        </w:rPr>
      </w:pPr>
      <w:r w:rsidRPr="00397A82">
        <w:rPr>
          <w:rFonts w:ascii="宋体" w:hAnsi="宋体" w:hint="eastAsia"/>
          <w:kern w:val="0"/>
          <w:sz w:val="24"/>
        </w:rPr>
        <w:t>本基金单一投资者持有基金份额数不得超过基金份额总数的50%，但在基金运作过程中因基金份额赎回等情形导致被动超过前述50%比例的除外。</w:t>
      </w:r>
    </w:p>
    <w:p w:rsidR="00B879D2" w:rsidRPr="00B879D2" w:rsidRDefault="00B879D2" w:rsidP="00B879D2">
      <w:pPr>
        <w:widowControl/>
        <w:adjustRightInd w:val="0"/>
        <w:snapToGrid w:val="0"/>
        <w:spacing w:line="360" w:lineRule="auto"/>
        <w:ind w:firstLineChars="200" w:firstLine="480"/>
        <w:rPr>
          <w:rFonts w:ascii="宋体" w:hAnsi="宋体"/>
          <w:kern w:val="0"/>
          <w:sz w:val="24"/>
        </w:rPr>
      </w:pPr>
      <w:r w:rsidRPr="00B879D2">
        <w:rPr>
          <w:rFonts w:ascii="宋体" w:hAnsi="宋体" w:hint="eastAsia"/>
          <w:kern w:val="0"/>
          <w:sz w:val="24"/>
        </w:rPr>
        <w:t>本基金为养老目标基金，致力于满足投资者的养老资金理财需求，但养老目标基金并不代表收益保障或其他任何形式的收益承诺。本基金非保本产品，存在投资者承担亏损的可能性。</w:t>
      </w:r>
    </w:p>
    <w:p w:rsidR="00B879D2" w:rsidRPr="00B879D2" w:rsidRDefault="00B879D2" w:rsidP="00B879D2">
      <w:pPr>
        <w:widowControl/>
        <w:adjustRightInd w:val="0"/>
        <w:snapToGrid w:val="0"/>
        <w:spacing w:line="360" w:lineRule="auto"/>
        <w:ind w:firstLineChars="200" w:firstLine="480"/>
        <w:rPr>
          <w:rFonts w:ascii="宋体" w:hAnsi="宋体"/>
          <w:kern w:val="0"/>
          <w:sz w:val="24"/>
        </w:rPr>
      </w:pPr>
      <w:r w:rsidRPr="00B879D2">
        <w:rPr>
          <w:rFonts w:ascii="宋体" w:hAnsi="宋体" w:hint="eastAsia"/>
          <w:kern w:val="0"/>
          <w:sz w:val="24"/>
        </w:rPr>
        <w:t>本基金定位为稳健型目标风险策略基金，本基金投资于股票、股票型基金（包括股票指数基金）、混合型基金和商品基金（含商品期货基金和黄金ETF）等品种的比例合计占基金资产的0%-30%。其中投资于权益类资产（包括股票、股票型基金、混合型基金）的战略配置</w:t>
      </w:r>
      <w:r w:rsidR="00604DE6">
        <w:rPr>
          <w:rFonts w:ascii="宋体" w:hAnsi="宋体" w:hint="eastAsia"/>
          <w:kern w:val="0"/>
          <w:sz w:val="24"/>
        </w:rPr>
        <w:t>目标</w:t>
      </w:r>
      <w:r w:rsidRPr="00B879D2">
        <w:rPr>
          <w:rFonts w:ascii="宋体" w:hAnsi="宋体" w:hint="eastAsia"/>
          <w:kern w:val="0"/>
          <w:sz w:val="24"/>
        </w:rPr>
        <w:t>比例为25%，投资比例为基金资产的15%-30%。其中混合型基金需符合下列两个条件之一：1、基金合同中明确约定股票投资占基金资产的比例为50%以上；2、最近4个季度披露的股票投资占基金资产的比例均在50%以上的混合型基金。</w:t>
      </w:r>
    </w:p>
    <w:p w:rsidR="00B879D2" w:rsidRPr="00B879D2" w:rsidRDefault="00B879D2" w:rsidP="00B879D2">
      <w:pPr>
        <w:widowControl/>
        <w:adjustRightInd w:val="0"/>
        <w:snapToGrid w:val="0"/>
        <w:spacing w:line="360" w:lineRule="auto"/>
        <w:ind w:firstLineChars="200" w:firstLine="480"/>
        <w:rPr>
          <w:rFonts w:ascii="宋体" w:hAnsi="宋体"/>
          <w:kern w:val="0"/>
          <w:sz w:val="24"/>
        </w:rPr>
      </w:pPr>
      <w:r w:rsidRPr="00B879D2">
        <w:rPr>
          <w:rFonts w:ascii="宋体" w:hAnsi="宋体" w:hint="eastAsia"/>
          <w:kern w:val="0"/>
          <w:sz w:val="24"/>
        </w:rPr>
        <w:t>本基金属于混合型基金中基金，基金管理人初始给予本基金的风险等级为R3，因此主要适合风险等级为C3型、C4型及C5型投资者购买。</w:t>
      </w:r>
    </w:p>
    <w:p w:rsidR="00B879D2" w:rsidRPr="00B879D2" w:rsidRDefault="00B879D2" w:rsidP="00B879D2">
      <w:pPr>
        <w:widowControl/>
        <w:adjustRightInd w:val="0"/>
        <w:snapToGrid w:val="0"/>
        <w:spacing w:line="360" w:lineRule="auto"/>
        <w:ind w:firstLineChars="200" w:firstLine="480"/>
        <w:rPr>
          <w:rFonts w:ascii="宋体" w:hAnsi="宋体"/>
          <w:kern w:val="0"/>
          <w:sz w:val="24"/>
        </w:rPr>
      </w:pPr>
      <w:r w:rsidRPr="00B879D2">
        <w:rPr>
          <w:rFonts w:ascii="宋体" w:hAnsi="宋体" w:hint="eastAsia"/>
          <w:kern w:val="0"/>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w:t>
      </w:r>
      <w:r w:rsidRPr="00B879D2">
        <w:rPr>
          <w:rFonts w:ascii="宋体" w:hAnsi="宋体" w:hint="eastAsia"/>
          <w:kern w:val="0"/>
          <w:sz w:val="24"/>
        </w:rPr>
        <w:lastRenderedPageBreak/>
        <w:t>至一年后的年度对日的前一日；对于每笔申购的基金份额而言，最短持有期限自该笔申购份额确认日（含该日，通常T日提交的有效申购申请于T+3日确认）至一年后的年度对日的前一日。</w:t>
      </w:r>
    </w:p>
    <w:p w:rsidR="00B879D2" w:rsidRPr="00B879D2" w:rsidRDefault="00B879D2" w:rsidP="00B879D2">
      <w:pPr>
        <w:widowControl/>
        <w:adjustRightInd w:val="0"/>
        <w:snapToGrid w:val="0"/>
        <w:spacing w:line="360" w:lineRule="auto"/>
        <w:ind w:firstLineChars="200" w:firstLine="480"/>
        <w:rPr>
          <w:rFonts w:ascii="宋体" w:hAnsi="宋体"/>
          <w:kern w:val="0"/>
          <w:sz w:val="24"/>
        </w:rPr>
      </w:pPr>
      <w:r w:rsidRPr="00B879D2">
        <w:rPr>
          <w:rFonts w:ascii="宋体" w:hAnsi="宋体" w:hint="eastAsia"/>
          <w:kern w:val="0"/>
          <w:sz w:val="24"/>
        </w:rPr>
        <w:t>因此，对于基金份额持有人而言，存在投资本基金后一年内无法赎回的风险。</w:t>
      </w:r>
    </w:p>
    <w:p w:rsidR="00B879D2" w:rsidRPr="00B879D2" w:rsidRDefault="00B879D2" w:rsidP="00B879D2">
      <w:pPr>
        <w:widowControl/>
        <w:adjustRightInd w:val="0"/>
        <w:snapToGrid w:val="0"/>
        <w:spacing w:line="360" w:lineRule="auto"/>
        <w:ind w:firstLineChars="200" w:firstLine="480"/>
        <w:rPr>
          <w:rFonts w:ascii="宋体" w:hAnsi="宋体"/>
          <w:kern w:val="0"/>
          <w:sz w:val="24"/>
        </w:rPr>
      </w:pPr>
      <w:r w:rsidRPr="00B879D2">
        <w:rPr>
          <w:rFonts w:ascii="宋体" w:hAnsi="宋体" w:hint="eastAsia"/>
          <w:kern w:val="0"/>
          <w:sz w:val="24"/>
        </w:rPr>
        <w:t>特别提示：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被予以拒绝。基金份额持有人需承担赎回申请失败的风险。</w:t>
      </w:r>
    </w:p>
    <w:p w:rsidR="00EE0749" w:rsidRPr="00EE0749" w:rsidRDefault="00EE0749" w:rsidP="00EE0749">
      <w:pPr>
        <w:widowControl/>
        <w:adjustRightInd w:val="0"/>
        <w:snapToGrid w:val="0"/>
        <w:spacing w:line="360" w:lineRule="auto"/>
        <w:ind w:firstLineChars="200" w:firstLine="480"/>
        <w:rPr>
          <w:sz w:val="24"/>
        </w:rPr>
      </w:pPr>
    </w:p>
    <w:p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一</w:t>
      </w:r>
      <w:r>
        <w:rPr>
          <w:rFonts w:hAnsi="宋体"/>
          <w:b/>
          <w:kern w:val="0"/>
          <w:sz w:val="24"/>
        </w:rPr>
        <w:t>、</w:t>
      </w:r>
      <w:r w:rsidRPr="00EE0749">
        <w:rPr>
          <w:rFonts w:hAnsi="宋体"/>
          <w:b/>
          <w:kern w:val="0"/>
          <w:sz w:val="24"/>
        </w:rPr>
        <w:t>基金份额持有人须了解</w:t>
      </w:r>
      <w:r>
        <w:rPr>
          <w:rFonts w:hAnsi="宋体" w:hint="eastAsia"/>
          <w:b/>
          <w:kern w:val="0"/>
          <w:sz w:val="24"/>
        </w:rPr>
        <w:t>本基金以下</w:t>
      </w:r>
      <w:r>
        <w:rPr>
          <w:rFonts w:hAnsi="宋体"/>
          <w:b/>
          <w:kern w:val="0"/>
          <w:sz w:val="24"/>
        </w:rPr>
        <w:t>投资</w:t>
      </w:r>
      <w:r>
        <w:rPr>
          <w:rFonts w:hAnsi="宋体" w:hint="eastAsia"/>
          <w:b/>
          <w:kern w:val="0"/>
          <w:sz w:val="24"/>
        </w:rPr>
        <w:t>内容</w:t>
      </w:r>
      <w:r w:rsidRPr="00EE0749">
        <w:rPr>
          <w:rFonts w:hAnsi="宋体"/>
          <w:b/>
          <w:kern w:val="0"/>
          <w:sz w:val="24"/>
        </w:rPr>
        <w:t>：</w:t>
      </w:r>
    </w:p>
    <w:p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w:t>
      </w:r>
      <w:r w:rsidRPr="00EE0749">
        <w:rPr>
          <w:rFonts w:hAnsi="宋体"/>
          <w:b/>
          <w:kern w:val="0"/>
          <w:sz w:val="24"/>
        </w:rPr>
        <w:t>一</w:t>
      </w:r>
      <w:r w:rsidRPr="00EE0749">
        <w:rPr>
          <w:rFonts w:hAnsi="宋体" w:hint="eastAsia"/>
          <w:b/>
          <w:kern w:val="0"/>
          <w:sz w:val="24"/>
        </w:rPr>
        <w:t>）本基金</w:t>
      </w:r>
      <w:r w:rsidRPr="00EE0749">
        <w:rPr>
          <w:rFonts w:hAnsi="宋体"/>
          <w:b/>
          <w:kern w:val="0"/>
          <w:sz w:val="24"/>
        </w:rPr>
        <w:t>的</w:t>
      </w:r>
      <w:r w:rsidRPr="00EE0749">
        <w:rPr>
          <w:rFonts w:hAnsi="宋体" w:hint="eastAsia"/>
          <w:b/>
          <w:kern w:val="0"/>
          <w:sz w:val="24"/>
        </w:rPr>
        <w:t>投资目标</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（二）本基金</w:t>
      </w:r>
      <w:r w:rsidRPr="00EE0749">
        <w:rPr>
          <w:rFonts w:hAnsi="宋体"/>
          <w:b/>
          <w:kern w:val="0"/>
          <w:sz w:val="24"/>
        </w:rPr>
        <w:t>的</w:t>
      </w:r>
      <w:r w:rsidRPr="00EE0749">
        <w:rPr>
          <w:rFonts w:hAnsi="宋体" w:hint="eastAsia"/>
          <w:b/>
          <w:kern w:val="0"/>
          <w:sz w:val="24"/>
        </w:rPr>
        <w:t>投资范围</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本基金的投资范围为具有良好流动性的金融工具，包括经中国证监会依法核准或注册的公开募集证券投资基金（含</w:t>
      </w:r>
      <w:r w:rsidRPr="00EE0749">
        <w:rPr>
          <w:rFonts w:hAnsi="宋体" w:hint="eastAsia"/>
          <w:kern w:val="0"/>
          <w:sz w:val="24"/>
        </w:rPr>
        <w:t>ETF</w:t>
      </w:r>
      <w:r w:rsidRPr="00EE0749">
        <w:rPr>
          <w:rFonts w:hAnsi="宋体" w:hint="eastAsia"/>
          <w:kern w:val="0"/>
          <w:sz w:val="24"/>
        </w:rPr>
        <w:t>和</w:t>
      </w:r>
      <w:r w:rsidRPr="00EE0749">
        <w:rPr>
          <w:rFonts w:hAnsi="宋体" w:hint="eastAsia"/>
          <w:kern w:val="0"/>
          <w:sz w:val="24"/>
        </w:rPr>
        <w:t>LOF</w:t>
      </w:r>
      <w:r w:rsidRPr="00EE0749">
        <w:rPr>
          <w:rFonts w:hAnsi="宋体" w:hint="eastAsia"/>
          <w:kern w:val="0"/>
          <w:sz w:val="24"/>
        </w:rPr>
        <w:t>、香港互认基金、不含</w:t>
      </w:r>
      <w:r w:rsidRPr="00EE0749">
        <w:rPr>
          <w:rFonts w:hAnsi="宋体" w:hint="eastAsia"/>
          <w:kern w:val="0"/>
          <w:sz w:val="24"/>
        </w:rPr>
        <w:t>QDII</w:t>
      </w:r>
      <w:r w:rsidRPr="00EE0749">
        <w:rPr>
          <w:rFonts w:hAnsi="宋体" w:hint="eastAsia"/>
          <w:kern w:val="0"/>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如法律法规或监管机构以后允许基金投资其他品种，基金管理人在履行适当程序后，可以将其纳入投资范围。</w:t>
      </w:r>
    </w:p>
    <w:p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（三）本基金</w:t>
      </w:r>
      <w:r w:rsidRPr="00EE0749">
        <w:rPr>
          <w:rFonts w:hAnsi="宋体"/>
          <w:b/>
          <w:kern w:val="0"/>
          <w:sz w:val="24"/>
        </w:rPr>
        <w:t>的</w:t>
      </w:r>
      <w:r w:rsidRPr="00EE0749">
        <w:rPr>
          <w:rFonts w:hAnsi="宋体" w:hint="eastAsia"/>
          <w:b/>
          <w:kern w:val="0"/>
          <w:sz w:val="24"/>
        </w:rPr>
        <w:t>投资组合比例</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基金的投资组合比例为：本基金投资于公开募集证券投资基金的基金份额的资产不低于本基金资产的</w:t>
      </w:r>
      <w:r w:rsidRPr="00EE0749">
        <w:rPr>
          <w:rFonts w:hAnsi="宋体" w:hint="eastAsia"/>
          <w:kern w:val="0"/>
          <w:sz w:val="24"/>
        </w:rPr>
        <w:t>80%</w:t>
      </w:r>
      <w:r w:rsidRPr="00EE0749">
        <w:rPr>
          <w:rFonts w:hAnsi="宋体" w:hint="eastAsia"/>
          <w:kern w:val="0"/>
          <w:sz w:val="24"/>
        </w:rPr>
        <w:t>，其中投资于股票、股票型基金（包括股票指数基</w:t>
      </w:r>
      <w:r w:rsidRPr="00EE0749">
        <w:rPr>
          <w:rFonts w:hAnsi="宋体" w:hint="eastAsia"/>
          <w:kern w:val="0"/>
          <w:sz w:val="24"/>
        </w:rPr>
        <w:lastRenderedPageBreak/>
        <w:t>金）、混合型基金和商品基金（含商品期货基金和黄金</w:t>
      </w:r>
      <w:r w:rsidRPr="00EE0749">
        <w:rPr>
          <w:rFonts w:hAnsi="宋体" w:hint="eastAsia"/>
          <w:kern w:val="0"/>
          <w:sz w:val="24"/>
        </w:rPr>
        <w:t>ETF</w:t>
      </w:r>
      <w:r w:rsidRPr="00EE0749">
        <w:rPr>
          <w:rFonts w:hAnsi="宋体" w:hint="eastAsia"/>
          <w:kern w:val="0"/>
          <w:sz w:val="24"/>
        </w:rPr>
        <w:t>）等品种的比例合计占基金资产的</w:t>
      </w:r>
      <w:r w:rsidRPr="00EE0749">
        <w:rPr>
          <w:rFonts w:hAnsi="宋体" w:hint="eastAsia"/>
          <w:kern w:val="0"/>
          <w:sz w:val="24"/>
        </w:rPr>
        <w:t>0%-30%</w:t>
      </w:r>
      <w:r w:rsidRPr="00EE0749">
        <w:rPr>
          <w:rFonts w:hAnsi="宋体" w:hint="eastAsia"/>
          <w:kern w:val="0"/>
          <w:sz w:val="24"/>
        </w:rPr>
        <w:t>。本基金持有的现金或者到期日在一年以内的政府债券的比例合计不低于基金资产净值的</w:t>
      </w:r>
      <w:r w:rsidRPr="00EE0749">
        <w:rPr>
          <w:rFonts w:hAnsi="宋体" w:hint="eastAsia"/>
          <w:kern w:val="0"/>
          <w:sz w:val="24"/>
        </w:rPr>
        <w:t>5%</w:t>
      </w:r>
      <w:r w:rsidRPr="00EE0749">
        <w:rPr>
          <w:rFonts w:hAnsi="宋体" w:hint="eastAsia"/>
          <w:kern w:val="0"/>
          <w:sz w:val="24"/>
        </w:rPr>
        <w:t>，其中现金不包括结算备付金、存出保证金、应收申购款等。</w:t>
      </w:r>
    </w:p>
    <w:p w:rsidR="00B879D2" w:rsidRPr="00B879D2" w:rsidRDefault="00B879D2" w:rsidP="00B879D2">
      <w:pPr>
        <w:widowControl/>
        <w:adjustRightInd w:val="0"/>
        <w:snapToGrid w:val="0"/>
        <w:spacing w:line="360" w:lineRule="auto"/>
        <w:ind w:firstLineChars="200" w:firstLine="480"/>
        <w:rPr>
          <w:rFonts w:hAnsi="宋体"/>
          <w:kern w:val="0"/>
          <w:sz w:val="24"/>
        </w:rPr>
      </w:pPr>
      <w:r w:rsidRPr="00B879D2">
        <w:rPr>
          <w:rFonts w:hAnsi="宋体" w:hint="eastAsia"/>
          <w:kern w:val="0"/>
          <w:sz w:val="24"/>
        </w:rPr>
        <w:t>本基金投资于权益类资产（包括股票、股票型基金、混合型基金）的战略配置</w:t>
      </w:r>
      <w:r w:rsidR="00604DE6">
        <w:rPr>
          <w:rFonts w:hAnsi="宋体" w:hint="eastAsia"/>
          <w:kern w:val="0"/>
          <w:sz w:val="24"/>
        </w:rPr>
        <w:t>目标</w:t>
      </w:r>
      <w:r w:rsidRPr="00B879D2">
        <w:rPr>
          <w:rFonts w:hAnsi="宋体" w:hint="eastAsia"/>
          <w:kern w:val="0"/>
          <w:sz w:val="24"/>
        </w:rPr>
        <w:t>比例为</w:t>
      </w:r>
      <w:r w:rsidRPr="00B879D2">
        <w:rPr>
          <w:rFonts w:hAnsi="宋体" w:hint="eastAsia"/>
          <w:kern w:val="0"/>
          <w:sz w:val="24"/>
        </w:rPr>
        <w:t>25%</w:t>
      </w:r>
      <w:r w:rsidRPr="00B879D2">
        <w:rPr>
          <w:rFonts w:hAnsi="宋体" w:hint="eastAsia"/>
          <w:kern w:val="0"/>
          <w:sz w:val="24"/>
        </w:rPr>
        <w:t>，投资比例为基金资产的</w:t>
      </w:r>
      <w:r w:rsidRPr="00B879D2">
        <w:rPr>
          <w:rFonts w:hAnsi="宋体" w:hint="eastAsia"/>
          <w:kern w:val="0"/>
          <w:sz w:val="24"/>
        </w:rPr>
        <w:t>15%-30%</w:t>
      </w:r>
      <w:r w:rsidRPr="00B879D2">
        <w:rPr>
          <w:rFonts w:hAnsi="宋体" w:hint="eastAsia"/>
          <w:kern w:val="0"/>
          <w:sz w:val="24"/>
        </w:rPr>
        <w:t>。其中混合型基金需符合下列两个条件之一：</w:t>
      </w:r>
    </w:p>
    <w:p w:rsidR="00B879D2" w:rsidRPr="00B879D2" w:rsidRDefault="00B879D2" w:rsidP="00B879D2">
      <w:pPr>
        <w:widowControl/>
        <w:adjustRightInd w:val="0"/>
        <w:snapToGrid w:val="0"/>
        <w:spacing w:line="360" w:lineRule="auto"/>
        <w:ind w:firstLineChars="200" w:firstLine="480"/>
        <w:rPr>
          <w:rFonts w:hAnsi="宋体"/>
          <w:kern w:val="0"/>
          <w:sz w:val="24"/>
        </w:rPr>
      </w:pPr>
      <w:r w:rsidRPr="00B879D2">
        <w:rPr>
          <w:rFonts w:hAnsi="宋体" w:hint="eastAsia"/>
          <w:kern w:val="0"/>
          <w:sz w:val="24"/>
        </w:rPr>
        <w:t>1</w:t>
      </w:r>
      <w:r w:rsidRPr="00B879D2">
        <w:rPr>
          <w:rFonts w:hAnsi="宋体" w:hint="eastAsia"/>
          <w:kern w:val="0"/>
          <w:sz w:val="24"/>
        </w:rPr>
        <w:t>、基金合同中明确约定股票投资占基金资产的比例为</w:t>
      </w:r>
      <w:r w:rsidRPr="00B879D2">
        <w:rPr>
          <w:rFonts w:hAnsi="宋体" w:hint="eastAsia"/>
          <w:kern w:val="0"/>
          <w:sz w:val="24"/>
        </w:rPr>
        <w:t>50%</w:t>
      </w:r>
      <w:r w:rsidRPr="00B879D2">
        <w:rPr>
          <w:rFonts w:hAnsi="宋体" w:hint="eastAsia"/>
          <w:kern w:val="0"/>
          <w:sz w:val="24"/>
        </w:rPr>
        <w:t>以上</w:t>
      </w:r>
    </w:p>
    <w:p w:rsidR="00B879D2" w:rsidRDefault="00B879D2" w:rsidP="00B879D2">
      <w:pPr>
        <w:widowControl/>
        <w:adjustRightInd w:val="0"/>
        <w:snapToGrid w:val="0"/>
        <w:spacing w:line="360" w:lineRule="auto"/>
        <w:ind w:firstLineChars="200" w:firstLine="480"/>
        <w:rPr>
          <w:rFonts w:hAnsi="宋体"/>
          <w:kern w:val="0"/>
          <w:sz w:val="24"/>
        </w:rPr>
      </w:pPr>
      <w:r w:rsidRPr="00B879D2">
        <w:rPr>
          <w:rFonts w:hAnsi="宋体" w:hint="eastAsia"/>
          <w:kern w:val="0"/>
          <w:sz w:val="24"/>
        </w:rPr>
        <w:t>2</w:t>
      </w:r>
      <w:r w:rsidRPr="00B879D2">
        <w:rPr>
          <w:rFonts w:hAnsi="宋体" w:hint="eastAsia"/>
          <w:kern w:val="0"/>
          <w:sz w:val="24"/>
        </w:rPr>
        <w:t>、最近</w:t>
      </w:r>
      <w:r w:rsidRPr="00B879D2">
        <w:rPr>
          <w:rFonts w:hAnsi="宋体" w:hint="eastAsia"/>
          <w:kern w:val="0"/>
          <w:sz w:val="24"/>
        </w:rPr>
        <w:t>4</w:t>
      </w:r>
      <w:r w:rsidRPr="00B879D2">
        <w:rPr>
          <w:rFonts w:hAnsi="宋体" w:hint="eastAsia"/>
          <w:kern w:val="0"/>
          <w:sz w:val="24"/>
        </w:rPr>
        <w:t>个季度披露的股票投资占基金资产的比例均在</w:t>
      </w:r>
      <w:r w:rsidRPr="00B879D2">
        <w:rPr>
          <w:rFonts w:hAnsi="宋体" w:hint="eastAsia"/>
          <w:kern w:val="0"/>
          <w:sz w:val="24"/>
        </w:rPr>
        <w:t>50%</w:t>
      </w:r>
      <w:r w:rsidRPr="00B879D2">
        <w:rPr>
          <w:rFonts w:hAnsi="宋体" w:hint="eastAsia"/>
          <w:kern w:val="0"/>
          <w:sz w:val="24"/>
        </w:rPr>
        <w:t>以上的混合型基金。</w:t>
      </w:r>
    </w:p>
    <w:p w:rsidR="00EE0749" w:rsidRPr="00EE0749" w:rsidRDefault="00EE0749" w:rsidP="00B879D2">
      <w:pPr>
        <w:widowControl/>
        <w:adjustRightInd w:val="0"/>
        <w:snapToGrid w:val="0"/>
        <w:spacing w:line="360" w:lineRule="auto"/>
        <w:ind w:firstLineChars="200" w:firstLine="480"/>
        <w:rPr>
          <w:rFonts w:hAnsi="宋体"/>
          <w:kern w:val="0"/>
          <w:sz w:val="24"/>
        </w:rPr>
      </w:pPr>
      <w:r w:rsidRPr="00EE0749">
        <w:rPr>
          <w:rFonts w:hAnsi="宋体" w:hint="eastAsia"/>
          <w:kern w:val="0"/>
          <w:sz w:val="24"/>
        </w:rPr>
        <w:t>如果法律法规或中国证监会变更投资品种的投资比例限制，基金管理人在履行适当程序后，可以调整上述投资品种的投资比例。</w:t>
      </w:r>
    </w:p>
    <w:p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（四）</w:t>
      </w:r>
      <w:r>
        <w:rPr>
          <w:rFonts w:hAnsi="宋体" w:hint="eastAsia"/>
          <w:b/>
          <w:kern w:val="0"/>
          <w:sz w:val="24"/>
        </w:rPr>
        <w:t>本</w:t>
      </w:r>
      <w:r w:rsidRPr="00EE0749">
        <w:rPr>
          <w:rFonts w:hAnsi="宋体" w:hint="eastAsia"/>
          <w:b/>
          <w:kern w:val="0"/>
          <w:sz w:val="24"/>
        </w:rPr>
        <w:t>基金</w:t>
      </w:r>
      <w:r w:rsidR="003D7C42">
        <w:rPr>
          <w:rFonts w:hAnsi="宋体" w:hint="eastAsia"/>
          <w:b/>
          <w:kern w:val="0"/>
          <w:sz w:val="24"/>
        </w:rPr>
        <w:t>的</w:t>
      </w:r>
      <w:r w:rsidRPr="00EE0749">
        <w:rPr>
          <w:rFonts w:hAnsi="宋体" w:hint="eastAsia"/>
          <w:b/>
          <w:kern w:val="0"/>
          <w:sz w:val="24"/>
        </w:rPr>
        <w:t>投资策略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投资策略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本基金投资策略主要分为以下七个部分：</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1</w:t>
      </w:r>
      <w:r w:rsidRPr="009735B8">
        <w:rPr>
          <w:rFonts w:hAnsi="宋体" w:hint="eastAsia"/>
          <w:kern w:val="0"/>
          <w:sz w:val="24"/>
        </w:rPr>
        <w:t>、大类资产配置</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2</w:t>
      </w:r>
      <w:r w:rsidRPr="009735B8">
        <w:rPr>
          <w:rFonts w:hAnsi="宋体" w:hint="eastAsia"/>
          <w:kern w:val="0"/>
          <w:sz w:val="24"/>
        </w:rPr>
        <w:t>、基金投资策略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w:t>
      </w:r>
      <w:r w:rsidRPr="009735B8">
        <w:rPr>
          <w:rFonts w:hAnsi="宋体" w:hint="eastAsia"/>
          <w:kern w:val="0"/>
          <w:sz w:val="24"/>
        </w:rPr>
        <w:t>1</w:t>
      </w:r>
      <w:r w:rsidRPr="009735B8">
        <w:rPr>
          <w:rFonts w:hAnsi="宋体" w:hint="eastAsia"/>
          <w:kern w:val="0"/>
          <w:sz w:val="24"/>
        </w:rPr>
        <w:t>）运用量化方法分析所有适选基金在不同市场下的历史业绩表现，包括收益指标、风险指标和风险调整后收益指标等，具体如下：</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kern w:val="0"/>
          <w:sz w:val="24"/>
        </w:rPr>
        <w:t></w:t>
      </w:r>
      <w:r w:rsidRPr="009735B8">
        <w:rPr>
          <w:rFonts w:hAnsi="宋体"/>
          <w:kern w:val="0"/>
          <w:sz w:val="24"/>
        </w:rPr>
        <w:tab/>
      </w:r>
      <w:r w:rsidRPr="009735B8">
        <w:rPr>
          <w:rFonts w:hAnsi="宋体" w:hint="eastAsia"/>
          <w:kern w:val="0"/>
          <w:sz w:val="24"/>
        </w:rPr>
        <w:t>收益指标：包括绝对收益、相对收益等指标；</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kern w:val="0"/>
          <w:sz w:val="24"/>
        </w:rPr>
        <w:t></w:t>
      </w:r>
      <w:r w:rsidRPr="009735B8">
        <w:rPr>
          <w:rFonts w:hAnsi="宋体"/>
          <w:kern w:val="0"/>
          <w:sz w:val="24"/>
        </w:rPr>
        <w:tab/>
      </w:r>
      <w:r w:rsidRPr="009735B8">
        <w:rPr>
          <w:rFonts w:hAnsi="宋体" w:hint="eastAsia"/>
          <w:kern w:val="0"/>
          <w:sz w:val="24"/>
        </w:rPr>
        <w:t>风险指标：包括波动率、最大回撤等指标；</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kern w:val="0"/>
          <w:sz w:val="24"/>
        </w:rPr>
        <w:lastRenderedPageBreak/>
        <w:t></w:t>
      </w:r>
      <w:r w:rsidRPr="009735B8">
        <w:rPr>
          <w:rFonts w:hAnsi="宋体"/>
          <w:kern w:val="0"/>
          <w:sz w:val="24"/>
        </w:rPr>
        <w:tab/>
      </w:r>
      <w:r w:rsidRPr="009735B8">
        <w:rPr>
          <w:rFonts w:hAnsi="宋体" w:hint="eastAsia"/>
          <w:kern w:val="0"/>
          <w:sz w:val="24"/>
        </w:rPr>
        <w:t>风险调整后收益指标：包括夏普比率、信息比率等指标。</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w:t>
      </w:r>
      <w:r w:rsidRPr="009735B8">
        <w:rPr>
          <w:rFonts w:hAnsi="宋体" w:hint="eastAsia"/>
          <w:kern w:val="0"/>
          <w:sz w:val="24"/>
        </w:rPr>
        <w:t>2</w:t>
      </w:r>
      <w:r w:rsidRPr="009735B8">
        <w:rPr>
          <w:rFonts w:hAnsi="宋体" w:hint="eastAsia"/>
          <w:kern w:val="0"/>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w:t>
      </w:r>
      <w:r w:rsidRPr="009735B8">
        <w:rPr>
          <w:rFonts w:hAnsi="宋体" w:hint="eastAsia"/>
          <w:kern w:val="0"/>
          <w:sz w:val="24"/>
        </w:rPr>
        <w:t>3</w:t>
      </w:r>
      <w:r w:rsidRPr="009735B8">
        <w:rPr>
          <w:rFonts w:hAnsi="宋体" w:hint="eastAsia"/>
          <w:kern w:val="0"/>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综上，本基金通过定量和定性相结合的方法，长期持续跟踪本基金的组合业绩，并定期对基金组合进行维护，力争实现基金资产的长期稳健增值。</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3</w:t>
      </w:r>
      <w:r w:rsidRPr="009735B8">
        <w:rPr>
          <w:rFonts w:hAnsi="宋体" w:hint="eastAsia"/>
          <w:kern w:val="0"/>
          <w:sz w:val="24"/>
        </w:rPr>
        <w:t>、股票投资策略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4</w:t>
      </w:r>
      <w:r w:rsidRPr="009735B8">
        <w:rPr>
          <w:rFonts w:hAnsi="宋体" w:hint="eastAsia"/>
          <w:kern w:val="0"/>
          <w:sz w:val="24"/>
        </w:rPr>
        <w:t>、债券投资策略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本基金的债券投资采取主动的投资管理方式，获得与风险相匹配的投资收益，以实现在一定程度上规避股票市场的系统性风险和保证基金资产的流动性。</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5</w:t>
      </w:r>
      <w:r w:rsidRPr="009735B8">
        <w:rPr>
          <w:rFonts w:hAnsi="宋体" w:hint="eastAsia"/>
          <w:kern w:val="0"/>
          <w:sz w:val="24"/>
        </w:rPr>
        <w:t>、权证投资策略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6</w:t>
      </w:r>
      <w:r w:rsidRPr="009735B8">
        <w:rPr>
          <w:rFonts w:hAnsi="宋体" w:hint="eastAsia"/>
          <w:kern w:val="0"/>
          <w:sz w:val="24"/>
        </w:rPr>
        <w:t>、资产支持证券投资策略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7</w:t>
      </w:r>
      <w:r w:rsidRPr="009735B8">
        <w:rPr>
          <w:rFonts w:hAnsi="宋体" w:hint="eastAsia"/>
          <w:kern w:val="0"/>
          <w:sz w:val="24"/>
        </w:rPr>
        <w:t>、风险控制策略</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本基金定位为稳健型目标风险策略基金，在风险控制策略上，将从大类资产配置、子基金选择、整体流动性风险等方面来控制风险。</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rsidR="00EE0749" w:rsidRPr="00EE0749"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整体流动性风险方面，本基金将通过严格控制封闭运作的基金、定期开放基金等流动受限基金的投资比例，有效控制流动性风险。</w:t>
      </w:r>
    </w:p>
    <w:p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（五）</w:t>
      </w:r>
      <w:r>
        <w:rPr>
          <w:rFonts w:hAnsi="宋体" w:hint="eastAsia"/>
          <w:b/>
          <w:kern w:val="0"/>
          <w:sz w:val="24"/>
        </w:rPr>
        <w:t>本基金</w:t>
      </w:r>
      <w:r w:rsidRPr="00EE0749">
        <w:rPr>
          <w:rFonts w:hAnsi="宋体" w:hint="eastAsia"/>
          <w:b/>
          <w:kern w:val="0"/>
          <w:sz w:val="24"/>
        </w:rPr>
        <w:t>业绩比较基准</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80%</w:t>
      </w:r>
      <w:r w:rsidRPr="00EE0749">
        <w:rPr>
          <w:rFonts w:hAnsi="宋体" w:hint="eastAsia"/>
          <w:kern w:val="0"/>
          <w:sz w:val="24"/>
        </w:rPr>
        <w:t>×中债综合全价指数收益率</w:t>
      </w:r>
      <w:r w:rsidRPr="00EE0749">
        <w:rPr>
          <w:rFonts w:hAnsi="宋体" w:hint="eastAsia"/>
          <w:kern w:val="0"/>
          <w:sz w:val="24"/>
        </w:rPr>
        <w:t>+20%</w:t>
      </w:r>
      <w:r w:rsidRPr="00EE0749">
        <w:rPr>
          <w:rFonts w:hAnsi="宋体" w:hint="eastAsia"/>
          <w:kern w:val="0"/>
          <w:sz w:val="24"/>
        </w:rPr>
        <w:t>×沪深</w:t>
      </w:r>
      <w:r w:rsidRPr="00EE0749">
        <w:rPr>
          <w:rFonts w:hAnsi="宋体" w:hint="eastAsia"/>
          <w:kern w:val="0"/>
          <w:sz w:val="24"/>
        </w:rPr>
        <w:t>300</w:t>
      </w:r>
      <w:r w:rsidRPr="00EE0749">
        <w:rPr>
          <w:rFonts w:hAnsi="宋体" w:hint="eastAsia"/>
          <w:kern w:val="0"/>
          <w:sz w:val="24"/>
        </w:rPr>
        <w:t>指数收益率</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1</w:t>
      </w:r>
      <w:r w:rsidRPr="00EE0749">
        <w:rPr>
          <w:rFonts w:hAnsi="宋体" w:hint="eastAsia"/>
          <w:kern w:val="0"/>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lastRenderedPageBreak/>
        <w:t>2</w:t>
      </w:r>
      <w:r w:rsidRPr="00EE0749">
        <w:rPr>
          <w:rFonts w:hAnsi="宋体" w:hint="eastAsia"/>
          <w:kern w:val="0"/>
          <w:sz w:val="24"/>
        </w:rPr>
        <w:t>、沪深</w:t>
      </w:r>
      <w:r w:rsidRPr="00EE0749">
        <w:rPr>
          <w:rFonts w:hAnsi="宋体" w:hint="eastAsia"/>
          <w:kern w:val="0"/>
          <w:sz w:val="24"/>
        </w:rPr>
        <w:t>300</w:t>
      </w:r>
      <w:r w:rsidRPr="00EE0749">
        <w:rPr>
          <w:rFonts w:hAnsi="宋体" w:hint="eastAsia"/>
          <w:kern w:val="0"/>
          <w:sz w:val="24"/>
        </w:rPr>
        <w:t>指数是沪深证券交易所第一次联合发布的反映</w:t>
      </w:r>
      <w:r w:rsidRPr="00EE0749">
        <w:rPr>
          <w:rFonts w:hAnsi="宋体" w:hint="eastAsia"/>
          <w:kern w:val="0"/>
          <w:sz w:val="24"/>
        </w:rPr>
        <w:t>A</w:t>
      </w:r>
      <w:r w:rsidRPr="00EE0749">
        <w:rPr>
          <w:rFonts w:hAnsi="宋体" w:hint="eastAsia"/>
          <w:kern w:val="0"/>
          <w:sz w:val="24"/>
        </w:rPr>
        <w:t>股市场整体走势的指数，由中证指数有限公司编制和维护，是在上海和深圳证券市场中选取</w:t>
      </w:r>
      <w:r w:rsidRPr="00EE0749">
        <w:rPr>
          <w:rFonts w:hAnsi="宋体" w:hint="eastAsia"/>
          <w:kern w:val="0"/>
          <w:sz w:val="24"/>
        </w:rPr>
        <w:t>300</w:t>
      </w:r>
      <w:r w:rsidRPr="00EE0749">
        <w:rPr>
          <w:rFonts w:hAnsi="宋体" w:hint="eastAsia"/>
          <w:kern w:val="0"/>
          <w:sz w:val="24"/>
        </w:rPr>
        <w:t>只</w:t>
      </w:r>
      <w:r w:rsidRPr="00EE0749">
        <w:rPr>
          <w:rFonts w:hAnsi="宋体" w:hint="eastAsia"/>
          <w:kern w:val="0"/>
          <w:sz w:val="24"/>
        </w:rPr>
        <w:t>A</w:t>
      </w:r>
      <w:r w:rsidRPr="00EE0749">
        <w:rPr>
          <w:rFonts w:hAnsi="宋体" w:hint="eastAsia"/>
          <w:kern w:val="0"/>
          <w:sz w:val="24"/>
        </w:rPr>
        <w:t>股作为样本编制而成。该指数样本对沪深市场的覆盖度高，具有良好的市场代表性，投资者可以方便地从报纸、互联网等财经媒体中获取。沪深</w:t>
      </w:r>
      <w:r w:rsidRPr="00EE0749">
        <w:rPr>
          <w:rFonts w:hAnsi="宋体" w:hint="eastAsia"/>
          <w:kern w:val="0"/>
          <w:sz w:val="24"/>
        </w:rPr>
        <w:t>300</w:t>
      </w:r>
      <w:r w:rsidRPr="00EE0749">
        <w:rPr>
          <w:rFonts w:hAnsi="宋体"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根据本基金的投资范围和投资策略，选用上述业绩比较基准能够客观、合理地反映本基金的风险收益特征。</w:t>
      </w:r>
    </w:p>
    <w:p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（六）</w:t>
      </w:r>
      <w:r>
        <w:rPr>
          <w:rFonts w:hAnsi="宋体" w:hint="eastAsia"/>
          <w:b/>
          <w:kern w:val="0"/>
          <w:sz w:val="24"/>
        </w:rPr>
        <w:t>本基金</w:t>
      </w:r>
      <w:r w:rsidRPr="00EE0749">
        <w:rPr>
          <w:rFonts w:hAnsi="宋体" w:hint="eastAsia"/>
          <w:b/>
          <w:kern w:val="0"/>
          <w:sz w:val="24"/>
        </w:rPr>
        <w:t>风险收益特征</w:t>
      </w:r>
    </w:p>
    <w:p w:rsid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三</w:t>
      </w:r>
      <w:r>
        <w:rPr>
          <w:rFonts w:hAnsi="宋体"/>
          <w:b/>
          <w:kern w:val="0"/>
          <w:sz w:val="24"/>
        </w:rPr>
        <w:t>、</w:t>
      </w:r>
      <w:r>
        <w:rPr>
          <w:rFonts w:hAnsi="宋体" w:hint="eastAsia"/>
          <w:b/>
          <w:kern w:val="0"/>
          <w:sz w:val="24"/>
        </w:rPr>
        <w:t>本基金的</w:t>
      </w:r>
      <w:r>
        <w:rPr>
          <w:rFonts w:hAnsi="宋体"/>
          <w:b/>
          <w:kern w:val="0"/>
          <w:sz w:val="24"/>
        </w:rPr>
        <w:t>费用</w:t>
      </w:r>
    </w:p>
    <w:p w:rsidR="00EE0749" w:rsidRPr="00EE0749" w:rsidRDefault="00EE0749" w:rsidP="00EE0749">
      <w:pPr>
        <w:adjustRightInd w:val="0"/>
        <w:snapToGrid w:val="0"/>
        <w:spacing w:line="360" w:lineRule="auto"/>
        <w:ind w:firstLineChars="200" w:firstLine="482"/>
        <w:rPr>
          <w:b/>
          <w:sz w:val="24"/>
        </w:rPr>
      </w:pPr>
      <w:r w:rsidRPr="00EE0749">
        <w:rPr>
          <w:rFonts w:hint="eastAsia"/>
          <w:b/>
          <w:sz w:val="24"/>
        </w:rPr>
        <w:t>（一</w:t>
      </w:r>
      <w:r w:rsidRPr="00EE0749">
        <w:rPr>
          <w:rFonts w:hAnsi="宋体" w:hint="eastAsia"/>
          <w:b/>
          <w:sz w:val="24"/>
        </w:rPr>
        <w:t>）</w:t>
      </w:r>
      <w:r w:rsidRPr="00EE0749">
        <w:rPr>
          <w:rFonts w:hAnsi="宋体"/>
          <w:b/>
          <w:sz w:val="24"/>
        </w:rPr>
        <w:t>基金管理人的管理费</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净值后剩余部分的（若为负数，则取</w:t>
      </w:r>
      <w:r w:rsidRPr="000876B6">
        <w:rPr>
          <w:rFonts w:hint="eastAsia"/>
          <w:bCs/>
          <w:sz w:val="24"/>
        </w:rPr>
        <w:t>0</w:t>
      </w:r>
      <w:r w:rsidRPr="000876B6">
        <w:rPr>
          <w:rFonts w:hint="eastAsia"/>
          <w:bCs/>
          <w:sz w:val="24"/>
        </w:rPr>
        <w:t>）</w:t>
      </w:r>
      <w:r w:rsidRPr="000876B6">
        <w:rPr>
          <w:rFonts w:hint="eastAsia"/>
          <w:bCs/>
          <w:sz w:val="24"/>
        </w:rPr>
        <w:t>0.</w:t>
      </w:r>
      <w:r>
        <w:rPr>
          <w:rFonts w:hint="eastAsia"/>
          <w:bCs/>
          <w:sz w:val="24"/>
        </w:rPr>
        <w:t>6</w:t>
      </w:r>
      <w:r w:rsidRPr="000876B6">
        <w:rPr>
          <w:rFonts w:hint="eastAsia"/>
          <w:bCs/>
          <w:sz w:val="24"/>
        </w:rPr>
        <w:t>%</w:t>
      </w:r>
      <w:r w:rsidRPr="000876B6">
        <w:rPr>
          <w:rFonts w:hint="eastAsia"/>
          <w:bCs/>
          <w:sz w:val="24"/>
        </w:rPr>
        <w:t>年费率计提。管理费的计算方法如下：</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w:t>
      </w:r>
      <w:r w:rsidRPr="000876B6">
        <w:rPr>
          <w:rFonts w:hint="eastAsia"/>
          <w:bCs/>
          <w:sz w:val="24"/>
        </w:rPr>
        <w:t>E</w:t>
      </w:r>
      <w:r w:rsidRPr="000876B6">
        <w:rPr>
          <w:rFonts w:hint="eastAsia"/>
          <w:bCs/>
          <w:sz w:val="24"/>
        </w:rPr>
        <w:t>×</w:t>
      </w:r>
      <w:r w:rsidRPr="000876B6">
        <w:rPr>
          <w:rFonts w:hint="eastAsia"/>
          <w:bCs/>
          <w:sz w:val="24"/>
        </w:rPr>
        <w:t>0.</w:t>
      </w:r>
      <w:r>
        <w:rPr>
          <w:rFonts w:hint="eastAsia"/>
          <w:bCs/>
          <w:sz w:val="24"/>
        </w:rPr>
        <w:t>6</w:t>
      </w:r>
      <w:r w:rsidRPr="000876B6">
        <w:rPr>
          <w:rFonts w:hint="eastAsia"/>
          <w:bCs/>
          <w:sz w:val="24"/>
        </w:rPr>
        <w:t>%</w:t>
      </w:r>
      <w:r w:rsidRPr="000876B6">
        <w:rPr>
          <w:rFonts w:hint="eastAsia"/>
          <w:bCs/>
          <w:sz w:val="24"/>
        </w:rPr>
        <w:t>÷当年天数</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为每日应计提的基金管理费</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E</w:t>
      </w:r>
      <w:r w:rsidRPr="000876B6">
        <w:rPr>
          <w:rFonts w:hint="eastAsia"/>
          <w:bCs/>
          <w:sz w:val="24"/>
        </w:rPr>
        <w:t>为前一日的基金资产净值扣除基金财产中持有的基金管理人自身管理的基金部分所对应资产净值后剩余部分，若为负数，则</w:t>
      </w:r>
      <w:r w:rsidRPr="000876B6">
        <w:rPr>
          <w:rFonts w:hint="eastAsia"/>
          <w:bCs/>
          <w:sz w:val="24"/>
        </w:rPr>
        <w:t>E</w:t>
      </w:r>
      <w:r w:rsidRPr="000876B6">
        <w:rPr>
          <w:rFonts w:hint="eastAsia"/>
          <w:bCs/>
          <w:sz w:val="24"/>
        </w:rPr>
        <w:t>取</w:t>
      </w:r>
      <w:r w:rsidRPr="000876B6">
        <w:rPr>
          <w:rFonts w:hint="eastAsia"/>
          <w:bCs/>
          <w:sz w:val="24"/>
        </w:rPr>
        <w:t>0</w:t>
      </w:r>
      <w:r w:rsidRPr="000876B6">
        <w:rPr>
          <w:rFonts w:hint="eastAsia"/>
          <w:bCs/>
          <w:sz w:val="24"/>
        </w:rPr>
        <w:t>。</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基金管理费每日计提，按月支付。由基金管理人向基金托管人发送基金管理</w:t>
      </w:r>
      <w:r w:rsidRPr="000876B6">
        <w:rPr>
          <w:rFonts w:hint="eastAsia"/>
          <w:bCs/>
          <w:sz w:val="24"/>
        </w:rPr>
        <w:lastRenderedPageBreak/>
        <w:t>费划付指令，经基金托管人复核后于次月首日起</w:t>
      </w:r>
      <w:r w:rsidRPr="000876B6">
        <w:rPr>
          <w:rFonts w:hint="eastAsia"/>
          <w:bCs/>
          <w:sz w:val="24"/>
        </w:rPr>
        <w:t>3</w:t>
      </w:r>
      <w:r w:rsidRPr="000876B6">
        <w:rPr>
          <w:rFonts w:hint="eastAsia"/>
          <w:bCs/>
          <w:sz w:val="24"/>
        </w:rPr>
        <w:t>个工作日内从基金资产中一次性支付给基金管理人。</w:t>
      </w:r>
    </w:p>
    <w:p w:rsidR="00EE0749" w:rsidRDefault="00EE0749" w:rsidP="00EE0749">
      <w:pPr>
        <w:adjustRightInd w:val="0"/>
        <w:snapToGrid w:val="0"/>
        <w:spacing w:line="360" w:lineRule="auto"/>
        <w:ind w:firstLineChars="200" w:firstLine="480"/>
        <w:rPr>
          <w:bCs/>
          <w:sz w:val="24"/>
        </w:rPr>
      </w:pPr>
      <w:r w:rsidRPr="000876B6">
        <w:rPr>
          <w:rFonts w:hint="eastAsia"/>
          <w:bCs/>
          <w:sz w:val="24"/>
        </w:rPr>
        <w:t>若遇法定节假日、休息日或不可抗力致使无法按时支付的，顺延至最近可支付日支付。</w:t>
      </w:r>
    </w:p>
    <w:p w:rsidR="00EE0749" w:rsidRPr="00EE0749" w:rsidRDefault="00EE0749" w:rsidP="00EE0749">
      <w:pPr>
        <w:adjustRightInd w:val="0"/>
        <w:snapToGrid w:val="0"/>
        <w:spacing w:line="360" w:lineRule="auto"/>
        <w:ind w:firstLineChars="200" w:firstLine="482"/>
        <w:rPr>
          <w:b/>
          <w:sz w:val="24"/>
        </w:rPr>
      </w:pPr>
      <w:r w:rsidRPr="00EE0749">
        <w:rPr>
          <w:rFonts w:hint="eastAsia"/>
          <w:b/>
          <w:sz w:val="24"/>
        </w:rPr>
        <w:t>（</w:t>
      </w:r>
      <w:r>
        <w:rPr>
          <w:rFonts w:hint="eastAsia"/>
          <w:b/>
          <w:sz w:val="24"/>
        </w:rPr>
        <w:t>二</w:t>
      </w:r>
      <w:r w:rsidRPr="00EE0749">
        <w:rPr>
          <w:rFonts w:hAnsi="宋体" w:hint="eastAsia"/>
          <w:b/>
          <w:sz w:val="24"/>
        </w:rPr>
        <w:t>）</w:t>
      </w:r>
      <w:r w:rsidRPr="00EE0749">
        <w:rPr>
          <w:rFonts w:hAnsi="宋体"/>
          <w:b/>
          <w:sz w:val="24"/>
        </w:rPr>
        <w:t>基金托管人的托管费</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本基金基金财产中持有的基金托管人自身托管的基金部分不收取托管费。本基金的托管费按前一日基金资产净值扣除基金财产中持有的基金托管人自身托管的基金部分所对应资产净值后剩余部分（若为负数，则取</w:t>
      </w:r>
      <w:r w:rsidRPr="000876B6">
        <w:rPr>
          <w:rFonts w:hint="eastAsia"/>
          <w:bCs/>
          <w:sz w:val="24"/>
        </w:rPr>
        <w:t>0</w:t>
      </w:r>
      <w:r w:rsidRPr="000876B6">
        <w:rPr>
          <w:rFonts w:hint="eastAsia"/>
          <w:bCs/>
          <w:sz w:val="24"/>
        </w:rPr>
        <w:t>）的</w:t>
      </w:r>
      <w:r w:rsidRPr="000876B6">
        <w:rPr>
          <w:rFonts w:hint="eastAsia"/>
          <w:bCs/>
          <w:sz w:val="24"/>
        </w:rPr>
        <w:t>0.2%</w:t>
      </w:r>
      <w:r w:rsidRPr="000876B6">
        <w:rPr>
          <w:rFonts w:hint="eastAsia"/>
          <w:bCs/>
          <w:sz w:val="24"/>
        </w:rPr>
        <w:t>的年费率计提。托管费的计算方法如下：</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w:t>
      </w:r>
      <w:r w:rsidRPr="000876B6">
        <w:rPr>
          <w:rFonts w:hint="eastAsia"/>
          <w:bCs/>
          <w:sz w:val="24"/>
        </w:rPr>
        <w:t>E</w:t>
      </w:r>
      <w:r w:rsidRPr="000876B6">
        <w:rPr>
          <w:rFonts w:hint="eastAsia"/>
          <w:bCs/>
          <w:sz w:val="24"/>
        </w:rPr>
        <w:t>×</w:t>
      </w:r>
      <w:r w:rsidRPr="000876B6">
        <w:rPr>
          <w:rFonts w:hint="eastAsia"/>
          <w:bCs/>
          <w:sz w:val="24"/>
        </w:rPr>
        <w:t>0.2%</w:t>
      </w:r>
      <w:r w:rsidRPr="000876B6">
        <w:rPr>
          <w:rFonts w:hint="eastAsia"/>
          <w:bCs/>
          <w:sz w:val="24"/>
        </w:rPr>
        <w:t>÷当年天数</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为每日应计提的基金托管费</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E</w:t>
      </w:r>
      <w:r w:rsidRPr="000876B6">
        <w:rPr>
          <w:rFonts w:hint="eastAsia"/>
          <w:bCs/>
          <w:sz w:val="24"/>
        </w:rPr>
        <w:t>为前一日的基金资产净值扣除基金财产中持有的基金托管人自身托管的基金部分所对应资产净值后剩余部分，若为负数，则</w:t>
      </w:r>
      <w:r w:rsidRPr="000876B6">
        <w:rPr>
          <w:rFonts w:hint="eastAsia"/>
          <w:bCs/>
          <w:sz w:val="24"/>
        </w:rPr>
        <w:t>E</w:t>
      </w:r>
      <w:r w:rsidRPr="000876B6">
        <w:rPr>
          <w:rFonts w:hint="eastAsia"/>
          <w:bCs/>
          <w:sz w:val="24"/>
        </w:rPr>
        <w:t>取</w:t>
      </w:r>
      <w:r w:rsidRPr="000876B6">
        <w:rPr>
          <w:rFonts w:hint="eastAsia"/>
          <w:bCs/>
          <w:sz w:val="24"/>
        </w:rPr>
        <w:t>0</w:t>
      </w:r>
      <w:r w:rsidRPr="000876B6">
        <w:rPr>
          <w:rFonts w:hint="eastAsia"/>
          <w:bCs/>
          <w:sz w:val="24"/>
        </w:rPr>
        <w:t>。</w:t>
      </w:r>
    </w:p>
    <w:p w:rsidR="00EE0749" w:rsidRPr="000876B6" w:rsidRDefault="00EE0749" w:rsidP="00EE0749">
      <w:pPr>
        <w:adjustRightInd w:val="0"/>
        <w:snapToGrid w:val="0"/>
        <w:spacing w:line="360" w:lineRule="auto"/>
        <w:ind w:firstLineChars="200" w:firstLine="480"/>
        <w:rPr>
          <w:bCs/>
          <w:sz w:val="24"/>
        </w:rPr>
      </w:pPr>
      <w:r w:rsidRPr="000876B6">
        <w:rPr>
          <w:rFonts w:hint="eastAsia"/>
          <w:bCs/>
          <w:sz w:val="24"/>
        </w:rPr>
        <w:t>基金托管费每日计提，按月支付。由基金管理人向基金托管人发送基金托管费划付指令，经基金托管人复核后于次月首日起</w:t>
      </w:r>
      <w:r w:rsidRPr="000876B6">
        <w:rPr>
          <w:rFonts w:hint="eastAsia"/>
          <w:bCs/>
          <w:sz w:val="24"/>
        </w:rPr>
        <w:t>3</w:t>
      </w:r>
      <w:r w:rsidRPr="000876B6">
        <w:rPr>
          <w:rFonts w:hint="eastAsia"/>
          <w:bCs/>
          <w:sz w:val="24"/>
        </w:rPr>
        <w:t>个工作日内从基金资产中一次性支付给基金托管人。</w:t>
      </w:r>
    </w:p>
    <w:p w:rsidR="00EE0749" w:rsidRPr="005435A1" w:rsidRDefault="00EE0749" w:rsidP="00EE0749">
      <w:pPr>
        <w:adjustRightInd w:val="0"/>
        <w:snapToGrid w:val="0"/>
        <w:spacing w:line="360" w:lineRule="auto"/>
        <w:ind w:firstLineChars="200" w:firstLine="480"/>
        <w:rPr>
          <w:bCs/>
          <w:sz w:val="24"/>
        </w:rPr>
      </w:pPr>
      <w:r w:rsidRPr="000876B6">
        <w:rPr>
          <w:rFonts w:hint="eastAsia"/>
          <w:bCs/>
          <w:sz w:val="24"/>
        </w:rPr>
        <w:t>若遇法定节假日、休息日或不可抗力致使无法按时支付的，顺延至最近可支付日支付。</w:t>
      </w:r>
    </w:p>
    <w:p w:rsidR="00EE0749" w:rsidRDefault="00EE0749" w:rsidP="00EE0749">
      <w:pPr>
        <w:adjustRightInd w:val="0"/>
        <w:snapToGrid w:val="0"/>
        <w:spacing w:line="360" w:lineRule="auto"/>
        <w:ind w:firstLineChars="200" w:firstLine="482"/>
        <w:rPr>
          <w:b/>
          <w:bCs/>
          <w:sz w:val="24"/>
        </w:rPr>
      </w:pPr>
      <w:r w:rsidRPr="00EE0749">
        <w:rPr>
          <w:rFonts w:hint="eastAsia"/>
          <w:b/>
          <w:bCs/>
          <w:sz w:val="24"/>
        </w:rPr>
        <w:t>（</w:t>
      </w:r>
      <w:r>
        <w:rPr>
          <w:rFonts w:hint="eastAsia"/>
          <w:b/>
          <w:bCs/>
          <w:sz w:val="24"/>
        </w:rPr>
        <w:t>三</w:t>
      </w:r>
      <w:r w:rsidRPr="00EE0749">
        <w:rPr>
          <w:rFonts w:hint="eastAsia"/>
          <w:b/>
          <w:bCs/>
          <w:sz w:val="24"/>
        </w:rPr>
        <w:t>）本基金的</w:t>
      </w:r>
      <w:r>
        <w:rPr>
          <w:rFonts w:hint="eastAsia"/>
          <w:b/>
          <w:bCs/>
          <w:sz w:val="24"/>
        </w:rPr>
        <w:t>认购费</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EE0749" w:rsidRPr="005435A1" w:rsidTr="00B37FC2">
        <w:trPr>
          <w:cantSplit/>
          <w:trHeight w:val="132"/>
          <w:jc w:val="center"/>
        </w:trPr>
        <w:tc>
          <w:tcPr>
            <w:tcW w:w="4414" w:type="dxa"/>
            <w:shd w:val="clear" w:color="auto" w:fill="FFFFFF"/>
            <w:vAlign w:val="center"/>
          </w:tcPr>
          <w:p w:rsidR="00EE0749" w:rsidRPr="005435A1" w:rsidRDefault="00EE0749" w:rsidP="00B37FC2">
            <w:pPr>
              <w:adjustRightInd w:val="0"/>
              <w:snapToGrid w:val="0"/>
              <w:jc w:val="center"/>
              <w:rPr>
                <w:b/>
                <w:sz w:val="24"/>
              </w:rPr>
            </w:pPr>
            <w:r w:rsidRPr="005435A1">
              <w:rPr>
                <w:b/>
                <w:sz w:val="24"/>
              </w:rPr>
              <w:t>认购金额（含认购费）</w:t>
            </w:r>
          </w:p>
        </w:tc>
        <w:tc>
          <w:tcPr>
            <w:tcW w:w="3002" w:type="dxa"/>
            <w:shd w:val="clear" w:color="auto" w:fill="FFFFFF"/>
            <w:vAlign w:val="center"/>
          </w:tcPr>
          <w:p w:rsidR="00EE0749" w:rsidRPr="005435A1" w:rsidRDefault="00EE0749" w:rsidP="00B37FC2">
            <w:pPr>
              <w:adjustRightInd w:val="0"/>
              <w:snapToGrid w:val="0"/>
              <w:jc w:val="center"/>
              <w:rPr>
                <w:b/>
                <w:sz w:val="24"/>
              </w:rPr>
            </w:pPr>
            <w:r w:rsidRPr="005435A1">
              <w:rPr>
                <w:b/>
                <w:sz w:val="24"/>
              </w:rPr>
              <w:t>认购费率</w:t>
            </w:r>
          </w:p>
        </w:tc>
      </w:tr>
      <w:tr w:rsidR="00EE0749" w:rsidRPr="00774376" w:rsidTr="00B37FC2">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rPr>
                <w:sz w:val="24"/>
              </w:rPr>
            </w:pPr>
            <w:r w:rsidRPr="00774376">
              <w:rPr>
                <w:sz w:val="24"/>
              </w:rPr>
              <w:t>50</w:t>
            </w:r>
            <w:r w:rsidRPr="00774376">
              <w:rPr>
                <w:sz w:val="24"/>
              </w:rPr>
              <w:t>万元以下</w:t>
            </w:r>
          </w:p>
        </w:tc>
        <w:tc>
          <w:tcPr>
            <w:tcW w:w="3002"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jc w:val="center"/>
              <w:rPr>
                <w:sz w:val="24"/>
              </w:rPr>
            </w:pPr>
            <w:r>
              <w:rPr>
                <w:rFonts w:hint="eastAsia"/>
                <w:sz w:val="24"/>
              </w:rPr>
              <w:t>0.6</w:t>
            </w:r>
            <w:r w:rsidRPr="00774376">
              <w:rPr>
                <w:sz w:val="24"/>
              </w:rPr>
              <w:t>%</w:t>
            </w:r>
          </w:p>
        </w:tc>
      </w:tr>
      <w:tr w:rsidR="00EE0749" w:rsidRPr="00774376" w:rsidTr="00B37FC2">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jc w:val="center"/>
              <w:rPr>
                <w:sz w:val="24"/>
              </w:rPr>
            </w:pPr>
            <w:r>
              <w:rPr>
                <w:rFonts w:hint="eastAsia"/>
                <w:sz w:val="24"/>
              </w:rPr>
              <w:t>0.5</w:t>
            </w:r>
            <w:r w:rsidRPr="00774376">
              <w:rPr>
                <w:sz w:val="24"/>
              </w:rPr>
              <w:t>%</w:t>
            </w:r>
          </w:p>
        </w:tc>
      </w:tr>
      <w:tr w:rsidR="00EE0749" w:rsidRPr="00774376" w:rsidTr="00B37FC2">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jc w:val="center"/>
              <w:rPr>
                <w:sz w:val="24"/>
              </w:rPr>
            </w:pPr>
            <w:r>
              <w:rPr>
                <w:rFonts w:hint="eastAsia"/>
                <w:sz w:val="24"/>
              </w:rPr>
              <w:t>0.4</w:t>
            </w:r>
            <w:r w:rsidRPr="00774376">
              <w:rPr>
                <w:sz w:val="24"/>
              </w:rPr>
              <w:t>%</w:t>
            </w:r>
          </w:p>
        </w:tc>
      </w:tr>
      <w:tr w:rsidR="00EE0749" w:rsidRPr="00774376" w:rsidTr="00B37FC2">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jc w:val="center"/>
              <w:rPr>
                <w:sz w:val="24"/>
              </w:rPr>
            </w:pPr>
            <w:r>
              <w:rPr>
                <w:rFonts w:hint="eastAsia"/>
                <w:sz w:val="24"/>
              </w:rPr>
              <w:t>0.2</w:t>
            </w:r>
            <w:r w:rsidRPr="00774376">
              <w:rPr>
                <w:sz w:val="24"/>
              </w:rPr>
              <w:t>%</w:t>
            </w:r>
          </w:p>
        </w:tc>
      </w:tr>
      <w:tr w:rsidR="00EE0749" w:rsidRPr="00774376" w:rsidTr="00B37FC2">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r>
              <w:rPr>
                <w:rFonts w:hint="eastAsia"/>
                <w:sz w:val="24"/>
              </w:rPr>
              <w:t>元</w:t>
            </w:r>
            <w:r w:rsidRPr="00774376">
              <w:rPr>
                <w:sz w:val="24"/>
              </w:rPr>
              <w:t>）</w:t>
            </w:r>
          </w:p>
        </w:tc>
        <w:tc>
          <w:tcPr>
            <w:tcW w:w="3002" w:type="dxa"/>
            <w:tcBorders>
              <w:top w:val="single" w:sz="4" w:space="0" w:color="808080"/>
              <w:left w:val="single" w:sz="4" w:space="0" w:color="808080"/>
              <w:bottom w:val="single" w:sz="4" w:space="0" w:color="808080"/>
              <w:right w:val="single" w:sz="4" w:space="0" w:color="808080"/>
            </w:tcBorders>
          </w:tcPr>
          <w:p w:rsidR="00EE0749" w:rsidRPr="00774376" w:rsidRDefault="00EE0749" w:rsidP="00B37FC2">
            <w:pPr>
              <w:adjustRightInd w:val="0"/>
              <w:snapToGrid w:val="0"/>
              <w:jc w:val="center"/>
              <w:rPr>
                <w:sz w:val="24"/>
              </w:rPr>
            </w:pPr>
            <w:r w:rsidRPr="00774376">
              <w:rPr>
                <w:sz w:val="24"/>
              </w:rPr>
              <w:t>每笔交易</w:t>
            </w:r>
            <w:r w:rsidRPr="00774376">
              <w:rPr>
                <w:sz w:val="24"/>
              </w:rPr>
              <w:t>1000</w:t>
            </w:r>
            <w:r w:rsidRPr="00774376">
              <w:rPr>
                <w:sz w:val="24"/>
              </w:rPr>
              <w:t>元</w:t>
            </w:r>
          </w:p>
        </w:tc>
      </w:tr>
    </w:tbl>
    <w:p w:rsidR="00EE0749" w:rsidRPr="003D7C42" w:rsidRDefault="00EE0749" w:rsidP="00EE0749">
      <w:pPr>
        <w:widowControl/>
        <w:adjustRightInd w:val="0"/>
        <w:snapToGrid w:val="0"/>
        <w:spacing w:line="360" w:lineRule="auto"/>
        <w:ind w:firstLineChars="200" w:firstLine="480"/>
        <w:rPr>
          <w:kern w:val="0"/>
          <w:sz w:val="24"/>
        </w:rPr>
      </w:pPr>
      <w:r w:rsidRPr="003D7C42">
        <w:rPr>
          <w:rFonts w:hint="eastAsia"/>
          <w:kern w:val="0"/>
          <w:sz w:val="24"/>
        </w:rPr>
        <w:t>养老金客户通过基金管理人的直销柜台认购本基金的特定认购费率如下：</w:t>
      </w:r>
    </w:p>
    <w:tbl>
      <w:tblPr>
        <w:tblW w:w="724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86"/>
        <w:gridCol w:w="2957"/>
      </w:tblGrid>
      <w:tr w:rsidR="00EE0749" w:rsidRPr="005435A1" w:rsidTr="003D7C42">
        <w:trPr>
          <w:cantSplit/>
          <w:trHeight w:val="132"/>
          <w:jc w:val="center"/>
        </w:trPr>
        <w:tc>
          <w:tcPr>
            <w:tcW w:w="4286" w:type="dxa"/>
            <w:shd w:val="clear" w:color="auto" w:fill="FFFFFF"/>
            <w:vAlign w:val="center"/>
          </w:tcPr>
          <w:p w:rsidR="00EE0749" w:rsidRPr="005435A1" w:rsidRDefault="00EE0749" w:rsidP="00B37FC2">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2957" w:type="dxa"/>
            <w:shd w:val="clear" w:color="auto" w:fill="FFFFFF"/>
            <w:vAlign w:val="center"/>
          </w:tcPr>
          <w:p w:rsidR="00EE0749" w:rsidRPr="005435A1" w:rsidRDefault="00EE0749" w:rsidP="00B37FC2">
            <w:pPr>
              <w:adjustRightInd w:val="0"/>
              <w:snapToGrid w:val="0"/>
              <w:jc w:val="center"/>
              <w:rPr>
                <w:b/>
                <w:sz w:val="24"/>
              </w:rPr>
            </w:pPr>
            <w:r w:rsidRPr="005435A1">
              <w:rPr>
                <w:rFonts w:hint="eastAsia"/>
                <w:b/>
                <w:sz w:val="24"/>
              </w:rPr>
              <w:t>特定认</w:t>
            </w:r>
            <w:r w:rsidRPr="005435A1">
              <w:rPr>
                <w:b/>
                <w:sz w:val="24"/>
              </w:rPr>
              <w:t>购费率</w:t>
            </w:r>
          </w:p>
        </w:tc>
      </w:tr>
      <w:tr w:rsidR="00EE0749" w:rsidRPr="005C7EBF" w:rsidTr="003D7C42">
        <w:trPr>
          <w:cantSplit/>
          <w:trHeight w:val="131"/>
          <w:jc w:val="center"/>
        </w:trPr>
        <w:tc>
          <w:tcPr>
            <w:tcW w:w="4286" w:type="dxa"/>
            <w:tcBorders>
              <w:top w:val="single" w:sz="4" w:space="0" w:color="808080"/>
              <w:left w:val="single" w:sz="4" w:space="0" w:color="808080"/>
              <w:bottom w:val="single" w:sz="4" w:space="0" w:color="808080"/>
              <w:right w:val="single" w:sz="4" w:space="0" w:color="808080"/>
            </w:tcBorders>
          </w:tcPr>
          <w:p w:rsidR="00EE0749" w:rsidRPr="005C7EBF" w:rsidRDefault="00EE0749" w:rsidP="00B37FC2">
            <w:pPr>
              <w:adjustRightInd w:val="0"/>
              <w:snapToGrid w:val="0"/>
              <w:rPr>
                <w:sz w:val="24"/>
              </w:rPr>
            </w:pPr>
            <w:r w:rsidRPr="005C7EBF">
              <w:rPr>
                <w:sz w:val="24"/>
              </w:rPr>
              <w:t>50</w:t>
            </w:r>
            <w:r w:rsidRPr="00196392">
              <w:rPr>
                <w:sz w:val="24"/>
              </w:rPr>
              <w:t>万元以下</w:t>
            </w:r>
          </w:p>
        </w:tc>
        <w:tc>
          <w:tcPr>
            <w:tcW w:w="2957" w:type="dxa"/>
            <w:tcBorders>
              <w:top w:val="single" w:sz="4" w:space="0" w:color="808080"/>
              <w:left w:val="single" w:sz="4" w:space="0" w:color="808080"/>
              <w:bottom w:val="single" w:sz="4" w:space="0" w:color="808080"/>
              <w:right w:val="single" w:sz="4" w:space="0" w:color="808080"/>
            </w:tcBorders>
          </w:tcPr>
          <w:p w:rsidR="00EE0749" w:rsidRPr="00196392" w:rsidRDefault="00EE0749" w:rsidP="00B37FC2">
            <w:pPr>
              <w:adjustRightInd w:val="0"/>
              <w:snapToGrid w:val="0"/>
              <w:jc w:val="center"/>
              <w:rPr>
                <w:rFonts w:hAnsi="宋体"/>
                <w:sz w:val="24"/>
              </w:rPr>
            </w:pPr>
            <w:r w:rsidRPr="00196392">
              <w:rPr>
                <w:rFonts w:hAnsi="宋体" w:hint="eastAsia"/>
                <w:sz w:val="24"/>
              </w:rPr>
              <w:t>0.24%</w:t>
            </w:r>
          </w:p>
        </w:tc>
      </w:tr>
      <w:tr w:rsidR="00EE0749" w:rsidRPr="005C7EBF" w:rsidTr="003D7C42">
        <w:trPr>
          <w:cantSplit/>
          <w:trHeight w:val="131"/>
          <w:jc w:val="center"/>
        </w:trPr>
        <w:tc>
          <w:tcPr>
            <w:tcW w:w="4286" w:type="dxa"/>
            <w:tcBorders>
              <w:top w:val="single" w:sz="4" w:space="0" w:color="808080"/>
              <w:left w:val="single" w:sz="4" w:space="0" w:color="808080"/>
              <w:bottom w:val="single" w:sz="4" w:space="0" w:color="808080"/>
              <w:right w:val="single" w:sz="4" w:space="0" w:color="808080"/>
            </w:tcBorders>
          </w:tcPr>
          <w:p w:rsidR="00EE0749" w:rsidRPr="005C7EBF" w:rsidRDefault="00EE0749" w:rsidP="00B37FC2">
            <w:pPr>
              <w:adjustRightInd w:val="0"/>
              <w:snapToGrid w:val="0"/>
              <w:rPr>
                <w:sz w:val="24"/>
              </w:rPr>
            </w:pPr>
            <w:r w:rsidRPr="005C7EBF">
              <w:rPr>
                <w:sz w:val="24"/>
              </w:rPr>
              <w:t>50</w:t>
            </w:r>
            <w:r w:rsidRPr="00196392">
              <w:rPr>
                <w:sz w:val="24"/>
              </w:rPr>
              <w:t>万元（含）至</w:t>
            </w:r>
            <w:r w:rsidRPr="005C7EBF">
              <w:rPr>
                <w:sz w:val="24"/>
              </w:rPr>
              <w:t>100</w:t>
            </w:r>
            <w:r w:rsidRPr="00196392">
              <w:rPr>
                <w:sz w:val="24"/>
              </w:rPr>
              <w:t>万元</w:t>
            </w:r>
          </w:p>
        </w:tc>
        <w:tc>
          <w:tcPr>
            <w:tcW w:w="2957" w:type="dxa"/>
            <w:tcBorders>
              <w:top w:val="single" w:sz="4" w:space="0" w:color="808080"/>
              <w:left w:val="single" w:sz="4" w:space="0" w:color="808080"/>
              <w:bottom w:val="single" w:sz="4" w:space="0" w:color="808080"/>
              <w:right w:val="single" w:sz="4" w:space="0" w:color="808080"/>
            </w:tcBorders>
          </w:tcPr>
          <w:p w:rsidR="00EE0749" w:rsidRPr="00196392" w:rsidRDefault="00EE0749" w:rsidP="00B37FC2">
            <w:pPr>
              <w:adjustRightInd w:val="0"/>
              <w:snapToGrid w:val="0"/>
              <w:jc w:val="center"/>
              <w:rPr>
                <w:rFonts w:hAnsi="宋体"/>
                <w:sz w:val="24"/>
              </w:rPr>
            </w:pPr>
            <w:r w:rsidRPr="00196392">
              <w:rPr>
                <w:rFonts w:hAnsi="宋体" w:hint="eastAsia"/>
                <w:sz w:val="24"/>
              </w:rPr>
              <w:t>0.15%</w:t>
            </w:r>
          </w:p>
        </w:tc>
      </w:tr>
      <w:tr w:rsidR="00EE0749" w:rsidRPr="005C7EBF" w:rsidTr="003D7C42">
        <w:trPr>
          <w:cantSplit/>
          <w:trHeight w:val="131"/>
          <w:jc w:val="center"/>
        </w:trPr>
        <w:tc>
          <w:tcPr>
            <w:tcW w:w="4286" w:type="dxa"/>
            <w:tcBorders>
              <w:top w:val="single" w:sz="4" w:space="0" w:color="808080"/>
              <w:left w:val="single" w:sz="4" w:space="0" w:color="808080"/>
              <w:bottom w:val="single" w:sz="4" w:space="0" w:color="808080"/>
              <w:right w:val="single" w:sz="4" w:space="0" w:color="808080"/>
            </w:tcBorders>
          </w:tcPr>
          <w:p w:rsidR="00EE0749" w:rsidRPr="005C7EBF" w:rsidRDefault="00EE0749" w:rsidP="00B37FC2">
            <w:pPr>
              <w:adjustRightInd w:val="0"/>
              <w:snapToGrid w:val="0"/>
              <w:rPr>
                <w:sz w:val="24"/>
              </w:rPr>
            </w:pPr>
            <w:r w:rsidRPr="005C7EBF">
              <w:rPr>
                <w:sz w:val="24"/>
              </w:rPr>
              <w:t>100</w:t>
            </w:r>
            <w:r w:rsidRPr="00196392">
              <w:rPr>
                <w:sz w:val="24"/>
              </w:rPr>
              <w:t>万元（含）至</w:t>
            </w:r>
            <w:r w:rsidRPr="005C7EBF">
              <w:rPr>
                <w:sz w:val="24"/>
              </w:rPr>
              <w:t>200</w:t>
            </w:r>
            <w:r w:rsidRPr="00196392">
              <w:rPr>
                <w:sz w:val="24"/>
              </w:rPr>
              <w:t>万元</w:t>
            </w:r>
          </w:p>
        </w:tc>
        <w:tc>
          <w:tcPr>
            <w:tcW w:w="2957" w:type="dxa"/>
            <w:tcBorders>
              <w:top w:val="single" w:sz="4" w:space="0" w:color="808080"/>
              <w:left w:val="single" w:sz="4" w:space="0" w:color="808080"/>
              <w:bottom w:val="single" w:sz="4" w:space="0" w:color="808080"/>
              <w:right w:val="single" w:sz="4" w:space="0" w:color="808080"/>
            </w:tcBorders>
          </w:tcPr>
          <w:p w:rsidR="00EE0749" w:rsidRPr="00196392" w:rsidRDefault="00EE0749" w:rsidP="00B37FC2">
            <w:pPr>
              <w:adjustRightInd w:val="0"/>
              <w:snapToGrid w:val="0"/>
              <w:jc w:val="center"/>
              <w:rPr>
                <w:rFonts w:hAnsi="宋体"/>
                <w:sz w:val="24"/>
              </w:rPr>
            </w:pPr>
            <w:r w:rsidRPr="00196392">
              <w:rPr>
                <w:rFonts w:hAnsi="宋体" w:hint="eastAsia"/>
                <w:sz w:val="24"/>
              </w:rPr>
              <w:t>0.08%</w:t>
            </w:r>
          </w:p>
        </w:tc>
      </w:tr>
      <w:tr w:rsidR="00EE0749" w:rsidRPr="005C7EBF" w:rsidTr="003D7C42">
        <w:trPr>
          <w:cantSplit/>
          <w:trHeight w:val="131"/>
          <w:jc w:val="center"/>
        </w:trPr>
        <w:tc>
          <w:tcPr>
            <w:tcW w:w="4286" w:type="dxa"/>
            <w:tcBorders>
              <w:top w:val="single" w:sz="4" w:space="0" w:color="808080"/>
              <w:left w:val="single" w:sz="4" w:space="0" w:color="808080"/>
              <w:bottom w:val="single" w:sz="4" w:space="0" w:color="808080"/>
              <w:right w:val="single" w:sz="4" w:space="0" w:color="808080"/>
            </w:tcBorders>
          </w:tcPr>
          <w:p w:rsidR="00EE0749" w:rsidRPr="005C7EBF" w:rsidRDefault="00EE0749" w:rsidP="00B37FC2">
            <w:pPr>
              <w:adjustRightInd w:val="0"/>
              <w:snapToGrid w:val="0"/>
              <w:rPr>
                <w:sz w:val="24"/>
              </w:rPr>
            </w:pPr>
            <w:r w:rsidRPr="005C7EBF">
              <w:rPr>
                <w:sz w:val="24"/>
              </w:rPr>
              <w:t>200</w:t>
            </w:r>
            <w:r w:rsidRPr="00196392">
              <w:rPr>
                <w:sz w:val="24"/>
              </w:rPr>
              <w:t>万元（含）至</w:t>
            </w:r>
            <w:r w:rsidRPr="005C7EBF">
              <w:rPr>
                <w:sz w:val="24"/>
              </w:rPr>
              <w:t>500</w:t>
            </w:r>
            <w:r w:rsidRPr="00196392">
              <w:rPr>
                <w:sz w:val="24"/>
              </w:rPr>
              <w:t>万元</w:t>
            </w:r>
          </w:p>
        </w:tc>
        <w:tc>
          <w:tcPr>
            <w:tcW w:w="2957" w:type="dxa"/>
            <w:tcBorders>
              <w:top w:val="single" w:sz="4" w:space="0" w:color="808080"/>
              <w:left w:val="single" w:sz="4" w:space="0" w:color="808080"/>
              <w:bottom w:val="single" w:sz="4" w:space="0" w:color="808080"/>
              <w:right w:val="single" w:sz="4" w:space="0" w:color="808080"/>
            </w:tcBorders>
          </w:tcPr>
          <w:p w:rsidR="00EE0749" w:rsidRPr="00196392" w:rsidRDefault="00EE0749" w:rsidP="00B37FC2">
            <w:pPr>
              <w:adjustRightInd w:val="0"/>
              <w:snapToGrid w:val="0"/>
              <w:jc w:val="center"/>
              <w:rPr>
                <w:rFonts w:hAnsi="宋体"/>
                <w:sz w:val="24"/>
              </w:rPr>
            </w:pPr>
            <w:r w:rsidRPr="00196392">
              <w:rPr>
                <w:rFonts w:hAnsi="宋体" w:hint="eastAsia"/>
                <w:sz w:val="24"/>
              </w:rPr>
              <w:t>0.04%</w:t>
            </w:r>
          </w:p>
        </w:tc>
      </w:tr>
      <w:tr w:rsidR="00EE0749" w:rsidRPr="005C7EBF" w:rsidTr="003D7C42">
        <w:trPr>
          <w:cantSplit/>
          <w:trHeight w:val="131"/>
          <w:jc w:val="center"/>
        </w:trPr>
        <w:tc>
          <w:tcPr>
            <w:tcW w:w="4286" w:type="dxa"/>
            <w:tcBorders>
              <w:top w:val="single" w:sz="4" w:space="0" w:color="808080"/>
              <w:left w:val="single" w:sz="4" w:space="0" w:color="808080"/>
              <w:bottom w:val="single" w:sz="4" w:space="0" w:color="808080"/>
              <w:right w:val="single" w:sz="4" w:space="0" w:color="808080"/>
            </w:tcBorders>
          </w:tcPr>
          <w:p w:rsidR="00EE0749" w:rsidRPr="005C7EBF" w:rsidRDefault="00EE0749" w:rsidP="00B37FC2">
            <w:pPr>
              <w:adjustRightInd w:val="0"/>
              <w:snapToGrid w:val="0"/>
              <w:rPr>
                <w:sz w:val="24"/>
              </w:rPr>
            </w:pPr>
            <w:r w:rsidRPr="005C7EBF">
              <w:rPr>
                <w:sz w:val="24"/>
              </w:rPr>
              <w:t>500</w:t>
            </w:r>
            <w:r w:rsidRPr="00196392">
              <w:rPr>
                <w:sz w:val="24"/>
              </w:rPr>
              <w:t>万元以上（含</w:t>
            </w:r>
            <w:r w:rsidRPr="005C7EBF">
              <w:rPr>
                <w:sz w:val="24"/>
              </w:rPr>
              <w:t>500</w:t>
            </w:r>
            <w:r w:rsidRPr="00196392">
              <w:rPr>
                <w:sz w:val="24"/>
              </w:rPr>
              <w:t>万</w:t>
            </w:r>
            <w:r>
              <w:rPr>
                <w:rFonts w:hint="eastAsia"/>
                <w:sz w:val="24"/>
              </w:rPr>
              <w:t>元</w:t>
            </w:r>
            <w:r w:rsidRPr="00196392">
              <w:rPr>
                <w:sz w:val="24"/>
              </w:rPr>
              <w:t>）</w:t>
            </w:r>
          </w:p>
        </w:tc>
        <w:tc>
          <w:tcPr>
            <w:tcW w:w="2957" w:type="dxa"/>
            <w:tcBorders>
              <w:top w:val="single" w:sz="4" w:space="0" w:color="808080"/>
              <w:left w:val="single" w:sz="4" w:space="0" w:color="808080"/>
              <w:bottom w:val="single" w:sz="4" w:space="0" w:color="808080"/>
              <w:right w:val="single" w:sz="4" w:space="0" w:color="808080"/>
            </w:tcBorders>
          </w:tcPr>
          <w:p w:rsidR="00EE0749" w:rsidRPr="00196392" w:rsidRDefault="00EE0749" w:rsidP="00B37FC2">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rsidR="00EE0749" w:rsidRPr="005435A1" w:rsidRDefault="00EE0749" w:rsidP="00EE0749">
      <w:pPr>
        <w:widowControl/>
        <w:adjustRightInd w:val="0"/>
        <w:snapToGrid w:val="0"/>
        <w:spacing w:line="360" w:lineRule="auto"/>
        <w:ind w:firstLineChars="200" w:firstLine="480"/>
        <w:rPr>
          <w:rFonts w:hAnsi="宋体"/>
          <w:sz w:val="24"/>
        </w:rPr>
      </w:pP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lastRenderedPageBreak/>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rsidR="00EE0749" w:rsidRPr="00EE0749" w:rsidRDefault="00EE0749" w:rsidP="00EE0749">
      <w:pPr>
        <w:adjustRightInd w:val="0"/>
        <w:snapToGrid w:val="0"/>
        <w:spacing w:line="360" w:lineRule="auto"/>
        <w:ind w:firstLineChars="200" w:firstLine="482"/>
        <w:rPr>
          <w:b/>
          <w:bCs/>
          <w:sz w:val="24"/>
        </w:rPr>
      </w:pPr>
      <w:r>
        <w:rPr>
          <w:rFonts w:hint="eastAsia"/>
          <w:b/>
          <w:bCs/>
          <w:sz w:val="24"/>
        </w:rPr>
        <w:t>（四</w:t>
      </w:r>
      <w:r>
        <w:rPr>
          <w:b/>
          <w:bCs/>
          <w:sz w:val="24"/>
        </w:rPr>
        <w:t>）</w:t>
      </w:r>
      <w:r w:rsidRPr="00EE0749">
        <w:rPr>
          <w:rFonts w:hint="eastAsia"/>
          <w:b/>
          <w:bCs/>
          <w:sz w:val="24"/>
        </w:rPr>
        <w:t>本基金的</w:t>
      </w:r>
      <w:r w:rsidRPr="00EE0749">
        <w:rPr>
          <w:b/>
          <w:bCs/>
          <w:sz w:val="24"/>
        </w:rPr>
        <w:t>申购费</w:t>
      </w:r>
    </w:p>
    <w:p w:rsidR="00EE0749" w:rsidRPr="005435A1" w:rsidRDefault="00EE0749" w:rsidP="00EE0749">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rsidR="00EE0749" w:rsidRPr="005435A1" w:rsidRDefault="00EE0749" w:rsidP="00EE0749">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67"/>
        <w:gridCol w:w="3260"/>
      </w:tblGrid>
      <w:tr w:rsidR="00EE0749" w:rsidRPr="00C02B7E" w:rsidTr="00B37FC2">
        <w:trPr>
          <w:cantSplit/>
          <w:trHeight w:val="132"/>
        </w:trPr>
        <w:tc>
          <w:tcPr>
            <w:tcW w:w="3767" w:type="dxa"/>
            <w:shd w:val="clear" w:color="auto" w:fill="FFFFFF"/>
            <w:vAlign w:val="center"/>
          </w:tcPr>
          <w:p w:rsidR="00EE0749" w:rsidRPr="00C02B7E" w:rsidRDefault="00EE0749" w:rsidP="00B37FC2">
            <w:pPr>
              <w:adjustRightInd w:val="0"/>
              <w:snapToGrid w:val="0"/>
              <w:jc w:val="center"/>
              <w:rPr>
                <w:b/>
                <w:sz w:val="24"/>
              </w:rPr>
            </w:pPr>
            <w:r w:rsidRPr="00C02B7E">
              <w:rPr>
                <w:b/>
                <w:sz w:val="24"/>
              </w:rPr>
              <w:t>申购金额（含申购费）</w:t>
            </w:r>
          </w:p>
        </w:tc>
        <w:tc>
          <w:tcPr>
            <w:tcW w:w="3260" w:type="dxa"/>
            <w:shd w:val="clear" w:color="auto" w:fill="FFFFFF"/>
            <w:vAlign w:val="center"/>
          </w:tcPr>
          <w:p w:rsidR="00EE0749" w:rsidRPr="00C02B7E" w:rsidRDefault="00EE0749" w:rsidP="00B37FC2">
            <w:pPr>
              <w:adjustRightInd w:val="0"/>
              <w:snapToGrid w:val="0"/>
              <w:jc w:val="center"/>
              <w:rPr>
                <w:b/>
                <w:sz w:val="24"/>
              </w:rPr>
            </w:pPr>
            <w:r w:rsidRPr="00C02B7E">
              <w:rPr>
                <w:b/>
                <w:sz w:val="24"/>
              </w:rPr>
              <w:t>申购费率</w:t>
            </w:r>
          </w:p>
        </w:tc>
      </w:tr>
      <w:tr w:rsidR="00EE0749" w:rsidRPr="00C02B7E" w:rsidTr="00B37FC2">
        <w:trPr>
          <w:cantSplit/>
          <w:trHeight w:val="131"/>
        </w:trPr>
        <w:tc>
          <w:tcPr>
            <w:tcW w:w="3767" w:type="dxa"/>
          </w:tcPr>
          <w:p w:rsidR="00EE0749" w:rsidRPr="00C02B7E" w:rsidRDefault="00EE0749" w:rsidP="00B37FC2">
            <w:pPr>
              <w:adjustRightInd w:val="0"/>
              <w:snapToGrid w:val="0"/>
              <w:rPr>
                <w:sz w:val="24"/>
              </w:rPr>
            </w:pPr>
            <w:r w:rsidRPr="00C02B7E">
              <w:rPr>
                <w:sz w:val="24"/>
              </w:rPr>
              <w:t>50</w:t>
            </w:r>
            <w:r w:rsidRPr="00C02B7E">
              <w:rPr>
                <w:rFonts w:hAnsi="宋体"/>
                <w:sz w:val="24"/>
              </w:rPr>
              <w:t>万元以下</w:t>
            </w:r>
          </w:p>
        </w:tc>
        <w:tc>
          <w:tcPr>
            <w:tcW w:w="3260" w:type="dxa"/>
            <w:vAlign w:val="center"/>
          </w:tcPr>
          <w:p w:rsidR="00EE0749" w:rsidRPr="00C02B7E" w:rsidRDefault="00EE0749" w:rsidP="00B37FC2">
            <w:pPr>
              <w:adjustRightInd w:val="0"/>
              <w:snapToGrid w:val="0"/>
              <w:jc w:val="center"/>
              <w:rPr>
                <w:sz w:val="24"/>
              </w:rPr>
            </w:pPr>
            <w:r w:rsidRPr="00C02B7E">
              <w:rPr>
                <w:sz w:val="24"/>
              </w:rPr>
              <w:t>0.8%</w:t>
            </w:r>
          </w:p>
        </w:tc>
      </w:tr>
      <w:tr w:rsidR="00EE0749" w:rsidRPr="00C02B7E" w:rsidTr="00B37FC2">
        <w:trPr>
          <w:cantSplit/>
          <w:trHeight w:val="131"/>
        </w:trPr>
        <w:tc>
          <w:tcPr>
            <w:tcW w:w="3767" w:type="dxa"/>
          </w:tcPr>
          <w:p w:rsidR="00EE0749" w:rsidRPr="00C02B7E" w:rsidRDefault="00EE0749" w:rsidP="00B37FC2">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260" w:type="dxa"/>
            <w:vAlign w:val="center"/>
          </w:tcPr>
          <w:p w:rsidR="00EE0749" w:rsidRPr="00C02B7E" w:rsidRDefault="00EE0749" w:rsidP="00B37FC2">
            <w:pPr>
              <w:adjustRightInd w:val="0"/>
              <w:snapToGrid w:val="0"/>
              <w:jc w:val="center"/>
              <w:rPr>
                <w:sz w:val="24"/>
              </w:rPr>
            </w:pPr>
            <w:r w:rsidRPr="00C02B7E">
              <w:rPr>
                <w:sz w:val="24"/>
              </w:rPr>
              <w:t>0.6%</w:t>
            </w:r>
          </w:p>
        </w:tc>
      </w:tr>
      <w:tr w:rsidR="00EE0749" w:rsidRPr="00C02B7E" w:rsidTr="00B37FC2">
        <w:trPr>
          <w:cantSplit/>
          <w:trHeight w:val="131"/>
        </w:trPr>
        <w:tc>
          <w:tcPr>
            <w:tcW w:w="3767" w:type="dxa"/>
          </w:tcPr>
          <w:p w:rsidR="00EE0749" w:rsidRPr="00C02B7E" w:rsidRDefault="00EE0749" w:rsidP="00B37FC2">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3260" w:type="dxa"/>
            <w:vAlign w:val="center"/>
          </w:tcPr>
          <w:p w:rsidR="00EE0749" w:rsidRPr="00C02B7E" w:rsidRDefault="00EE0749" w:rsidP="00B37FC2">
            <w:pPr>
              <w:adjustRightInd w:val="0"/>
              <w:snapToGrid w:val="0"/>
              <w:jc w:val="center"/>
              <w:rPr>
                <w:sz w:val="24"/>
              </w:rPr>
            </w:pPr>
            <w:r w:rsidRPr="00C02B7E">
              <w:rPr>
                <w:sz w:val="24"/>
              </w:rPr>
              <w:t>0.5%</w:t>
            </w:r>
          </w:p>
        </w:tc>
      </w:tr>
      <w:tr w:rsidR="00EE0749" w:rsidRPr="00C02B7E" w:rsidTr="00B37FC2">
        <w:trPr>
          <w:cantSplit/>
          <w:trHeight w:val="131"/>
        </w:trPr>
        <w:tc>
          <w:tcPr>
            <w:tcW w:w="3767" w:type="dxa"/>
          </w:tcPr>
          <w:p w:rsidR="00EE0749" w:rsidRPr="00C02B7E" w:rsidRDefault="00EE0749" w:rsidP="00B37FC2">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260" w:type="dxa"/>
            <w:vAlign w:val="center"/>
          </w:tcPr>
          <w:p w:rsidR="00EE0749" w:rsidRPr="00C02B7E" w:rsidRDefault="00EE0749" w:rsidP="00B37FC2">
            <w:pPr>
              <w:adjustRightInd w:val="0"/>
              <w:snapToGrid w:val="0"/>
              <w:jc w:val="center"/>
              <w:rPr>
                <w:sz w:val="24"/>
              </w:rPr>
            </w:pPr>
            <w:r w:rsidRPr="00C02B7E">
              <w:rPr>
                <w:sz w:val="24"/>
              </w:rPr>
              <w:t>0.3%</w:t>
            </w:r>
          </w:p>
        </w:tc>
      </w:tr>
      <w:tr w:rsidR="00EE0749" w:rsidRPr="00C02B7E" w:rsidTr="00B37FC2">
        <w:trPr>
          <w:cantSplit/>
          <w:trHeight w:val="131"/>
        </w:trPr>
        <w:tc>
          <w:tcPr>
            <w:tcW w:w="3767" w:type="dxa"/>
          </w:tcPr>
          <w:p w:rsidR="00EE0749" w:rsidRPr="00C02B7E" w:rsidRDefault="00EE0749" w:rsidP="00B37FC2">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260" w:type="dxa"/>
          </w:tcPr>
          <w:p w:rsidR="00EE0749" w:rsidRPr="00C02B7E" w:rsidRDefault="00EE0749" w:rsidP="00B37FC2">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rsidR="00EE0749" w:rsidRPr="005435A1" w:rsidRDefault="00EE0749" w:rsidP="00EE0749">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rsidR="00EE0749" w:rsidRPr="005435A1" w:rsidRDefault="00EE0749" w:rsidP="00EE0749">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通过基金管理人直销柜台申购本基金基金份额的养老金客户特定申购费率如下表：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67"/>
        <w:gridCol w:w="3260"/>
      </w:tblGrid>
      <w:tr w:rsidR="00EE0749" w:rsidRPr="00C02B7E" w:rsidTr="003D7C42">
        <w:trPr>
          <w:cantSplit/>
          <w:trHeight w:val="132"/>
        </w:trPr>
        <w:tc>
          <w:tcPr>
            <w:tcW w:w="3767" w:type="dxa"/>
            <w:shd w:val="clear" w:color="auto" w:fill="FFFFFF"/>
            <w:vAlign w:val="center"/>
          </w:tcPr>
          <w:p w:rsidR="00EE0749" w:rsidRPr="00C02B7E" w:rsidRDefault="00EE0749" w:rsidP="00B37FC2">
            <w:pPr>
              <w:adjustRightInd w:val="0"/>
              <w:snapToGrid w:val="0"/>
              <w:jc w:val="center"/>
              <w:rPr>
                <w:b/>
                <w:sz w:val="24"/>
              </w:rPr>
            </w:pPr>
            <w:r w:rsidRPr="00C02B7E">
              <w:rPr>
                <w:b/>
                <w:sz w:val="24"/>
              </w:rPr>
              <w:t>申购金额（含申购费）</w:t>
            </w:r>
          </w:p>
        </w:tc>
        <w:tc>
          <w:tcPr>
            <w:tcW w:w="3260" w:type="dxa"/>
            <w:shd w:val="clear" w:color="auto" w:fill="FFFFFF"/>
            <w:vAlign w:val="center"/>
          </w:tcPr>
          <w:p w:rsidR="00EE0749" w:rsidRPr="00C02B7E" w:rsidRDefault="00EE0749" w:rsidP="00B37FC2">
            <w:pPr>
              <w:adjustRightInd w:val="0"/>
              <w:snapToGrid w:val="0"/>
              <w:jc w:val="center"/>
              <w:rPr>
                <w:b/>
                <w:sz w:val="24"/>
              </w:rPr>
            </w:pPr>
            <w:r w:rsidRPr="00C02B7E">
              <w:rPr>
                <w:rFonts w:hint="eastAsia"/>
                <w:b/>
                <w:sz w:val="24"/>
              </w:rPr>
              <w:t>特定</w:t>
            </w:r>
            <w:r w:rsidRPr="00C02B7E">
              <w:rPr>
                <w:b/>
                <w:sz w:val="24"/>
              </w:rPr>
              <w:t>申购费率</w:t>
            </w:r>
          </w:p>
        </w:tc>
      </w:tr>
      <w:tr w:rsidR="00EE0749" w:rsidRPr="00C02B7E" w:rsidTr="003D7C42">
        <w:trPr>
          <w:cantSplit/>
          <w:trHeight w:val="131"/>
        </w:trPr>
        <w:tc>
          <w:tcPr>
            <w:tcW w:w="3767" w:type="dxa"/>
          </w:tcPr>
          <w:p w:rsidR="00EE0749" w:rsidRPr="00C02B7E" w:rsidRDefault="00EE0749" w:rsidP="00B37FC2">
            <w:pPr>
              <w:adjustRightInd w:val="0"/>
              <w:snapToGrid w:val="0"/>
              <w:rPr>
                <w:sz w:val="24"/>
              </w:rPr>
            </w:pPr>
            <w:r w:rsidRPr="00C02B7E">
              <w:rPr>
                <w:sz w:val="24"/>
              </w:rPr>
              <w:t>50</w:t>
            </w:r>
            <w:r w:rsidRPr="00C02B7E">
              <w:rPr>
                <w:rFonts w:hAnsi="宋体"/>
                <w:sz w:val="24"/>
              </w:rPr>
              <w:t>万元以下</w:t>
            </w:r>
          </w:p>
        </w:tc>
        <w:tc>
          <w:tcPr>
            <w:tcW w:w="3260" w:type="dxa"/>
            <w:vAlign w:val="center"/>
          </w:tcPr>
          <w:p w:rsidR="00EE0749" w:rsidRPr="00C02B7E" w:rsidRDefault="00EE0749" w:rsidP="00B37FC2">
            <w:pPr>
              <w:adjustRightInd w:val="0"/>
              <w:snapToGrid w:val="0"/>
              <w:jc w:val="center"/>
              <w:rPr>
                <w:sz w:val="24"/>
              </w:rPr>
            </w:pPr>
            <w:r w:rsidRPr="00C02B7E">
              <w:rPr>
                <w:kern w:val="0"/>
                <w:sz w:val="24"/>
              </w:rPr>
              <w:t>0.32%</w:t>
            </w:r>
          </w:p>
        </w:tc>
      </w:tr>
      <w:tr w:rsidR="00EE0749" w:rsidRPr="00C02B7E" w:rsidTr="003D7C42">
        <w:trPr>
          <w:cantSplit/>
          <w:trHeight w:val="131"/>
        </w:trPr>
        <w:tc>
          <w:tcPr>
            <w:tcW w:w="3767" w:type="dxa"/>
          </w:tcPr>
          <w:p w:rsidR="00EE0749" w:rsidRPr="00C02B7E" w:rsidRDefault="00EE0749" w:rsidP="00B37FC2">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260" w:type="dxa"/>
            <w:vAlign w:val="center"/>
          </w:tcPr>
          <w:p w:rsidR="00EE0749" w:rsidRPr="00C02B7E" w:rsidRDefault="00EE0749" w:rsidP="00B37FC2">
            <w:pPr>
              <w:adjustRightInd w:val="0"/>
              <w:snapToGrid w:val="0"/>
              <w:jc w:val="center"/>
              <w:rPr>
                <w:sz w:val="24"/>
              </w:rPr>
            </w:pPr>
            <w:r w:rsidRPr="00C02B7E">
              <w:rPr>
                <w:kern w:val="0"/>
                <w:sz w:val="24"/>
              </w:rPr>
              <w:t>0.18%</w:t>
            </w:r>
          </w:p>
        </w:tc>
      </w:tr>
      <w:tr w:rsidR="00EE0749" w:rsidRPr="00C02B7E" w:rsidTr="003D7C42">
        <w:trPr>
          <w:cantSplit/>
          <w:trHeight w:val="131"/>
        </w:trPr>
        <w:tc>
          <w:tcPr>
            <w:tcW w:w="3767" w:type="dxa"/>
          </w:tcPr>
          <w:p w:rsidR="00EE0749" w:rsidRPr="00C02B7E" w:rsidRDefault="00EE0749" w:rsidP="00B37FC2">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3260" w:type="dxa"/>
            <w:vAlign w:val="center"/>
          </w:tcPr>
          <w:p w:rsidR="00EE0749" w:rsidRPr="00C02B7E" w:rsidRDefault="00EE0749" w:rsidP="00B37FC2">
            <w:pPr>
              <w:adjustRightInd w:val="0"/>
              <w:snapToGrid w:val="0"/>
              <w:jc w:val="center"/>
              <w:rPr>
                <w:sz w:val="24"/>
              </w:rPr>
            </w:pPr>
            <w:r w:rsidRPr="00C02B7E">
              <w:rPr>
                <w:kern w:val="0"/>
                <w:sz w:val="24"/>
              </w:rPr>
              <w:t>0.10%</w:t>
            </w:r>
          </w:p>
        </w:tc>
      </w:tr>
      <w:tr w:rsidR="00EE0749" w:rsidRPr="00C02B7E" w:rsidTr="003D7C42">
        <w:trPr>
          <w:cantSplit/>
          <w:trHeight w:val="131"/>
        </w:trPr>
        <w:tc>
          <w:tcPr>
            <w:tcW w:w="3767" w:type="dxa"/>
          </w:tcPr>
          <w:p w:rsidR="00EE0749" w:rsidRPr="00C02B7E" w:rsidRDefault="00EE0749" w:rsidP="00B37FC2">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260" w:type="dxa"/>
            <w:vAlign w:val="center"/>
          </w:tcPr>
          <w:p w:rsidR="00EE0749" w:rsidRPr="00C02B7E" w:rsidRDefault="00EE0749" w:rsidP="00B37FC2">
            <w:pPr>
              <w:adjustRightInd w:val="0"/>
              <w:snapToGrid w:val="0"/>
              <w:jc w:val="center"/>
              <w:rPr>
                <w:sz w:val="24"/>
              </w:rPr>
            </w:pPr>
            <w:r w:rsidRPr="00C02B7E">
              <w:rPr>
                <w:kern w:val="0"/>
                <w:sz w:val="24"/>
              </w:rPr>
              <w:t>0.06%</w:t>
            </w:r>
          </w:p>
        </w:tc>
      </w:tr>
      <w:tr w:rsidR="00EE0749" w:rsidRPr="00C02B7E" w:rsidTr="003D7C42">
        <w:trPr>
          <w:cantSplit/>
          <w:trHeight w:val="131"/>
        </w:trPr>
        <w:tc>
          <w:tcPr>
            <w:tcW w:w="3767" w:type="dxa"/>
          </w:tcPr>
          <w:p w:rsidR="00EE0749" w:rsidRPr="00C02B7E" w:rsidRDefault="00EE0749" w:rsidP="00B37FC2">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260" w:type="dxa"/>
          </w:tcPr>
          <w:p w:rsidR="00EE0749" w:rsidRPr="00C02B7E" w:rsidRDefault="00EE0749" w:rsidP="00B37FC2">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rsidR="00EE0749" w:rsidRDefault="00EE0749" w:rsidP="00EE0749">
      <w:pPr>
        <w:adjustRightInd w:val="0"/>
        <w:snapToGrid w:val="0"/>
        <w:spacing w:line="360" w:lineRule="auto"/>
        <w:ind w:firstLineChars="200" w:firstLine="482"/>
        <w:rPr>
          <w:b/>
          <w:bCs/>
          <w:sz w:val="24"/>
        </w:rPr>
      </w:pPr>
    </w:p>
    <w:p w:rsidR="00EE0749" w:rsidRPr="00EE0749" w:rsidRDefault="00EE0749" w:rsidP="00EE0749">
      <w:pPr>
        <w:adjustRightInd w:val="0"/>
        <w:snapToGrid w:val="0"/>
        <w:spacing w:line="360" w:lineRule="auto"/>
        <w:ind w:firstLineChars="200" w:firstLine="482"/>
        <w:rPr>
          <w:b/>
          <w:bCs/>
          <w:sz w:val="24"/>
        </w:rPr>
      </w:pPr>
      <w:r>
        <w:rPr>
          <w:rFonts w:hint="eastAsia"/>
          <w:b/>
          <w:bCs/>
          <w:sz w:val="24"/>
        </w:rPr>
        <w:t>（五</w:t>
      </w:r>
      <w:r>
        <w:rPr>
          <w:b/>
          <w:bCs/>
          <w:sz w:val="24"/>
        </w:rPr>
        <w:t>）</w:t>
      </w:r>
      <w:r w:rsidRPr="00EE0749">
        <w:rPr>
          <w:rFonts w:hint="eastAsia"/>
          <w:b/>
          <w:bCs/>
          <w:sz w:val="24"/>
        </w:rPr>
        <w:t>本基金的</w:t>
      </w:r>
      <w:r>
        <w:rPr>
          <w:rFonts w:hint="eastAsia"/>
          <w:b/>
          <w:bCs/>
          <w:sz w:val="24"/>
        </w:rPr>
        <w:t>赎回</w:t>
      </w:r>
      <w:r w:rsidRPr="00EE0749">
        <w:rPr>
          <w:b/>
          <w:bCs/>
          <w:sz w:val="24"/>
        </w:rPr>
        <w:t>费</w:t>
      </w:r>
    </w:p>
    <w:p w:rsidR="00EE0749" w:rsidRPr="005435A1" w:rsidRDefault="00EE0749" w:rsidP="00EE0749">
      <w:pPr>
        <w:widowControl/>
        <w:adjustRightInd w:val="0"/>
        <w:snapToGrid w:val="0"/>
        <w:spacing w:line="360" w:lineRule="auto"/>
        <w:ind w:firstLineChars="200" w:firstLine="480"/>
        <w:rPr>
          <w:sz w:val="24"/>
        </w:rPr>
      </w:pPr>
      <w:r w:rsidRPr="0081169D">
        <w:rPr>
          <w:rFonts w:hAnsi="宋体" w:hint="eastAsia"/>
          <w:sz w:val="24"/>
        </w:rPr>
        <w:t>基金份额持有人持有的每份基金份额最短持有期限为一年，</w:t>
      </w:r>
      <w:r w:rsidRPr="005435A1">
        <w:rPr>
          <w:rFonts w:hAnsi="宋体" w:hint="eastAsia"/>
          <w:sz w:val="24"/>
        </w:rPr>
        <w:t>本基金</w:t>
      </w:r>
      <w:r>
        <w:rPr>
          <w:rFonts w:hAnsi="宋体" w:hint="eastAsia"/>
          <w:sz w:val="24"/>
        </w:rPr>
        <w:t>不收取</w:t>
      </w:r>
      <w:r w:rsidRPr="005435A1">
        <w:rPr>
          <w:rFonts w:hAnsi="宋体"/>
          <w:sz w:val="24"/>
        </w:rPr>
        <w:t>赎回费用。</w:t>
      </w:r>
    </w:p>
    <w:p w:rsidR="00EE0749" w:rsidRPr="00EE0749" w:rsidRDefault="00EE0749" w:rsidP="00EE0749">
      <w:pPr>
        <w:widowControl/>
        <w:adjustRightInd w:val="0"/>
        <w:snapToGrid w:val="0"/>
        <w:spacing w:line="360" w:lineRule="auto"/>
        <w:ind w:firstLineChars="200" w:firstLine="482"/>
        <w:rPr>
          <w:rFonts w:hAnsi="宋体"/>
          <w:b/>
          <w:kern w:val="0"/>
          <w:sz w:val="24"/>
        </w:rPr>
      </w:pPr>
    </w:p>
    <w:p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三</w:t>
      </w:r>
      <w:r>
        <w:rPr>
          <w:rFonts w:hAnsi="宋体"/>
          <w:b/>
          <w:kern w:val="0"/>
          <w:sz w:val="24"/>
        </w:rPr>
        <w:t>、</w:t>
      </w:r>
      <w:r w:rsidRPr="00EE0749">
        <w:rPr>
          <w:rFonts w:hAnsi="宋体"/>
          <w:b/>
          <w:kern w:val="0"/>
          <w:sz w:val="24"/>
        </w:rPr>
        <w:t>基金份额持有人须了解并承受以下风险：</w:t>
      </w:r>
    </w:p>
    <w:p w:rsidR="00EE0749" w:rsidRPr="005435A1" w:rsidRDefault="00EE0749" w:rsidP="00EE0749">
      <w:pPr>
        <w:widowControl/>
        <w:adjustRightInd w:val="0"/>
        <w:snapToGrid w:val="0"/>
        <w:spacing w:line="360" w:lineRule="auto"/>
        <w:ind w:firstLineChars="200" w:firstLine="482"/>
        <w:outlineLvl w:val="1"/>
        <w:rPr>
          <w:b/>
          <w:kern w:val="0"/>
          <w:sz w:val="24"/>
        </w:rPr>
      </w:pPr>
      <w:r w:rsidRPr="005435A1">
        <w:rPr>
          <w:rFonts w:hAnsi="宋体"/>
          <w:b/>
          <w:kern w:val="0"/>
          <w:sz w:val="24"/>
        </w:rPr>
        <w:t>（</w:t>
      </w:r>
      <w:r>
        <w:rPr>
          <w:rFonts w:hAnsi="宋体" w:hint="eastAsia"/>
          <w:b/>
          <w:kern w:val="0"/>
          <w:sz w:val="24"/>
        </w:rPr>
        <w:t>一</w:t>
      </w:r>
      <w:r w:rsidRPr="005435A1">
        <w:rPr>
          <w:rFonts w:hAnsi="宋体"/>
          <w:b/>
          <w:kern w:val="0"/>
          <w:sz w:val="24"/>
        </w:rPr>
        <w:t>）本基金</w:t>
      </w:r>
      <w:r>
        <w:rPr>
          <w:rFonts w:hAnsi="宋体" w:hint="eastAsia"/>
          <w:b/>
          <w:kern w:val="0"/>
          <w:sz w:val="24"/>
        </w:rPr>
        <w:t>特有的</w:t>
      </w:r>
      <w:r w:rsidRPr="005435A1">
        <w:rPr>
          <w:rFonts w:hAnsi="宋体"/>
          <w:b/>
          <w:kern w:val="0"/>
          <w:sz w:val="24"/>
        </w:rPr>
        <w:t>风险</w:t>
      </w:r>
    </w:p>
    <w:p w:rsidR="00B879D2" w:rsidRPr="00B879D2" w:rsidRDefault="00B879D2" w:rsidP="00B879D2">
      <w:pPr>
        <w:widowControl/>
        <w:adjustRightInd w:val="0"/>
        <w:snapToGrid w:val="0"/>
        <w:spacing w:line="360" w:lineRule="auto"/>
        <w:ind w:firstLineChars="200" w:firstLine="480"/>
        <w:outlineLvl w:val="1"/>
        <w:rPr>
          <w:rFonts w:hAnsi="宋体"/>
          <w:kern w:val="0"/>
          <w:sz w:val="24"/>
        </w:rPr>
      </w:pPr>
      <w:r w:rsidRPr="00B879D2">
        <w:rPr>
          <w:rFonts w:hAnsi="宋体" w:hint="eastAsia"/>
          <w:kern w:val="0"/>
          <w:sz w:val="24"/>
        </w:rPr>
        <w:t>1</w:t>
      </w:r>
      <w:r w:rsidRPr="00B879D2">
        <w:rPr>
          <w:rFonts w:hAnsi="宋体" w:hint="eastAsia"/>
          <w:kern w:val="0"/>
          <w:sz w:val="24"/>
        </w:rPr>
        <w:t>、本基金为养老目标基金，致力于满足投资者的养老资金理财需求，但养老目标基金并不代表收益保障或其他任何形式的收益承诺。本基金非保本产品，存在投资者承担亏损的可能性。</w:t>
      </w:r>
    </w:p>
    <w:p w:rsidR="00B879D2" w:rsidRPr="00B879D2" w:rsidRDefault="00B879D2" w:rsidP="00B879D2">
      <w:pPr>
        <w:widowControl/>
        <w:adjustRightInd w:val="0"/>
        <w:snapToGrid w:val="0"/>
        <w:spacing w:line="360" w:lineRule="auto"/>
        <w:ind w:firstLineChars="200" w:firstLine="480"/>
        <w:outlineLvl w:val="1"/>
        <w:rPr>
          <w:rFonts w:hAnsi="宋体"/>
          <w:kern w:val="0"/>
          <w:sz w:val="24"/>
        </w:rPr>
      </w:pPr>
      <w:r w:rsidRPr="00B879D2">
        <w:rPr>
          <w:rFonts w:hAnsi="宋体" w:hint="eastAsia"/>
          <w:kern w:val="0"/>
          <w:sz w:val="24"/>
        </w:rPr>
        <w:t>2</w:t>
      </w:r>
      <w:r w:rsidRPr="00B879D2">
        <w:rPr>
          <w:rFonts w:hAnsi="宋体" w:hint="eastAsia"/>
          <w:kern w:val="0"/>
          <w:sz w:val="24"/>
        </w:rPr>
        <w:t>、本基金为混合型基金中基金，本基金投资于经中国证监会依法核准或注册的公开募集证券投资基金的基金份额的资产不低于本基金资产的</w:t>
      </w:r>
      <w:r w:rsidRPr="00B879D2">
        <w:rPr>
          <w:rFonts w:hAnsi="宋体" w:hint="eastAsia"/>
          <w:kern w:val="0"/>
          <w:sz w:val="24"/>
        </w:rPr>
        <w:t>80%</w:t>
      </w:r>
      <w:r w:rsidRPr="00B879D2">
        <w:rPr>
          <w:rFonts w:hAnsi="宋体" w:hint="eastAsia"/>
          <w:kern w:val="0"/>
          <w:sz w:val="24"/>
        </w:rPr>
        <w:t>，其中投</w:t>
      </w:r>
      <w:r w:rsidRPr="00B879D2">
        <w:rPr>
          <w:rFonts w:hAnsi="宋体" w:hint="eastAsia"/>
          <w:kern w:val="0"/>
          <w:sz w:val="24"/>
        </w:rPr>
        <w:lastRenderedPageBreak/>
        <w:t>资于股票、股票型基金（包括股票指数基金）、混合型基金和商品基金（含商品期货基金和黄金</w:t>
      </w:r>
      <w:r w:rsidRPr="00B879D2">
        <w:rPr>
          <w:rFonts w:hAnsi="宋体" w:hint="eastAsia"/>
          <w:kern w:val="0"/>
          <w:sz w:val="24"/>
        </w:rPr>
        <w:t>ETF</w:t>
      </w:r>
      <w:r w:rsidRPr="00B879D2">
        <w:rPr>
          <w:rFonts w:hAnsi="宋体" w:hint="eastAsia"/>
          <w:kern w:val="0"/>
          <w:sz w:val="24"/>
        </w:rPr>
        <w:t>）等品种的比例合计占基金资产的</w:t>
      </w:r>
      <w:r w:rsidRPr="00B879D2">
        <w:rPr>
          <w:rFonts w:hAnsi="宋体" w:hint="eastAsia"/>
          <w:kern w:val="0"/>
          <w:sz w:val="24"/>
        </w:rPr>
        <w:t>0%-30%</w:t>
      </w:r>
      <w:r w:rsidRPr="00B879D2">
        <w:rPr>
          <w:rFonts w:hAnsi="宋体" w:hint="eastAsia"/>
          <w:kern w:val="0"/>
          <w:sz w:val="24"/>
        </w:rPr>
        <w:t>。因此本基金所持有的基金的业绩表现、持有基金的基金管理人水平等因素将影响到本基金的基金业绩表现。</w:t>
      </w:r>
    </w:p>
    <w:p w:rsidR="00B879D2" w:rsidRPr="00B879D2" w:rsidRDefault="00B879D2" w:rsidP="00B879D2">
      <w:pPr>
        <w:widowControl/>
        <w:adjustRightInd w:val="0"/>
        <w:snapToGrid w:val="0"/>
        <w:spacing w:line="360" w:lineRule="auto"/>
        <w:ind w:firstLineChars="200" w:firstLine="480"/>
        <w:outlineLvl w:val="1"/>
        <w:rPr>
          <w:rFonts w:hAnsi="宋体"/>
          <w:kern w:val="0"/>
          <w:sz w:val="24"/>
        </w:rPr>
      </w:pPr>
      <w:r w:rsidRPr="00B879D2">
        <w:rPr>
          <w:rFonts w:hAnsi="宋体" w:hint="eastAsia"/>
          <w:kern w:val="0"/>
          <w:sz w:val="24"/>
        </w:rPr>
        <w:t>3</w:t>
      </w:r>
      <w:r w:rsidRPr="00B879D2">
        <w:rPr>
          <w:rFonts w:hAnsi="宋体" w:hint="eastAsia"/>
          <w:kern w:val="0"/>
          <w:sz w:val="24"/>
        </w:rPr>
        <w:t>、本基金定位为稳健型目标风险策略基金，本基金投资于权益类资产（包括股票、股票型基金、混合型基金）的战略配置</w:t>
      </w:r>
      <w:r w:rsidR="00604DE6">
        <w:rPr>
          <w:rFonts w:hAnsi="宋体" w:hint="eastAsia"/>
          <w:kern w:val="0"/>
          <w:sz w:val="24"/>
        </w:rPr>
        <w:t>目标</w:t>
      </w:r>
      <w:r w:rsidRPr="00B879D2">
        <w:rPr>
          <w:rFonts w:hAnsi="宋体" w:hint="eastAsia"/>
          <w:kern w:val="0"/>
          <w:sz w:val="24"/>
        </w:rPr>
        <w:t>比例为</w:t>
      </w:r>
      <w:r w:rsidRPr="00B879D2">
        <w:rPr>
          <w:rFonts w:hAnsi="宋体" w:hint="eastAsia"/>
          <w:kern w:val="0"/>
          <w:sz w:val="24"/>
        </w:rPr>
        <w:t>25%</w:t>
      </w:r>
      <w:r w:rsidRPr="00B879D2">
        <w:rPr>
          <w:rFonts w:hAnsi="宋体" w:hint="eastAsia"/>
          <w:kern w:val="0"/>
          <w:sz w:val="24"/>
        </w:rPr>
        <w:t>，投资比例为基金资产的</w:t>
      </w:r>
      <w:r w:rsidRPr="00B879D2">
        <w:rPr>
          <w:rFonts w:hAnsi="宋体" w:hint="eastAsia"/>
          <w:kern w:val="0"/>
          <w:sz w:val="24"/>
        </w:rPr>
        <w:t>15%-30%</w:t>
      </w:r>
      <w:r w:rsidRPr="00B879D2">
        <w:rPr>
          <w:rFonts w:hAnsi="宋体" w:hint="eastAsia"/>
          <w:kern w:val="0"/>
          <w:sz w:val="24"/>
        </w:rPr>
        <w:t>。其中混合型基金需符合下列两个条件之一：</w:t>
      </w:r>
      <w:r w:rsidRPr="00B879D2">
        <w:rPr>
          <w:rFonts w:hAnsi="宋体" w:hint="eastAsia"/>
          <w:kern w:val="0"/>
          <w:sz w:val="24"/>
        </w:rPr>
        <w:t>1</w:t>
      </w:r>
      <w:r w:rsidRPr="00B879D2">
        <w:rPr>
          <w:rFonts w:hAnsi="宋体" w:hint="eastAsia"/>
          <w:kern w:val="0"/>
          <w:sz w:val="24"/>
        </w:rPr>
        <w:t>、基金合同中明确约定股票投资占基金资产的比例为</w:t>
      </w:r>
      <w:r w:rsidRPr="00B879D2">
        <w:rPr>
          <w:rFonts w:hAnsi="宋体" w:hint="eastAsia"/>
          <w:kern w:val="0"/>
          <w:sz w:val="24"/>
        </w:rPr>
        <w:t>50%</w:t>
      </w:r>
      <w:r w:rsidRPr="00B879D2">
        <w:rPr>
          <w:rFonts w:hAnsi="宋体" w:hint="eastAsia"/>
          <w:kern w:val="0"/>
          <w:sz w:val="24"/>
        </w:rPr>
        <w:t>以上；</w:t>
      </w:r>
      <w:r w:rsidRPr="00B879D2">
        <w:rPr>
          <w:rFonts w:hAnsi="宋体" w:hint="eastAsia"/>
          <w:kern w:val="0"/>
          <w:sz w:val="24"/>
        </w:rPr>
        <w:t>2</w:t>
      </w:r>
      <w:r w:rsidRPr="00B879D2">
        <w:rPr>
          <w:rFonts w:hAnsi="宋体" w:hint="eastAsia"/>
          <w:kern w:val="0"/>
          <w:sz w:val="24"/>
        </w:rPr>
        <w:t>、最近</w:t>
      </w:r>
      <w:r w:rsidRPr="00B879D2">
        <w:rPr>
          <w:rFonts w:hAnsi="宋体" w:hint="eastAsia"/>
          <w:kern w:val="0"/>
          <w:sz w:val="24"/>
        </w:rPr>
        <w:t>4</w:t>
      </w:r>
      <w:r w:rsidRPr="00B879D2">
        <w:rPr>
          <w:rFonts w:hAnsi="宋体" w:hint="eastAsia"/>
          <w:kern w:val="0"/>
          <w:sz w:val="24"/>
        </w:rPr>
        <w:t>个季度披露的股票投资占基金资产的比例均在</w:t>
      </w:r>
      <w:r w:rsidRPr="00B879D2">
        <w:rPr>
          <w:rFonts w:hAnsi="宋体" w:hint="eastAsia"/>
          <w:kern w:val="0"/>
          <w:sz w:val="24"/>
        </w:rPr>
        <w:t>50%</w:t>
      </w:r>
      <w:r w:rsidRPr="00B879D2">
        <w:rPr>
          <w:rFonts w:hAnsi="宋体" w:hint="eastAsia"/>
          <w:kern w:val="0"/>
          <w:sz w:val="24"/>
        </w:rPr>
        <w:t>以上的混合型基金。本基金的预期风险与预期收益高于债券型基金、债券型基金中基金、货币市场基金和货币型基金中基金，低于股票型基金和股票型基金中基金。</w:t>
      </w:r>
    </w:p>
    <w:p w:rsidR="00B342E6" w:rsidRPr="00B879D2" w:rsidRDefault="00B879D2" w:rsidP="00B342E6">
      <w:pPr>
        <w:widowControl/>
        <w:adjustRightInd w:val="0"/>
        <w:snapToGrid w:val="0"/>
        <w:spacing w:line="360" w:lineRule="auto"/>
        <w:ind w:firstLineChars="200" w:firstLine="480"/>
        <w:rPr>
          <w:rFonts w:ascii="宋体" w:hAnsi="宋体"/>
          <w:kern w:val="0"/>
          <w:sz w:val="24"/>
        </w:rPr>
      </w:pPr>
      <w:r w:rsidRPr="00B879D2">
        <w:rPr>
          <w:rFonts w:hAnsi="宋体" w:hint="eastAsia"/>
          <w:kern w:val="0"/>
          <w:sz w:val="24"/>
        </w:rPr>
        <w:t>4</w:t>
      </w:r>
      <w:r w:rsidRPr="00B879D2">
        <w:rPr>
          <w:rFonts w:hAnsi="宋体" w:hint="eastAsia"/>
          <w:kern w:val="0"/>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B879D2">
        <w:rPr>
          <w:rFonts w:hAnsi="宋体" w:hint="eastAsia"/>
          <w:kern w:val="0"/>
          <w:sz w:val="24"/>
        </w:rPr>
        <w:t>T</w:t>
      </w:r>
      <w:r w:rsidRPr="00B879D2">
        <w:rPr>
          <w:rFonts w:hAnsi="宋体" w:hint="eastAsia"/>
          <w:kern w:val="0"/>
          <w:sz w:val="24"/>
        </w:rPr>
        <w:t>日提交的有效申购申请于</w:t>
      </w:r>
      <w:r w:rsidRPr="00B879D2">
        <w:rPr>
          <w:rFonts w:hAnsi="宋体" w:hint="eastAsia"/>
          <w:kern w:val="0"/>
          <w:sz w:val="24"/>
        </w:rPr>
        <w:t>T+3</w:t>
      </w:r>
      <w:r w:rsidRPr="00B879D2">
        <w:rPr>
          <w:rFonts w:hAnsi="宋体" w:hint="eastAsia"/>
          <w:kern w:val="0"/>
          <w:sz w:val="24"/>
        </w:rPr>
        <w:t>日确认）至一年后的年度对日的前一日。</w:t>
      </w:r>
      <w:r w:rsidR="00B342E6" w:rsidRPr="00B879D2">
        <w:rPr>
          <w:rFonts w:ascii="宋体" w:hAnsi="宋体" w:hint="eastAsia"/>
          <w:kern w:val="0"/>
          <w:sz w:val="24"/>
        </w:rPr>
        <w:t>因此，对于基金份额持有人而言，存在投资本基金后一年内无法赎回的风险。</w:t>
      </w:r>
    </w:p>
    <w:p w:rsidR="00EE0749" w:rsidRDefault="00B879D2" w:rsidP="00EE0749">
      <w:pPr>
        <w:snapToGrid w:val="0"/>
        <w:spacing w:line="360" w:lineRule="auto"/>
        <w:ind w:firstLineChars="200" w:firstLine="480"/>
        <w:rPr>
          <w:rFonts w:hAnsi="宋体"/>
          <w:sz w:val="24"/>
        </w:rPr>
      </w:pPr>
      <w:r>
        <w:rPr>
          <w:rFonts w:hAnsi="宋体"/>
          <w:sz w:val="24"/>
        </w:rPr>
        <w:t>5</w:t>
      </w:r>
      <w:r w:rsidR="00EE0749">
        <w:rPr>
          <w:rFonts w:hAnsi="宋体" w:hint="eastAsia"/>
          <w:sz w:val="24"/>
        </w:rPr>
        <w:t>、</w:t>
      </w:r>
      <w:r w:rsidR="00EE0749" w:rsidRPr="003E21EE">
        <w:rPr>
          <w:rFonts w:hAnsi="宋体" w:hint="eastAsia"/>
          <w:kern w:val="0"/>
          <w:sz w:val="24"/>
        </w:rPr>
        <w:t>本基金为基金中基金，</w:t>
      </w:r>
      <w:r w:rsidR="00EE0749">
        <w:rPr>
          <w:rFonts w:hAnsi="宋体" w:hint="eastAsia"/>
          <w:kern w:val="0"/>
          <w:sz w:val="24"/>
        </w:rPr>
        <w:t>由于</w:t>
      </w:r>
      <w:r w:rsidR="00EE0749">
        <w:rPr>
          <w:rFonts w:hAnsi="宋体" w:hint="eastAsia"/>
          <w:sz w:val="24"/>
        </w:rPr>
        <w:t>本基金所</w:t>
      </w:r>
      <w:r w:rsidR="00EE0749" w:rsidRPr="00873C01">
        <w:rPr>
          <w:rFonts w:hAnsi="宋体" w:hint="eastAsia"/>
          <w:sz w:val="24"/>
        </w:rPr>
        <w:t>持有的</w:t>
      </w:r>
      <w:r w:rsidR="00EE0749">
        <w:rPr>
          <w:rFonts w:hAnsi="宋体" w:hint="eastAsia"/>
          <w:sz w:val="24"/>
        </w:rPr>
        <w:t>相当比例</w:t>
      </w:r>
      <w:r w:rsidR="00EE0749">
        <w:rPr>
          <w:rFonts w:hAnsi="宋体"/>
          <w:sz w:val="24"/>
        </w:rPr>
        <w:t>的</w:t>
      </w:r>
      <w:r w:rsidR="00EE0749" w:rsidRPr="00873C01">
        <w:rPr>
          <w:rFonts w:hAnsi="宋体" w:hint="eastAsia"/>
          <w:sz w:val="24"/>
        </w:rPr>
        <w:t>基金暂停估值，导致基金管理人无法计算当日本基金资产净值</w:t>
      </w:r>
      <w:r w:rsidR="00EE0749">
        <w:rPr>
          <w:rFonts w:hAnsi="宋体" w:hint="eastAsia"/>
          <w:sz w:val="24"/>
        </w:rPr>
        <w:t>；或者由于本基金</w:t>
      </w:r>
      <w:r w:rsidR="00EE0749">
        <w:rPr>
          <w:rFonts w:hAnsi="宋体"/>
          <w:sz w:val="24"/>
        </w:rPr>
        <w:t>持有的相当比例的基金份额</w:t>
      </w:r>
      <w:r w:rsidR="00EE0749">
        <w:rPr>
          <w:rFonts w:hAnsi="宋体" w:hint="eastAsia"/>
          <w:sz w:val="24"/>
        </w:rPr>
        <w:t>或</w:t>
      </w:r>
      <w:r w:rsidR="00EE0749" w:rsidRPr="00873C01">
        <w:rPr>
          <w:rFonts w:hAnsi="宋体" w:hint="eastAsia"/>
          <w:sz w:val="24"/>
        </w:rPr>
        <w:t>适合本基金投资的基金份额拒绝或暂停申购、暂停上市或二级市场交易停牌、基金管理人无法找到其他合适的可替代的基金品种，或其他可能对本基金业绩产生负面影响的情形，本基金可能</w:t>
      </w:r>
      <w:r w:rsidR="00EE0749">
        <w:rPr>
          <w:rFonts w:hAnsi="宋体" w:hint="eastAsia"/>
          <w:sz w:val="24"/>
        </w:rPr>
        <w:t>拒绝或</w:t>
      </w:r>
      <w:r w:rsidR="00EE0749" w:rsidRPr="00873C01">
        <w:rPr>
          <w:rFonts w:hAnsi="宋体" w:hint="eastAsia"/>
          <w:sz w:val="24"/>
        </w:rPr>
        <w:t>暂停申购业务。</w:t>
      </w:r>
    </w:p>
    <w:p w:rsidR="00EE0749" w:rsidRPr="00873C01" w:rsidRDefault="00B879D2" w:rsidP="00EE0749">
      <w:pPr>
        <w:snapToGrid w:val="0"/>
        <w:spacing w:line="360" w:lineRule="auto"/>
        <w:ind w:firstLineChars="200" w:firstLine="480"/>
        <w:rPr>
          <w:rFonts w:hAnsi="宋体"/>
          <w:sz w:val="24"/>
        </w:rPr>
      </w:pPr>
      <w:r>
        <w:rPr>
          <w:rFonts w:hAnsi="宋体"/>
          <w:sz w:val="24"/>
        </w:rPr>
        <w:t>6</w:t>
      </w:r>
      <w:r w:rsidR="00EE0749">
        <w:rPr>
          <w:rFonts w:hAnsi="宋体" w:hint="eastAsia"/>
          <w:sz w:val="24"/>
        </w:rPr>
        <w:t>、</w:t>
      </w:r>
      <w:r w:rsidR="00EE0749" w:rsidRPr="003E21EE">
        <w:rPr>
          <w:rFonts w:hAnsi="宋体" w:hint="eastAsia"/>
          <w:kern w:val="0"/>
          <w:sz w:val="24"/>
        </w:rPr>
        <w:t>本基金为基金中基金，</w:t>
      </w:r>
      <w:r w:rsidR="00EE0749">
        <w:rPr>
          <w:rFonts w:hAnsi="宋体" w:hint="eastAsia"/>
          <w:kern w:val="0"/>
          <w:sz w:val="24"/>
        </w:rPr>
        <w:t>由于</w:t>
      </w:r>
      <w:r w:rsidR="00EE0749" w:rsidRPr="00345C80">
        <w:rPr>
          <w:rFonts w:hAnsi="宋体" w:hint="eastAsia"/>
          <w:sz w:val="24"/>
        </w:rPr>
        <w:t>本基金所持有的相当比例的基金暂停估值，导致基金管理人无法计算当日本基金资产净值；</w:t>
      </w:r>
      <w:r w:rsidR="00EE0749">
        <w:rPr>
          <w:rFonts w:hAnsi="宋体" w:hint="eastAsia"/>
          <w:sz w:val="24"/>
        </w:rPr>
        <w:t>或者由于</w:t>
      </w:r>
      <w:r w:rsidR="00EE0749" w:rsidRPr="00345C80">
        <w:rPr>
          <w:rFonts w:hAnsi="宋体" w:hint="eastAsia"/>
          <w:sz w:val="24"/>
        </w:rPr>
        <w:t>本基金持有的相当比例的基金份额拒绝或暂停赎回、暂停上市或二级市场交易停牌、延期办理赎回、延期支付赎回款项，或其他可能对本基金业绩产生负面影响的情形</w:t>
      </w:r>
      <w:r w:rsidR="00EE0749">
        <w:rPr>
          <w:rFonts w:hAnsi="宋体" w:hint="eastAsia"/>
          <w:sz w:val="24"/>
        </w:rPr>
        <w:t>，本基金可能</w:t>
      </w:r>
      <w:r w:rsidR="00EE0749" w:rsidRPr="00345C80">
        <w:rPr>
          <w:rFonts w:hAnsi="宋体" w:hint="eastAsia"/>
          <w:sz w:val="24"/>
        </w:rPr>
        <w:t>暂停赎回或延缓支付赎回款项。</w:t>
      </w:r>
    </w:p>
    <w:p w:rsidR="00EE0749" w:rsidRDefault="00B879D2" w:rsidP="00EE0749">
      <w:pPr>
        <w:snapToGrid w:val="0"/>
        <w:spacing w:line="360" w:lineRule="auto"/>
        <w:ind w:firstLineChars="200" w:firstLine="480"/>
        <w:rPr>
          <w:bCs/>
          <w:sz w:val="24"/>
        </w:rPr>
      </w:pPr>
      <w:r>
        <w:rPr>
          <w:rFonts w:hAnsi="宋体"/>
          <w:sz w:val="24"/>
        </w:rPr>
        <w:t>7</w:t>
      </w:r>
      <w:r w:rsidR="00EE0749">
        <w:rPr>
          <w:rFonts w:hAnsi="宋体" w:hint="eastAsia"/>
          <w:sz w:val="24"/>
        </w:rPr>
        <w:t>、</w:t>
      </w:r>
      <w:r w:rsidR="00EE0749" w:rsidRPr="007A216E">
        <w:rPr>
          <w:rFonts w:hAnsi="宋体" w:hint="eastAsia"/>
          <w:sz w:val="24"/>
        </w:rPr>
        <w:t>本基金为基金中基金，</w:t>
      </w:r>
      <w:r w:rsidR="00EE0749">
        <w:rPr>
          <w:rFonts w:hAnsi="宋体" w:hint="eastAsia"/>
          <w:sz w:val="24"/>
        </w:rPr>
        <w:t>本</w:t>
      </w:r>
      <w:r w:rsidR="00EE0749" w:rsidRPr="00833F73">
        <w:rPr>
          <w:rFonts w:hint="eastAsia"/>
          <w:bCs/>
          <w:sz w:val="24"/>
        </w:rPr>
        <w:t>基金管理人运用本基金的基金财产申购自身管理的基金的（</w:t>
      </w:r>
      <w:r w:rsidR="00EE0749" w:rsidRPr="00833F73">
        <w:rPr>
          <w:rFonts w:hint="eastAsia"/>
          <w:bCs/>
          <w:sz w:val="24"/>
        </w:rPr>
        <w:t>ETF</w:t>
      </w:r>
      <w:r w:rsidR="00EE0749" w:rsidRPr="00833F73">
        <w:rPr>
          <w:rFonts w:hint="eastAsia"/>
          <w:bCs/>
          <w:sz w:val="24"/>
        </w:rPr>
        <w:t>除外），应当通过直销渠道申购且不得收取申购费、赎回费（按</w:t>
      </w:r>
      <w:r w:rsidR="00EE0749" w:rsidRPr="00833F73">
        <w:rPr>
          <w:rFonts w:hint="eastAsia"/>
          <w:bCs/>
          <w:sz w:val="24"/>
        </w:rPr>
        <w:lastRenderedPageBreak/>
        <w:t>照相关法规、基金招募说明书约定应当收取，并计入基金财产的赎回费用除外）、销售服务费（如有）等销售费用。</w:t>
      </w:r>
      <w:r w:rsidR="00EE0749">
        <w:rPr>
          <w:rFonts w:hint="eastAsia"/>
          <w:bCs/>
          <w:sz w:val="24"/>
        </w:rPr>
        <w:t>但</w:t>
      </w:r>
      <w:r w:rsidR="00EE0749">
        <w:rPr>
          <w:bCs/>
          <w:sz w:val="24"/>
        </w:rPr>
        <w:t>如果</w:t>
      </w:r>
      <w:r w:rsidR="00EE0749">
        <w:rPr>
          <w:rFonts w:hAnsi="宋体" w:hint="eastAsia"/>
          <w:sz w:val="24"/>
        </w:rPr>
        <w:t>本</w:t>
      </w:r>
      <w:r w:rsidR="00EE0749" w:rsidRPr="00833F73">
        <w:rPr>
          <w:rFonts w:hint="eastAsia"/>
          <w:bCs/>
          <w:sz w:val="24"/>
        </w:rPr>
        <w:t>基金管理人运用本基金的基金财产申购</w:t>
      </w:r>
      <w:r w:rsidR="00EE0749">
        <w:rPr>
          <w:rFonts w:hint="eastAsia"/>
          <w:bCs/>
          <w:sz w:val="24"/>
        </w:rPr>
        <w:t>非</w:t>
      </w:r>
      <w:r w:rsidR="00EE0749" w:rsidRPr="00833F73">
        <w:rPr>
          <w:rFonts w:hint="eastAsia"/>
          <w:bCs/>
          <w:sz w:val="24"/>
        </w:rPr>
        <w:t>自身管理的基金的</w:t>
      </w:r>
      <w:r w:rsidR="00EE0749">
        <w:rPr>
          <w:rFonts w:hint="eastAsia"/>
          <w:bCs/>
          <w:sz w:val="24"/>
        </w:rPr>
        <w:t>，将</w:t>
      </w:r>
      <w:r w:rsidR="00EE0749">
        <w:rPr>
          <w:bCs/>
          <w:sz w:val="24"/>
        </w:rPr>
        <w:t>会</w:t>
      </w:r>
      <w:r w:rsidR="00EE0749">
        <w:rPr>
          <w:rFonts w:hint="eastAsia"/>
          <w:bCs/>
          <w:sz w:val="24"/>
        </w:rPr>
        <w:t>承担本基金以及本基金所投资或持有基金份额</w:t>
      </w:r>
      <w:r w:rsidR="00EE0749">
        <w:rPr>
          <w:bCs/>
          <w:sz w:val="24"/>
        </w:rPr>
        <w:t>的相关费用</w:t>
      </w:r>
      <w:r w:rsidR="00EE0749" w:rsidRPr="000B7FFB">
        <w:rPr>
          <w:bCs/>
          <w:sz w:val="24"/>
        </w:rPr>
        <w:t>，</w:t>
      </w:r>
      <w:r w:rsidR="00EE0749" w:rsidRPr="000B7FFB">
        <w:rPr>
          <w:rFonts w:hint="eastAsia"/>
          <w:bCs/>
          <w:sz w:val="24"/>
        </w:rPr>
        <w:t>本</w:t>
      </w:r>
      <w:r w:rsidR="00EE0749" w:rsidRPr="000B7FFB">
        <w:rPr>
          <w:bCs/>
          <w:sz w:val="24"/>
        </w:rPr>
        <w:t>基金</w:t>
      </w:r>
      <w:r w:rsidR="00EE0749" w:rsidRPr="000B7FFB">
        <w:rPr>
          <w:rFonts w:hint="eastAsia"/>
          <w:bCs/>
          <w:sz w:val="24"/>
        </w:rPr>
        <w:t>对</w:t>
      </w:r>
      <w:r w:rsidR="00EE0749">
        <w:rPr>
          <w:rFonts w:hint="eastAsia"/>
          <w:bCs/>
          <w:sz w:val="24"/>
        </w:rPr>
        <w:t>上述</w:t>
      </w:r>
      <w:r w:rsidR="00EE0749" w:rsidRPr="000B7FFB">
        <w:rPr>
          <w:bCs/>
          <w:sz w:val="24"/>
        </w:rPr>
        <w:t>费用</w:t>
      </w:r>
      <w:r w:rsidR="00EE0749" w:rsidRPr="000B7FFB">
        <w:rPr>
          <w:rFonts w:hint="eastAsia"/>
          <w:bCs/>
          <w:sz w:val="24"/>
        </w:rPr>
        <w:t>的</w:t>
      </w:r>
      <w:r w:rsidR="00EE0749" w:rsidRPr="000B7FFB">
        <w:rPr>
          <w:bCs/>
          <w:sz w:val="24"/>
        </w:rPr>
        <w:t>支付</w:t>
      </w:r>
      <w:r w:rsidR="00EE0749">
        <w:rPr>
          <w:rFonts w:hint="eastAsia"/>
          <w:bCs/>
          <w:sz w:val="24"/>
        </w:rPr>
        <w:t>将</w:t>
      </w:r>
      <w:r w:rsidR="00EE0749" w:rsidRPr="000B7FFB">
        <w:rPr>
          <w:rFonts w:hint="eastAsia"/>
          <w:bCs/>
          <w:sz w:val="24"/>
        </w:rPr>
        <w:t>对</w:t>
      </w:r>
      <w:r w:rsidR="00EE0749" w:rsidRPr="000B7FFB">
        <w:rPr>
          <w:bCs/>
          <w:sz w:val="24"/>
        </w:rPr>
        <w:t>收益水平</w:t>
      </w:r>
      <w:r w:rsidR="00EE0749" w:rsidRPr="000B7FFB">
        <w:rPr>
          <w:rFonts w:hint="eastAsia"/>
          <w:bCs/>
          <w:sz w:val="24"/>
        </w:rPr>
        <w:t>造成</w:t>
      </w:r>
      <w:r w:rsidR="00EE0749" w:rsidRPr="000B7FFB">
        <w:rPr>
          <w:bCs/>
          <w:sz w:val="24"/>
        </w:rPr>
        <w:t>影响</w:t>
      </w:r>
      <w:r w:rsidR="00EE0749">
        <w:rPr>
          <w:bCs/>
          <w:sz w:val="24"/>
        </w:rPr>
        <w:t>。</w:t>
      </w:r>
    </w:p>
    <w:p w:rsidR="00EE0749" w:rsidRDefault="00B879D2" w:rsidP="00EE0749">
      <w:pPr>
        <w:widowControl/>
        <w:adjustRightInd w:val="0"/>
        <w:snapToGrid w:val="0"/>
        <w:spacing w:line="360" w:lineRule="auto"/>
        <w:ind w:firstLineChars="200" w:firstLine="480"/>
        <w:rPr>
          <w:rFonts w:hAnsi="宋体"/>
          <w:kern w:val="0"/>
          <w:sz w:val="24"/>
        </w:rPr>
      </w:pPr>
      <w:r>
        <w:rPr>
          <w:rFonts w:hAnsi="宋体"/>
          <w:kern w:val="0"/>
          <w:sz w:val="24"/>
        </w:rPr>
        <w:t>8</w:t>
      </w:r>
      <w:r w:rsidR="00EE0749" w:rsidRPr="00873C01">
        <w:rPr>
          <w:rFonts w:hAnsi="宋体" w:hint="eastAsia"/>
          <w:kern w:val="0"/>
          <w:sz w:val="24"/>
        </w:rPr>
        <w:t>、本基金为基金中基金，本基金</w:t>
      </w:r>
      <w:r w:rsidR="00EE0749">
        <w:rPr>
          <w:rFonts w:hAnsi="宋体" w:hint="eastAsia"/>
          <w:kern w:val="0"/>
          <w:sz w:val="24"/>
        </w:rPr>
        <w:t>可能</w:t>
      </w:r>
      <w:r w:rsidR="00EE0749" w:rsidRPr="00873C01">
        <w:rPr>
          <w:rFonts w:hAnsi="宋体" w:hint="eastAsia"/>
          <w:kern w:val="0"/>
          <w:sz w:val="24"/>
        </w:rPr>
        <w:t>投资于封闭运作基金、定期开放基金等流通受限基金</w:t>
      </w:r>
      <w:r w:rsidR="00EE0749">
        <w:rPr>
          <w:rFonts w:hAnsi="宋体" w:hint="eastAsia"/>
          <w:kern w:val="0"/>
          <w:sz w:val="24"/>
        </w:rPr>
        <w:t>。本</w:t>
      </w:r>
      <w:r w:rsidR="00EE0749">
        <w:rPr>
          <w:rFonts w:hAnsi="宋体"/>
          <w:kern w:val="0"/>
          <w:sz w:val="24"/>
        </w:rPr>
        <w:t>基金</w:t>
      </w:r>
      <w:r w:rsidR="00EE0749" w:rsidRPr="00150B74">
        <w:rPr>
          <w:rFonts w:hAnsi="宋体" w:hint="eastAsia"/>
          <w:kern w:val="0"/>
          <w:sz w:val="24"/>
        </w:rPr>
        <w:t>投资流动受限</w:t>
      </w:r>
      <w:r w:rsidR="00EE0749">
        <w:rPr>
          <w:rFonts w:hAnsi="宋体" w:hint="eastAsia"/>
          <w:kern w:val="0"/>
          <w:sz w:val="24"/>
        </w:rPr>
        <w:t>基金</w:t>
      </w:r>
      <w:r w:rsidR="00EE0749" w:rsidRPr="00150B74">
        <w:rPr>
          <w:rFonts w:hAnsi="宋体" w:hint="eastAsia"/>
          <w:kern w:val="0"/>
          <w:sz w:val="24"/>
        </w:rPr>
        <w:t>将面临</w:t>
      </w:r>
      <w:r w:rsidR="00EE0749">
        <w:rPr>
          <w:rFonts w:hAnsi="宋体" w:hint="eastAsia"/>
          <w:kern w:val="0"/>
          <w:sz w:val="24"/>
        </w:rPr>
        <w:t>所投资</w:t>
      </w:r>
      <w:r w:rsidR="00EE0749">
        <w:rPr>
          <w:rFonts w:hAnsi="宋体"/>
          <w:kern w:val="0"/>
          <w:sz w:val="24"/>
        </w:rPr>
        <w:t>基金</w:t>
      </w:r>
      <w:r w:rsidR="00EE0749">
        <w:rPr>
          <w:rFonts w:hAnsi="宋体" w:hint="eastAsia"/>
          <w:kern w:val="0"/>
          <w:sz w:val="24"/>
        </w:rPr>
        <w:t>的流动性风险，</w:t>
      </w:r>
      <w:r w:rsidR="00EE0749" w:rsidRPr="000B7FFB">
        <w:rPr>
          <w:rFonts w:hAnsi="宋体" w:hint="eastAsia"/>
          <w:kern w:val="0"/>
          <w:sz w:val="24"/>
        </w:rPr>
        <w:t>因此可能在本基金需要变现资产时，受流动性所限，本基金无法卖出所持有的流通受限</w:t>
      </w:r>
      <w:r w:rsidR="00EE0749">
        <w:rPr>
          <w:rFonts w:hAnsi="宋体" w:hint="eastAsia"/>
          <w:kern w:val="0"/>
          <w:sz w:val="24"/>
        </w:rPr>
        <w:t>基金</w:t>
      </w:r>
      <w:r w:rsidR="00EE0749" w:rsidRPr="000B7FFB">
        <w:rPr>
          <w:rFonts w:hAnsi="宋体" w:hint="eastAsia"/>
          <w:kern w:val="0"/>
          <w:sz w:val="24"/>
        </w:rPr>
        <w:t>，由此可能给基金净值带来不利影响或损失。</w:t>
      </w:r>
    </w:p>
    <w:p w:rsidR="00EE0749" w:rsidRPr="005435A1" w:rsidRDefault="00EE0749" w:rsidP="00EE0749">
      <w:pPr>
        <w:widowControl/>
        <w:adjustRightInd w:val="0"/>
        <w:snapToGrid w:val="0"/>
        <w:spacing w:line="360" w:lineRule="auto"/>
        <w:ind w:firstLineChars="200" w:firstLine="482"/>
        <w:outlineLvl w:val="1"/>
        <w:rPr>
          <w:b/>
          <w:kern w:val="0"/>
          <w:sz w:val="24"/>
        </w:rPr>
      </w:pPr>
      <w:r w:rsidRPr="005435A1">
        <w:rPr>
          <w:rFonts w:hAnsi="宋体"/>
          <w:b/>
          <w:kern w:val="0"/>
          <w:sz w:val="24"/>
        </w:rPr>
        <w:t>（</w:t>
      </w:r>
      <w:r>
        <w:rPr>
          <w:rFonts w:hAnsi="宋体" w:hint="eastAsia"/>
          <w:b/>
          <w:kern w:val="0"/>
          <w:sz w:val="24"/>
        </w:rPr>
        <w:t>二</w:t>
      </w:r>
      <w:r w:rsidRPr="005435A1">
        <w:rPr>
          <w:rFonts w:hAnsi="宋体"/>
          <w:b/>
          <w:kern w:val="0"/>
          <w:sz w:val="24"/>
        </w:rPr>
        <w:t>）市场风险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rsidR="00EE0749" w:rsidRPr="005435A1" w:rsidRDefault="00EE0749" w:rsidP="00EE0749">
      <w:pPr>
        <w:widowControl/>
        <w:adjustRightInd w:val="0"/>
        <w:snapToGrid w:val="0"/>
        <w:spacing w:line="360" w:lineRule="auto"/>
        <w:ind w:firstLineChars="200" w:firstLine="482"/>
        <w:outlineLvl w:val="1"/>
        <w:rPr>
          <w:b/>
          <w:kern w:val="0"/>
          <w:sz w:val="24"/>
        </w:rPr>
      </w:pPr>
      <w:r w:rsidRPr="005435A1">
        <w:rPr>
          <w:rFonts w:hAnsi="宋体"/>
          <w:b/>
          <w:kern w:val="0"/>
          <w:sz w:val="24"/>
        </w:rPr>
        <w:t>（</w:t>
      </w:r>
      <w:r>
        <w:rPr>
          <w:rFonts w:hAnsi="宋体" w:hint="eastAsia"/>
          <w:b/>
          <w:kern w:val="0"/>
          <w:sz w:val="24"/>
        </w:rPr>
        <w:t>三</w:t>
      </w:r>
      <w:r w:rsidRPr="005435A1">
        <w:rPr>
          <w:rFonts w:hAnsi="宋体"/>
          <w:b/>
          <w:kern w:val="0"/>
          <w:sz w:val="24"/>
        </w:rPr>
        <w:t>）管理风险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w:t>
      </w:r>
      <w:r w:rsidRPr="005435A1">
        <w:rPr>
          <w:rFonts w:hAnsi="宋体"/>
          <w:kern w:val="0"/>
          <w:sz w:val="24"/>
        </w:rPr>
        <w:lastRenderedPageBreak/>
        <w:t>平。因此，本基金的收益水平与基金管理人的管理水平、管理手段和管理技术等相关性较大，本基金可能因为基金管理人的因素而影响基金收益水平。</w:t>
      </w:r>
    </w:p>
    <w:p w:rsidR="00EE0749" w:rsidRPr="005435A1" w:rsidRDefault="00EE0749" w:rsidP="00EE0749">
      <w:pPr>
        <w:widowControl/>
        <w:adjustRightInd w:val="0"/>
        <w:snapToGrid w:val="0"/>
        <w:spacing w:line="360" w:lineRule="auto"/>
        <w:ind w:firstLineChars="200" w:firstLine="482"/>
        <w:outlineLvl w:val="1"/>
        <w:rPr>
          <w:b/>
          <w:kern w:val="0"/>
          <w:sz w:val="24"/>
        </w:rPr>
      </w:pPr>
      <w:r w:rsidRPr="005435A1">
        <w:rPr>
          <w:rFonts w:hAnsi="宋体"/>
          <w:b/>
          <w:kern w:val="0"/>
          <w:sz w:val="24"/>
        </w:rPr>
        <w:t>（</w:t>
      </w:r>
      <w:r>
        <w:rPr>
          <w:rFonts w:hAnsi="宋体" w:hint="eastAsia"/>
          <w:b/>
          <w:kern w:val="0"/>
          <w:sz w:val="24"/>
        </w:rPr>
        <w:t>四</w:t>
      </w:r>
      <w:r w:rsidRPr="005435A1">
        <w:rPr>
          <w:rFonts w:hAnsi="宋体"/>
          <w:b/>
          <w:kern w:val="0"/>
          <w:sz w:val="24"/>
        </w:rPr>
        <w:t>）流动性风险</w:t>
      </w:r>
    </w:p>
    <w:p w:rsidR="00EE0749" w:rsidRDefault="00EE0749" w:rsidP="00EE0749">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w:t>
      </w:r>
      <w:r w:rsidRPr="00C72C4B">
        <w:rPr>
          <w:rFonts w:hAnsi="宋体" w:hint="eastAsia"/>
          <w:kern w:val="0"/>
          <w:sz w:val="24"/>
        </w:rPr>
        <w:t>基金份额持有人持有的每份基金份额最短持有期限为一年，</w:t>
      </w:r>
      <w:r>
        <w:rPr>
          <w:rFonts w:hAnsi="宋体" w:hint="eastAsia"/>
          <w:kern w:val="0"/>
          <w:sz w:val="24"/>
        </w:rPr>
        <w:t>对于满足持有期限的投资人，</w:t>
      </w:r>
      <w:r w:rsidRPr="005435A1">
        <w:rPr>
          <w:rFonts w:hAnsi="宋体"/>
          <w:kern w:val="0"/>
          <w:sz w:val="24"/>
        </w:rPr>
        <w:t>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w:t>
      </w:r>
      <w:r w:rsidRPr="00EA1BE8">
        <w:rPr>
          <w:rFonts w:hAnsi="宋体" w:hint="eastAsia"/>
          <w:kern w:val="0"/>
          <w:sz w:val="24"/>
        </w:rPr>
        <w:t>本基金的申购、赎回安排</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本基金采用开放方式运作，基金管理人在开放日办理基金份额的申购和赎回，</w:t>
      </w:r>
      <w:r w:rsidRPr="000D1866">
        <w:rPr>
          <w:rFonts w:hAnsi="宋体" w:hint="eastAsia"/>
          <w:kern w:val="0"/>
          <w:sz w:val="24"/>
        </w:rPr>
        <w:t>但对于每份基金份额，基金份额持有人仅可在该份额最短持有期限届满后申请赎回，</w:t>
      </w:r>
      <w:r w:rsidRPr="00EA1BE8">
        <w:rPr>
          <w:rFonts w:hAnsi="宋体" w:hint="eastAsia"/>
          <w:kern w:val="0"/>
          <w:sz w:val="24"/>
        </w:rPr>
        <w:t>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EA1BE8">
        <w:rPr>
          <w:rFonts w:hAnsi="宋体" w:hint="eastAsia"/>
          <w:kern w:val="0"/>
          <w:sz w:val="24"/>
        </w:rPr>
        <w:t>3</w:t>
      </w:r>
      <w:r w:rsidRPr="00EA1BE8">
        <w:rPr>
          <w:rFonts w:hAnsi="宋体" w:hint="eastAsia"/>
          <w:kern w:val="0"/>
          <w:sz w:val="24"/>
        </w:rPr>
        <w:t>个月开始办理申购业务，具体业务办理时间在申购开始公告中规定。</w:t>
      </w:r>
      <w:r w:rsidRPr="00656321">
        <w:rPr>
          <w:rFonts w:hAnsi="宋体" w:hint="eastAsia"/>
          <w:kern w:val="0"/>
          <w:sz w:val="24"/>
        </w:rPr>
        <w:t>基金管理人自基金合同生效之日起至一年后的年度对日（含该日）开始办理赎回，具体业务办理时间在赎回开始公告中规定。</w:t>
      </w:r>
    </w:p>
    <w:p w:rsidR="00B879D2" w:rsidRDefault="00B879D2" w:rsidP="00EE0749">
      <w:pPr>
        <w:widowControl/>
        <w:adjustRightInd w:val="0"/>
        <w:snapToGrid w:val="0"/>
        <w:spacing w:line="360" w:lineRule="auto"/>
        <w:ind w:firstLineChars="200" w:firstLine="480"/>
        <w:rPr>
          <w:rFonts w:hAnsi="宋体"/>
          <w:kern w:val="0"/>
          <w:sz w:val="24"/>
        </w:rPr>
      </w:pPr>
      <w:r w:rsidRPr="00B879D2">
        <w:rPr>
          <w:rFonts w:hAnsi="宋体"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被予以拒绝。基金份额持有人需承担赎回申请失败的风险。</w:t>
      </w:r>
    </w:p>
    <w:p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r w:rsidRPr="00EA1BE8">
        <w:rPr>
          <w:rFonts w:hAnsi="宋体" w:hint="eastAsia"/>
          <w:kern w:val="0"/>
          <w:sz w:val="24"/>
        </w:rPr>
        <w:t>投资市场、行业及资产的流动性风险评估</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本基金的投资市场主要为证券交易所、全国银行间债券市场等流动性较好的规范型交易场所，主要投资对象为</w:t>
      </w:r>
      <w:r w:rsidRPr="00656321">
        <w:rPr>
          <w:rFonts w:hAnsi="宋体" w:hint="eastAsia"/>
          <w:kern w:val="0"/>
          <w:sz w:val="24"/>
        </w:rPr>
        <w:t>具有良好流动性的金融工具，</w:t>
      </w:r>
      <w:r w:rsidRPr="005B1FD8">
        <w:rPr>
          <w:rFonts w:hAnsi="宋体" w:hint="eastAsia"/>
          <w:kern w:val="0"/>
          <w:sz w:val="24"/>
        </w:rPr>
        <w:t>同时本基金基于分散投资的原则在行业和个券方面未有高集中度的特征，综合评估在正常市场环境下本基金的流动性风险适中。</w:t>
      </w:r>
    </w:p>
    <w:p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Pr="00EA1BE8">
        <w:rPr>
          <w:rFonts w:hAnsi="宋体" w:hint="eastAsia"/>
          <w:kern w:val="0"/>
          <w:sz w:val="24"/>
        </w:rPr>
        <w:t>巨额赎回情形下的流动性风险管理措施</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A1BE8">
        <w:rPr>
          <w:rFonts w:hAnsi="宋体" w:hint="eastAsia"/>
          <w:kern w:val="0"/>
          <w:sz w:val="24"/>
        </w:rPr>
        <w:t>10%</w:t>
      </w:r>
      <w:r w:rsidRPr="00EA1BE8">
        <w:rPr>
          <w:rFonts w:hAnsi="宋体" w:hint="eastAsia"/>
          <w:kern w:val="0"/>
          <w:sz w:val="24"/>
        </w:rPr>
        <w:t>，即认为是发生了巨额赎回。</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当基金出现巨额赎回时，基金管理人可以根据基金当时的资产组合状况决定全额赎回或部分延期赎回。</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C0442F">
        <w:rPr>
          <w:rFonts w:hAnsi="宋体" w:hint="eastAsia"/>
          <w:kern w:val="0"/>
          <w:sz w:val="24"/>
        </w:rPr>
        <w:t>（</w:t>
      </w:r>
      <w:r w:rsidRPr="00C0442F">
        <w:rPr>
          <w:rFonts w:hAnsi="宋体" w:hint="eastAsia"/>
          <w:kern w:val="0"/>
          <w:sz w:val="24"/>
        </w:rPr>
        <w:t>1</w:t>
      </w:r>
      <w:r w:rsidRPr="00C0442F">
        <w:rPr>
          <w:rFonts w:hAnsi="宋体" w:hint="eastAsia"/>
          <w:kern w:val="0"/>
          <w:sz w:val="24"/>
        </w:rPr>
        <w:t>）全额赎回：当基金管理人认为有能力支付投资人的全部赎回申请时，按正常赎回程序执行。</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C0442F">
        <w:rPr>
          <w:rFonts w:hAnsi="宋体" w:hint="eastAsia"/>
          <w:kern w:val="0"/>
          <w:sz w:val="24"/>
        </w:rPr>
        <w:t>（</w:t>
      </w:r>
      <w:r w:rsidRPr="00C0442F">
        <w:rPr>
          <w:rFonts w:hAnsi="宋体" w:hint="eastAsia"/>
          <w:kern w:val="0"/>
          <w:sz w:val="24"/>
        </w:rPr>
        <w:t>2</w:t>
      </w:r>
      <w:r w:rsidRPr="00C0442F">
        <w:rPr>
          <w:rFonts w:hAnsi="宋体" w:hint="eastAsia"/>
          <w:kern w:val="0"/>
          <w:sz w:val="24"/>
        </w:rPr>
        <w:t>）部分延期赎回：</w:t>
      </w:r>
      <w:r w:rsidRPr="00EA1BE8">
        <w:rPr>
          <w:rFonts w:hAnsi="宋体" w:hint="eastAsia"/>
          <w:kern w:val="0"/>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A1BE8">
        <w:rPr>
          <w:rFonts w:hAnsi="宋体" w:hint="eastAsia"/>
          <w:kern w:val="0"/>
          <w:sz w:val="24"/>
        </w:rPr>
        <w:t>10%</w:t>
      </w:r>
      <w:r w:rsidRPr="00EA1BE8">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AC0D22">
        <w:rPr>
          <w:rFonts w:hAnsi="宋体" w:hint="eastAsia"/>
          <w:kern w:val="0"/>
          <w:sz w:val="24"/>
        </w:rPr>
        <w:t>本基金发生巨额赎回且单个基金份额持有人的赎回申请超过上一日基金总份额</w:t>
      </w:r>
      <w:r w:rsidRPr="00AC0D22">
        <w:rPr>
          <w:rFonts w:hAnsi="宋体" w:hint="eastAsia"/>
          <w:kern w:val="0"/>
          <w:sz w:val="24"/>
        </w:rPr>
        <w:t>20%</w:t>
      </w:r>
      <w:r w:rsidRPr="00AC0D22">
        <w:rPr>
          <w:rFonts w:hAnsi="宋体" w:hint="eastAsia"/>
          <w:kern w:val="0"/>
          <w:sz w:val="24"/>
        </w:rPr>
        <w:t>的情形下，基金管理人有权采取如下措施：对于该类基金份额持有人当日超过</w:t>
      </w:r>
      <w:r w:rsidRPr="00AC0D22">
        <w:rPr>
          <w:rFonts w:hAnsi="宋体" w:hint="eastAsia"/>
          <w:kern w:val="0"/>
          <w:sz w:val="24"/>
        </w:rPr>
        <w:t>20%</w:t>
      </w:r>
      <w:r w:rsidRPr="00AC0D22">
        <w:rPr>
          <w:rFonts w:hAnsi="宋体" w:hint="eastAsia"/>
          <w:kern w:val="0"/>
          <w:sz w:val="24"/>
        </w:rPr>
        <w:t>的赎回申请，可以对其赎回申请延期办理；对于该类基金份额持有人未超过上述比例的部分，基金管理人可以根据前段“（</w:t>
      </w:r>
      <w:r w:rsidRPr="00AC0D22">
        <w:rPr>
          <w:rFonts w:hAnsi="宋体" w:hint="eastAsia"/>
          <w:kern w:val="0"/>
          <w:sz w:val="24"/>
        </w:rPr>
        <w:t>1</w:t>
      </w:r>
      <w:r w:rsidRPr="00AC0D22">
        <w:rPr>
          <w:rFonts w:hAnsi="宋体" w:hint="eastAsia"/>
          <w:kern w:val="0"/>
          <w:sz w:val="24"/>
        </w:rPr>
        <w:t>）全</w:t>
      </w:r>
      <w:r>
        <w:rPr>
          <w:rFonts w:hAnsi="宋体" w:hint="eastAsia"/>
          <w:kern w:val="0"/>
          <w:sz w:val="24"/>
        </w:rPr>
        <w:t>额</w:t>
      </w:r>
      <w:r w:rsidRPr="00AC0D22">
        <w:rPr>
          <w:rFonts w:hAnsi="宋体" w:hint="eastAsia"/>
          <w:kern w:val="0"/>
          <w:sz w:val="24"/>
        </w:rPr>
        <w:t>赎回”或“（</w:t>
      </w:r>
      <w:r w:rsidRPr="00AC0D22">
        <w:rPr>
          <w:rFonts w:hAnsi="宋体" w:hint="eastAsia"/>
          <w:kern w:val="0"/>
          <w:sz w:val="24"/>
        </w:rPr>
        <w:t>2</w:t>
      </w:r>
      <w:r w:rsidRPr="00AC0D22">
        <w:rPr>
          <w:rFonts w:hAnsi="宋体" w:hint="eastAsia"/>
          <w:kern w:val="0"/>
          <w:sz w:val="24"/>
        </w:rPr>
        <w:t>）部分延期赎回”的约定方式与其他基金份额持有人的赎回申请一并办理。但是，如该类基金份额持有人在当日选择取消赎回，则其当日未获受理的部分赎回申请将被撤销。</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C0442F">
        <w:rPr>
          <w:rFonts w:hAnsi="宋体" w:hint="eastAsia"/>
          <w:kern w:val="0"/>
          <w:sz w:val="24"/>
        </w:rPr>
        <w:t>（</w:t>
      </w:r>
      <w:r w:rsidRPr="00C0442F">
        <w:rPr>
          <w:rFonts w:hAnsi="宋体" w:hint="eastAsia"/>
          <w:kern w:val="0"/>
          <w:sz w:val="24"/>
        </w:rPr>
        <w:t>3</w:t>
      </w:r>
      <w:r w:rsidRPr="00C0442F">
        <w:rPr>
          <w:rFonts w:hAnsi="宋体" w:hint="eastAsia"/>
          <w:kern w:val="0"/>
          <w:sz w:val="24"/>
        </w:rPr>
        <w:t>）暂停赎回：</w:t>
      </w:r>
      <w:r w:rsidRPr="00EA1BE8">
        <w:rPr>
          <w:rFonts w:hAnsi="宋体" w:hint="eastAsia"/>
          <w:kern w:val="0"/>
          <w:sz w:val="24"/>
        </w:rPr>
        <w:t>连续</w:t>
      </w:r>
      <w:r w:rsidRPr="00EA1BE8">
        <w:rPr>
          <w:rFonts w:hAnsi="宋体" w:hint="eastAsia"/>
          <w:kern w:val="0"/>
          <w:sz w:val="24"/>
        </w:rPr>
        <w:t>2</w:t>
      </w:r>
      <w:r w:rsidRPr="00EA1BE8">
        <w:rPr>
          <w:rFonts w:hAnsi="宋体" w:hint="eastAsia"/>
          <w:kern w:val="0"/>
          <w:sz w:val="24"/>
        </w:rPr>
        <w:t>个开放日以上（含本数）发生巨额赎回，如基金管理人认为有必要，可暂停接受基金的赎回申请；已经接受的赎回申请可以延缓支付赎回款项，但不得超过</w:t>
      </w:r>
      <w:r w:rsidRPr="00EA1BE8">
        <w:rPr>
          <w:rFonts w:hAnsi="宋体" w:hint="eastAsia"/>
          <w:kern w:val="0"/>
          <w:sz w:val="24"/>
        </w:rPr>
        <w:t>20</w:t>
      </w:r>
      <w:r w:rsidRPr="00EA1BE8">
        <w:rPr>
          <w:rFonts w:hAnsi="宋体" w:hint="eastAsia"/>
          <w:kern w:val="0"/>
          <w:sz w:val="24"/>
        </w:rPr>
        <w:t>个工作日，并应当在指定媒介上进行公告。</w:t>
      </w:r>
    </w:p>
    <w:p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EA1BE8">
        <w:rPr>
          <w:rFonts w:hAnsi="宋体" w:hint="eastAsia"/>
          <w:kern w:val="0"/>
          <w:sz w:val="24"/>
        </w:rPr>
        <w:t>实施备用的流动性风险管理工具的情形、程序及对投资者的潜在影响</w:t>
      </w:r>
    </w:p>
    <w:p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本基金在面临大规模赎回的情况下有可能因为无法变现造成流动性风险。</w:t>
      </w:r>
    </w:p>
    <w:p w:rsidR="00EE0749" w:rsidRPr="005435A1"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lastRenderedPageBreak/>
        <w:t>如果出现流动性风险，基金管理人经与基金托管人协商，在确保投资者得到公平对待的前提下，可实施备用的流动性风险管理工具，包括但不限于</w:t>
      </w:r>
      <w:r w:rsidRPr="004403D5">
        <w:rPr>
          <w:rFonts w:hAnsi="宋体" w:hint="eastAsia"/>
          <w:kern w:val="0"/>
          <w:sz w:val="24"/>
        </w:rPr>
        <w:t>延期办理巨额赎回申请</w:t>
      </w:r>
      <w:r>
        <w:rPr>
          <w:rFonts w:hAnsi="宋体" w:hint="eastAsia"/>
          <w:kern w:val="0"/>
          <w:sz w:val="24"/>
        </w:rPr>
        <w:t>、</w:t>
      </w:r>
      <w:r w:rsidRPr="00EA1BE8">
        <w:rPr>
          <w:rFonts w:hAnsi="宋体" w:hint="eastAsia"/>
          <w:kern w:val="0"/>
          <w:sz w:val="24"/>
        </w:rPr>
        <w:t>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EE0749" w:rsidRPr="005435A1" w:rsidRDefault="00EE0749" w:rsidP="00EE0749">
      <w:pPr>
        <w:widowControl/>
        <w:adjustRightInd w:val="0"/>
        <w:snapToGrid w:val="0"/>
        <w:spacing w:line="360" w:lineRule="auto"/>
        <w:ind w:firstLineChars="200" w:firstLine="482"/>
        <w:outlineLvl w:val="1"/>
        <w:rPr>
          <w:b/>
          <w:kern w:val="0"/>
          <w:sz w:val="24"/>
        </w:rPr>
      </w:pPr>
      <w:r w:rsidRPr="005435A1">
        <w:rPr>
          <w:rFonts w:hAnsi="宋体"/>
          <w:b/>
          <w:kern w:val="0"/>
          <w:sz w:val="24"/>
        </w:rPr>
        <w:t>（</w:t>
      </w:r>
      <w:r>
        <w:rPr>
          <w:rFonts w:hAnsi="宋体" w:hint="eastAsia"/>
          <w:b/>
          <w:kern w:val="0"/>
          <w:sz w:val="24"/>
        </w:rPr>
        <w:t>五</w:t>
      </w:r>
      <w:r w:rsidRPr="005435A1">
        <w:rPr>
          <w:rFonts w:hAnsi="宋体"/>
          <w:b/>
          <w:kern w:val="0"/>
          <w:sz w:val="24"/>
        </w:rPr>
        <w:t>）信用风险</w:t>
      </w:r>
    </w:p>
    <w:p w:rsidR="00EE0749" w:rsidRPr="005435A1" w:rsidRDefault="00EE0749" w:rsidP="00EE0749">
      <w:pPr>
        <w:widowControl/>
        <w:adjustRightInd w:val="0"/>
        <w:snapToGrid w:val="0"/>
        <w:spacing w:line="360" w:lineRule="auto"/>
        <w:ind w:firstLineChars="200" w:firstLine="480"/>
        <w:rPr>
          <w:rFonts w:hAnsi="宋体"/>
          <w:kern w:val="0"/>
          <w:sz w:val="24"/>
        </w:rPr>
      </w:pPr>
      <w:r w:rsidRPr="005435A1">
        <w:rPr>
          <w:rFonts w:hAnsi="宋体"/>
          <w:kern w:val="0"/>
          <w:sz w:val="24"/>
        </w:rPr>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rsidR="00EE0749" w:rsidRDefault="00EE0749" w:rsidP="00EE0749">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rsidR="00EE0749" w:rsidRPr="002A6364" w:rsidRDefault="00EE0749" w:rsidP="00EE0749">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w:t>
      </w:r>
      <w:r>
        <w:rPr>
          <w:rFonts w:hAnsi="宋体" w:hint="eastAsia"/>
          <w:kern w:val="0"/>
          <w:sz w:val="24"/>
        </w:rPr>
        <w:t>基金管理人</w:t>
      </w:r>
      <w:r w:rsidRPr="007225B4">
        <w:rPr>
          <w:rFonts w:hAnsi="宋体" w:hint="eastAsia"/>
          <w:kern w:val="0"/>
          <w:sz w:val="24"/>
        </w:rPr>
        <w:t>将本着谨慎和控制风险的原则进行资产支持证券投资，请基金份额持有人关注包括投资资产支持证券可能导致的基金净值波动在内的各项风险。</w:t>
      </w:r>
    </w:p>
    <w:p w:rsidR="00EE0749" w:rsidRDefault="00EE0749" w:rsidP="00EE0749">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Pr>
          <w:rFonts w:hAnsi="宋体" w:hint="eastAsia"/>
          <w:b/>
          <w:kern w:val="0"/>
          <w:sz w:val="24"/>
        </w:rPr>
        <w:t>七</w:t>
      </w:r>
      <w:r w:rsidRPr="005435A1">
        <w:rPr>
          <w:rFonts w:hAnsi="宋体"/>
          <w:b/>
          <w:kern w:val="0"/>
          <w:sz w:val="24"/>
        </w:rPr>
        <w:t>）投资</w:t>
      </w:r>
      <w:r>
        <w:rPr>
          <w:rFonts w:hAnsi="宋体" w:hint="eastAsia"/>
          <w:b/>
          <w:kern w:val="0"/>
          <w:sz w:val="24"/>
        </w:rPr>
        <w:t>流通受限证券</w:t>
      </w:r>
      <w:r w:rsidRPr="005435A1">
        <w:rPr>
          <w:rFonts w:hAnsi="宋体"/>
          <w:b/>
          <w:kern w:val="0"/>
          <w:sz w:val="24"/>
        </w:rPr>
        <w:t>的特定风险</w:t>
      </w:r>
    </w:p>
    <w:p w:rsidR="00EE0749" w:rsidRPr="002A6364" w:rsidRDefault="00EE0749" w:rsidP="00EE0749">
      <w:pPr>
        <w:widowControl/>
        <w:adjustRightInd w:val="0"/>
        <w:snapToGrid w:val="0"/>
        <w:spacing w:line="360" w:lineRule="auto"/>
        <w:ind w:firstLineChars="200" w:firstLine="480"/>
        <w:rPr>
          <w:rFonts w:hAnsi="宋体"/>
          <w:kern w:val="0"/>
          <w:sz w:val="24"/>
        </w:rPr>
      </w:pPr>
      <w:r w:rsidRPr="00150B74">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EE0749" w:rsidRPr="005435A1"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（八）</w:t>
      </w:r>
      <w:r w:rsidRPr="005435A1">
        <w:rPr>
          <w:rFonts w:hAnsi="宋体"/>
          <w:b/>
          <w:kern w:val="0"/>
          <w:sz w:val="24"/>
        </w:rPr>
        <w:t>其他风险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p>
    <w:p w:rsidR="00EE0749" w:rsidRPr="005435A1" w:rsidRDefault="00EE0749" w:rsidP="00EE0749">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p>
    <w:p w:rsidR="00EE0749" w:rsidRPr="00EE0749" w:rsidRDefault="00EE0749" w:rsidP="003D7C42">
      <w:pPr>
        <w:widowControl/>
        <w:adjustRightInd w:val="0"/>
        <w:snapToGrid w:val="0"/>
        <w:spacing w:line="360" w:lineRule="auto"/>
        <w:ind w:firstLineChars="200" w:firstLine="480"/>
        <w:rPr>
          <w:rFonts w:ascii="仿宋_GB2312" w:eastAsia="仿宋_GB2312"/>
          <w:spacing w:val="8"/>
          <w:sz w:val="28"/>
          <w:szCs w:val="28"/>
        </w:rPr>
      </w:pPr>
      <w:r w:rsidRPr="005435A1">
        <w:rPr>
          <w:kern w:val="0"/>
          <w:sz w:val="24"/>
        </w:rPr>
        <w:t>7</w:t>
      </w:r>
      <w:r w:rsidRPr="005435A1">
        <w:rPr>
          <w:rFonts w:hAnsi="宋体"/>
          <w:kern w:val="0"/>
          <w:sz w:val="24"/>
        </w:rPr>
        <w:t>、其他意外导致的风险。</w:t>
      </w:r>
    </w:p>
    <w:sectPr w:rsidR="00EE0749" w:rsidRPr="00EE0749" w:rsidSect="00197EC7">
      <w:headerReference w:type="default" r:id="rId8"/>
      <w:footerReference w:type="default" r:id="rId9"/>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A4" w:rsidRDefault="00253EA4">
      <w:r>
        <w:separator/>
      </w:r>
    </w:p>
  </w:endnote>
  <w:endnote w:type="continuationSeparator" w:id="0">
    <w:p w:rsidR="00253EA4" w:rsidRDefault="0025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5D" w:rsidRPr="004E5884" w:rsidRDefault="00637F1F" w:rsidP="004E5884">
    <w:pPr>
      <w:pStyle w:val="a8"/>
      <w:jc w:val="center"/>
    </w:pPr>
    <w:r>
      <w:rPr>
        <w:rStyle w:val="a9"/>
      </w:rPr>
      <w:fldChar w:fldCharType="begin"/>
    </w:r>
    <w:r w:rsidR="0077075D">
      <w:rPr>
        <w:rStyle w:val="a9"/>
      </w:rPr>
      <w:instrText xml:space="preserve"> PAGE </w:instrText>
    </w:r>
    <w:r>
      <w:rPr>
        <w:rStyle w:val="a9"/>
      </w:rPr>
      <w:fldChar w:fldCharType="separate"/>
    </w:r>
    <w:r w:rsidR="00A5135B">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A4" w:rsidRDefault="00253EA4">
      <w:r>
        <w:separator/>
      </w:r>
    </w:p>
  </w:footnote>
  <w:footnote w:type="continuationSeparator" w:id="0">
    <w:p w:rsidR="00253EA4" w:rsidRDefault="00253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B3" w:rsidRDefault="00356C10" w:rsidP="00864181">
    <w:pPr>
      <w:pStyle w:val="aa"/>
      <w:jc w:val="right"/>
    </w:pPr>
    <w:r>
      <w:rPr>
        <w:rFonts w:hint="eastAsia"/>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21590</wp:posOffset>
          </wp:positionV>
          <wp:extent cx="1828800" cy="238125"/>
          <wp:effectExtent l="19050" t="0" r="0" b="0"/>
          <wp:wrapNone/>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828800" cy="238125"/>
                  </a:xfrm>
                  <a:prstGeom prst="rect">
                    <a:avLst/>
                  </a:prstGeom>
                  <a:noFill/>
                  <a:ln w="9525">
                    <a:noFill/>
                    <a:miter lim="800000"/>
                    <a:headEnd/>
                    <a:tailEnd/>
                  </a:ln>
                </pic:spPr>
              </pic:pic>
            </a:graphicData>
          </a:graphic>
        </wp:anchor>
      </w:drawing>
    </w:r>
    <w:r w:rsidR="00E655E5">
      <w:rPr>
        <w:rFonts w:hint="eastAsia"/>
      </w:rPr>
      <w:t>交银施罗德安享稳健养老目标一年持有期</w:t>
    </w:r>
  </w:p>
  <w:p w:rsidR="00356C10" w:rsidRDefault="00E655E5" w:rsidP="00864181">
    <w:pPr>
      <w:pStyle w:val="aa"/>
      <w:jc w:val="right"/>
    </w:pPr>
    <w:r>
      <w:rPr>
        <w:rFonts w:hint="eastAsia"/>
      </w:rPr>
      <w:t>混合型基金中基金</w:t>
    </w:r>
    <w:r w:rsidR="00E00282" w:rsidRPr="00E00282">
      <w:rPr>
        <w:rFonts w:hint="eastAsia"/>
      </w:rPr>
      <w:t>（</w:t>
    </w:r>
    <w:r w:rsidR="00E00282" w:rsidRPr="00E00282">
      <w:rPr>
        <w:rFonts w:hint="eastAsia"/>
      </w:rPr>
      <w:t>FOF</w:t>
    </w:r>
    <w:r w:rsidR="00E00282" w:rsidRPr="00E00282">
      <w:rPr>
        <w:rFonts w:hint="eastAsia"/>
      </w:rPr>
      <w:t>）</w:t>
    </w:r>
    <w:r w:rsidR="00864181" w:rsidRPr="00864181">
      <w:rPr>
        <w:rFonts w:hint="eastAsia"/>
      </w:rPr>
      <w:t>风险揭示书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AFE"/>
    <w:multiLevelType w:val="hybridMultilevel"/>
    <w:tmpl w:val="CAF0067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ED3587F"/>
    <w:multiLevelType w:val="singleLevel"/>
    <w:tmpl w:val="43962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6F46A3"/>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AC64A5"/>
    <w:multiLevelType w:val="hybridMultilevel"/>
    <w:tmpl w:val="9C8E9FEA"/>
    <w:lvl w:ilvl="0" w:tplc="5C549A84">
      <w:start w:val="1"/>
      <w:numFmt w:val="chineseCountingThousand"/>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F5413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BA4C1D"/>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0EA45B6"/>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AF15D1B"/>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6463390"/>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17F41C8"/>
    <w:multiLevelType w:val="hybridMultilevel"/>
    <w:tmpl w:val="763C38B2"/>
    <w:lvl w:ilvl="0" w:tplc="5818163E">
      <w:start w:val="1"/>
      <w:numFmt w:val="chineseCountingThousand"/>
      <w:lvlText w:val="%1、"/>
      <w:lvlJc w:val="left"/>
      <w:pPr>
        <w:tabs>
          <w:tab w:val="num" w:pos="420"/>
        </w:tabs>
        <w:ind w:left="420" w:hanging="420"/>
      </w:pPr>
    </w:lvl>
    <w:lvl w:ilvl="1" w:tplc="04090017">
      <w:start w:val="1"/>
      <w:numFmt w:val="chineseCountingThousand"/>
      <w:lvlText w:val="(%2)"/>
      <w:lvlJc w:val="left"/>
      <w:pPr>
        <w:tabs>
          <w:tab w:val="num" w:pos="840"/>
        </w:tabs>
        <w:ind w:left="840" w:hanging="420"/>
      </w:pPr>
    </w:lvl>
    <w:lvl w:ilvl="2" w:tplc="EFF06E94">
      <w:start w:val="1"/>
      <w:numFmt w:val="japaneseCounting"/>
      <w:lvlText w:val="（%3）"/>
      <w:lvlJc w:val="left"/>
      <w:pPr>
        <w:tabs>
          <w:tab w:val="num" w:pos="1695"/>
        </w:tabs>
        <w:ind w:left="1695" w:hanging="855"/>
      </w:pPr>
      <w:rPr>
        <w:rFonts w:hint="default"/>
      </w:rPr>
    </w:lvl>
    <w:lvl w:ilvl="3" w:tplc="370C3AB6">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76514F4"/>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5861BF8"/>
    <w:multiLevelType w:val="hybridMultilevel"/>
    <w:tmpl w:val="6F86EDAA"/>
    <w:lvl w:ilvl="0" w:tplc="0409000B">
      <w:start w:val="1"/>
      <w:numFmt w:val="bullet"/>
      <w:lvlText w:val=""/>
      <w:lvlJc w:val="left"/>
      <w:pPr>
        <w:ind w:left="1012" w:hanging="420"/>
      </w:pPr>
      <w:rPr>
        <w:rFonts w:ascii="Wingdings" w:hAnsi="Wingding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2" w15:restartNumberingAfterBreak="0">
    <w:nsid w:val="705A019E"/>
    <w:multiLevelType w:val="hybridMultilevel"/>
    <w:tmpl w:val="FA1484E0"/>
    <w:lvl w:ilvl="0" w:tplc="327403B0">
      <w:start w:val="1"/>
      <w:numFmt w:val="bullet"/>
      <w:pStyle w:val="InfoBlue"/>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7A5092"/>
    <w:multiLevelType w:val="hybridMultilevel"/>
    <w:tmpl w:val="4F9EF25A"/>
    <w:lvl w:ilvl="0" w:tplc="0409000F">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4" w15:restartNumberingAfterBreak="0">
    <w:nsid w:val="742C16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1"/>
  </w:num>
  <w:num w:numId="3">
    <w:abstractNumId w:val="9"/>
  </w:num>
  <w:num w:numId="4">
    <w:abstractNumId w:val="3"/>
  </w:num>
  <w:num w:numId="5">
    <w:abstractNumId w:val="14"/>
  </w:num>
  <w:num w:numId="6">
    <w:abstractNumId w:val="10"/>
  </w:num>
  <w:num w:numId="7">
    <w:abstractNumId w:val="6"/>
  </w:num>
  <w:num w:numId="8">
    <w:abstractNumId w:val="7"/>
  </w:num>
  <w:num w:numId="9">
    <w:abstractNumId w:val="0"/>
  </w:num>
  <w:num w:numId="10">
    <w:abstractNumId w:val="8"/>
  </w:num>
  <w:num w:numId="11">
    <w:abstractNumId w:val="2"/>
  </w:num>
  <w:num w:numId="12">
    <w:abstractNumId w:val="4"/>
  </w:num>
  <w:num w:numId="13">
    <w:abstractNumId w:val="5"/>
  </w:num>
  <w:num w:numId="14">
    <w:abstractNumId w:val="3"/>
    <w:lvlOverride w:ilvl="0">
      <w:startOverride w:val="1"/>
    </w:lvlOverride>
  </w:num>
  <w:num w:numId="15">
    <w:abstractNumId w:val="13"/>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eaeaea">
      <v:fill color="#eaeaea"/>
      <v:shadow on="t"/>
      <o:colormru v:ext="edit" colors="#fcc,#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C1A"/>
    <w:rsid w:val="0000061C"/>
    <w:rsid w:val="000018CA"/>
    <w:rsid w:val="00001DFD"/>
    <w:rsid w:val="00005EE9"/>
    <w:rsid w:val="00010411"/>
    <w:rsid w:val="00010712"/>
    <w:rsid w:val="000112DA"/>
    <w:rsid w:val="0001130F"/>
    <w:rsid w:val="00011CDF"/>
    <w:rsid w:val="00012808"/>
    <w:rsid w:val="000132A8"/>
    <w:rsid w:val="00013A95"/>
    <w:rsid w:val="000140AF"/>
    <w:rsid w:val="00014968"/>
    <w:rsid w:val="00025EA5"/>
    <w:rsid w:val="00026A33"/>
    <w:rsid w:val="00034544"/>
    <w:rsid w:val="0003783C"/>
    <w:rsid w:val="00041343"/>
    <w:rsid w:val="00042343"/>
    <w:rsid w:val="0004412D"/>
    <w:rsid w:val="000446E8"/>
    <w:rsid w:val="000463C1"/>
    <w:rsid w:val="000467C2"/>
    <w:rsid w:val="00046D4A"/>
    <w:rsid w:val="000478DB"/>
    <w:rsid w:val="00050F65"/>
    <w:rsid w:val="00053841"/>
    <w:rsid w:val="00053F3A"/>
    <w:rsid w:val="00054FEA"/>
    <w:rsid w:val="000553EF"/>
    <w:rsid w:val="00057BA1"/>
    <w:rsid w:val="00060653"/>
    <w:rsid w:val="00063490"/>
    <w:rsid w:val="00064D85"/>
    <w:rsid w:val="000703EA"/>
    <w:rsid w:val="00076F73"/>
    <w:rsid w:val="00080DB1"/>
    <w:rsid w:val="00081A9A"/>
    <w:rsid w:val="00083D9E"/>
    <w:rsid w:val="00084F7F"/>
    <w:rsid w:val="0008538C"/>
    <w:rsid w:val="00085CB9"/>
    <w:rsid w:val="000878A6"/>
    <w:rsid w:val="00087AB6"/>
    <w:rsid w:val="000903D3"/>
    <w:rsid w:val="00091B1F"/>
    <w:rsid w:val="000927F6"/>
    <w:rsid w:val="000928C4"/>
    <w:rsid w:val="00097C24"/>
    <w:rsid w:val="000A07BE"/>
    <w:rsid w:val="000A7DBF"/>
    <w:rsid w:val="000B0FA3"/>
    <w:rsid w:val="000B274A"/>
    <w:rsid w:val="000B3B23"/>
    <w:rsid w:val="000B69B3"/>
    <w:rsid w:val="000C1B20"/>
    <w:rsid w:val="000C47D5"/>
    <w:rsid w:val="000C7C99"/>
    <w:rsid w:val="000D05BA"/>
    <w:rsid w:val="000D2744"/>
    <w:rsid w:val="000D767F"/>
    <w:rsid w:val="000E07CA"/>
    <w:rsid w:val="000E7284"/>
    <w:rsid w:val="000F171D"/>
    <w:rsid w:val="000F343D"/>
    <w:rsid w:val="000F61A5"/>
    <w:rsid w:val="001008E2"/>
    <w:rsid w:val="00105BAE"/>
    <w:rsid w:val="001074A0"/>
    <w:rsid w:val="001078F5"/>
    <w:rsid w:val="00112972"/>
    <w:rsid w:val="00114892"/>
    <w:rsid w:val="00116984"/>
    <w:rsid w:val="00122317"/>
    <w:rsid w:val="00122CB4"/>
    <w:rsid w:val="001254C5"/>
    <w:rsid w:val="00127B1D"/>
    <w:rsid w:val="00142806"/>
    <w:rsid w:val="00150682"/>
    <w:rsid w:val="00151312"/>
    <w:rsid w:val="00151653"/>
    <w:rsid w:val="00152A59"/>
    <w:rsid w:val="001540B8"/>
    <w:rsid w:val="001564CF"/>
    <w:rsid w:val="00160339"/>
    <w:rsid w:val="001603BB"/>
    <w:rsid w:val="00163F93"/>
    <w:rsid w:val="001640D2"/>
    <w:rsid w:val="00165B9C"/>
    <w:rsid w:val="001667BC"/>
    <w:rsid w:val="00170563"/>
    <w:rsid w:val="001731A8"/>
    <w:rsid w:val="001739F8"/>
    <w:rsid w:val="00174E42"/>
    <w:rsid w:val="001753C7"/>
    <w:rsid w:val="001758D8"/>
    <w:rsid w:val="00180D8B"/>
    <w:rsid w:val="00181B91"/>
    <w:rsid w:val="00182D95"/>
    <w:rsid w:val="00184375"/>
    <w:rsid w:val="00190204"/>
    <w:rsid w:val="001926EB"/>
    <w:rsid w:val="0019373B"/>
    <w:rsid w:val="00193916"/>
    <w:rsid w:val="00193C3F"/>
    <w:rsid w:val="001965AE"/>
    <w:rsid w:val="00196711"/>
    <w:rsid w:val="00197C82"/>
    <w:rsid w:val="00197EC7"/>
    <w:rsid w:val="001A06E7"/>
    <w:rsid w:val="001A0D33"/>
    <w:rsid w:val="001A20DB"/>
    <w:rsid w:val="001A2E3F"/>
    <w:rsid w:val="001A4894"/>
    <w:rsid w:val="001B111C"/>
    <w:rsid w:val="001B5F0E"/>
    <w:rsid w:val="001B6A19"/>
    <w:rsid w:val="001B6AE7"/>
    <w:rsid w:val="001C1AA9"/>
    <w:rsid w:val="001C5E55"/>
    <w:rsid w:val="001D1BE0"/>
    <w:rsid w:val="001D1F56"/>
    <w:rsid w:val="001D2B71"/>
    <w:rsid w:val="001D3C03"/>
    <w:rsid w:val="001E16AC"/>
    <w:rsid w:val="001E22FE"/>
    <w:rsid w:val="001E3E4D"/>
    <w:rsid w:val="001E4A75"/>
    <w:rsid w:val="001E4F8A"/>
    <w:rsid w:val="001E6160"/>
    <w:rsid w:val="001F083E"/>
    <w:rsid w:val="001F0F0B"/>
    <w:rsid w:val="001F29E5"/>
    <w:rsid w:val="001F2F9E"/>
    <w:rsid w:val="001F330B"/>
    <w:rsid w:val="001F3E38"/>
    <w:rsid w:val="001F40CD"/>
    <w:rsid w:val="0020326C"/>
    <w:rsid w:val="00206425"/>
    <w:rsid w:val="00206D3C"/>
    <w:rsid w:val="00207B64"/>
    <w:rsid w:val="00211B1C"/>
    <w:rsid w:val="0021332B"/>
    <w:rsid w:val="00216BB6"/>
    <w:rsid w:val="00216DE0"/>
    <w:rsid w:val="002176C7"/>
    <w:rsid w:val="002176E8"/>
    <w:rsid w:val="002206BA"/>
    <w:rsid w:val="00222684"/>
    <w:rsid w:val="00224E7D"/>
    <w:rsid w:val="00226400"/>
    <w:rsid w:val="00227A34"/>
    <w:rsid w:val="00230070"/>
    <w:rsid w:val="002307B0"/>
    <w:rsid w:val="00232941"/>
    <w:rsid w:val="002342E2"/>
    <w:rsid w:val="002350C4"/>
    <w:rsid w:val="0023672A"/>
    <w:rsid w:val="00236CDF"/>
    <w:rsid w:val="00240294"/>
    <w:rsid w:val="002403E2"/>
    <w:rsid w:val="002414D7"/>
    <w:rsid w:val="002427A6"/>
    <w:rsid w:val="00242DD9"/>
    <w:rsid w:val="00242E5E"/>
    <w:rsid w:val="00243660"/>
    <w:rsid w:val="00244A4C"/>
    <w:rsid w:val="00246B9B"/>
    <w:rsid w:val="00246FA8"/>
    <w:rsid w:val="002504F3"/>
    <w:rsid w:val="00253EA4"/>
    <w:rsid w:val="00254CA0"/>
    <w:rsid w:val="00256B96"/>
    <w:rsid w:val="002610E5"/>
    <w:rsid w:val="002624B1"/>
    <w:rsid w:val="00262FE7"/>
    <w:rsid w:val="00263473"/>
    <w:rsid w:val="0026446E"/>
    <w:rsid w:val="002656E0"/>
    <w:rsid w:val="0026613C"/>
    <w:rsid w:val="00266988"/>
    <w:rsid w:val="00271009"/>
    <w:rsid w:val="00274AF6"/>
    <w:rsid w:val="00275977"/>
    <w:rsid w:val="00276E51"/>
    <w:rsid w:val="002777C3"/>
    <w:rsid w:val="002825A9"/>
    <w:rsid w:val="00282BE8"/>
    <w:rsid w:val="00282D22"/>
    <w:rsid w:val="002837D8"/>
    <w:rsid w:val="00284D58"/>
    <w:rsid w:val="00285128"/>
    <w:rsid w:val="00290B86"/>
    <w:rsid w:val="002912CB"/>
    <w:rsid w:val="00292A1B"/>
    <w:rsid w:val="002944B9"/>
    <w:rsid w:val="002946DE"/>
    <w:rsid w:val="002968E6"/>
    <w:rsid w:val="002A44B5"/>
    <w:rsid w:val="002A6657"/>
    <w:rsid w:val="002A704E"/>
    <w:rsid w:val="002B26D7"/>
    <w:rsid w:val="002B48BA"/>
    <w:rsid w:val="002B70A2"/>
    <w:rsid w:val="002B76AC"/>
    <w:rsid w:val="002B7B9B"/>
    <w:rsid w:val="002C0AE6"/>
    <w:rsid w:val="002D1BDB"/>
    <w:rsid w:val="002D3E24"/>
    <w:rsid w:val="002D552D"/>
    <w:rsid w:val="002D660F"/>
    <w:rsid w:val="002E003D"/>
    <w:rsid w:val="002E462D"/>
    <w:rsid w:val="002E55A8"/>
    <w:rsid w:val="002E6574"/>
    <w:rsid w:val="002E69A2"/>
    <w:rsid w:val="002E7A16"/>
    <w:rsid w:val="002F158F"/>
    <w:rsid w:val="002F3075"/>
    <w:rsid w:val="002F7609"/>
    <w:rsid w:val="003009A0"/>
    <w:rsid w:val="00302377"/>
    <w:rsid w:val="00303FEC"/>
    <w:rsid w:val="00304A33"/>
    <w:rsid w:val="00305081"/>
    <w:rsid w:val="00305A79"/>
    <w:rsid w:val="00306AE8"/>
    <w:rsid w:val="00306FD0"/>
    <w:rsid w:val="00307FC2"/>
    <w:rsid w:val="00311676"/>
    <w:rsid w:val="00311B0E"/>
    <w:rsid w:val="003121D7"/>
    <w:rsid w:val="00315B8E"/>
    <w:rsid w:val="00321710"/>
    <w:rsid w:val="00326481"/>
    <w:rsid w:val="003309F7"/>
    <w:rsid w:val="00331831"/>
    <w:rsid w:val="0033285C"/>
    <w:rsid w:val="0033429D"/>
    <w:rsid w:val="00335664"/>
    <w:rsid w:val="00342061"/>
    <w:rsid w:val="0034288E"/>
    <w:rsid w:val="00345086"/>
    <w:rsid w:val="00350A96"/>
    <w:rsid w:val="00351745"/>
    <w:rsid w:val="00352C61"/>
    <w:rsid w:val="00355166"/>
    <w:rsid w:val="0035607C"/>
    <w:rsid w:val="00356135"/>
    <w:rsid w:val="0035667F"/>
    <w:rsid w:val="00356C10"/>
    <w:rsid w:val="0035739D"/>
    <w:rsid w:val="00357783"/>
    <w:rsid w:val="00363080"/>
    <w:rsid w:val="00365C9F"/>
    <w:rsid w:val="00366750"/>
    <w:rsid w:val="00370592"/>
    <w:rsid w:val="00372CB2"/>
    <w:rsid w:val="00374EFC"/>
    <w:rsid w:val="00380BFE"/>
    <w:rsid w:val="0038127A"/>
    <w:rsid w:val="00382A0D"/>
    <w:rsid w:val="003858B4"/>
    <w:rsid w:val="00385F62"/>
    <w:rsid w:val="00387436"/>
    <w:rsid w:val="003914D1"/>
    <w:rsid w:val="003926B0"/>
    <w:rsid w:val="00393488"/>
    <w:rsid w:val="0039573F"/>
    <w:rsid w:val="003A1098"/>
    <w:rsid w:val="003A3699"/>
    <w:rsid w:val="003A735D"/>
    <w:rsid w:val="003A7BED"/>
    <w:rsid w:val="003A7F08"/>
    <w:rsid w:val="003B4B63"/>
    <w:rsid w:val="003B52CF"/>
    <w:rsid w:val="003B7D50"/>
    <w:rsid w:val="003B7D80"/>
    <w:rsid w:val="003C3811"/>
    <w:rsid w:val="003D1FBB"/>
    <w:rsid w:val="003D334D"/>
    <w:rsid w:val="003D3741"/>
    <w:rsid w:val="003D4313"/>
    <w:rsid w:val="003D47E2"/>
    <w:rsid w:val="003D4A48"/>
    <w:rsid w:val="003D4BDB"/>
    <w:rsid w:val="003D5691"/>
    <w:rsid w:val="003D67B0"/>
    <w:rsid w:val="003D7C42"/>
    <w:rsid w:val="003D7F04"/>
    <w:rsid w:val="003E00DA"/>
    <w:rsid w:val="003E114F"/>
    <w:rsid w:val="003E30FA"/>
    <w:rsid w:val="003E425F"/>
    <w:rsid w:val="003E518C"/>
    <w:rsid w:val="003E6B5C"/>
    <w:rsid w:val="003F0094"/>
    <w:rsid w:val="003F07A9"/>
    <w:rsid w:val="003F25A0"/>
    <w:rsid w:val="003F2781"/>
    <w:rsid w:val="003F4087"/>
    <w:rsid w:val="003F4F0B"/>
    <w:rsid w:val="003F71C6"/>
    <w:rsid w:val="003F7B5E"/>
    <w:rsid w:val="00400BDE"/>
    <w:rsid w:val="00410035"/>
    <w:rsid w:val="00415433"/>
    <w:rsid w:val="00417212"/>
    <w:rsid w:val="00421DC4"/>
    <w:rsid w:val="00425563"/>
    <w:rsid w:val="004274CC"/>
    <w:rsid w:val="004300F6"/>
    <w:rsid w:val="00435245"/>
    <w:rsid w:val="00435F55"/>
    <w:rsid w:val="00436295"/>
    <w:rsid w:val="00436C7A"/>
    <w:rsid w:val="004379C6"/>
    <w:rsid w:val="00440467"/>
    <w:rsid w:val="00440D05"/>
    <w:rsid w:val="004445F3"/>
    <w:rsid w:val="00445D1D"/>
    <w:rsid w:val="00446755"/>
    <w:rsid w:val="004534E0"/>
    <w:rsid w:val="00456732"/>
    <w:rsid w:val="004568A2"/>
    <w:rsid w:val="00457E7B"/>
    <w:rsid w:val="00460517"/>
    <w:rsid w:val="0046626B"/>
    <w:rsid w:val="00472FA6"/>
    <w:rsid w:val="00474139"/>
    <w:rsid w:val="00475212"/>
    <w:rsid w:val="004800A3"/>
    <w:rsid w:val="00481404"/>
    <w:rsid w:val="00482BA0"/>
    <w:rsid w:val="00494528"/>
    <w:rsid w:val="00496029"/>
    <w:rsid w:val="00496584"/>
    <w:rsid w:val="00496855"/>
    <w:rsid w:val="004A06C3"/>
    <w:rsid w:val="004A34D7"/>
    <w:rsid w:val="004B4868"/>
    <w:rsid w:val="004B7559"/>
    <w:rsid w:val="004C1343"/>
    <w:rsid w:val="004C29E1"/>
    <w:rsid w:val="004C36E5"/>
    <w:rsid w:val="004C635B"/>
    <w:rsid w:val="004D7705"/>
    <w:rsid w:val="004D7B79"/>
    <w:rsid w:val="004E25E2"/>
    <w:rsid w:val="004E40E0"/>
    <w:rsid w:val="004E5884"/>
    <w:rsid w:val="004F493F"/>
    <w:rsid w:val="004F7057"/>
    <w:rsid w:val="0050108C"/>
    <w:rsid w:val="00502C69"/>
    <w:rsid w:val="005041F6"/>
    <w:rsid w:val="00505C9F"/>
    <w:rsid w:val="00506048"/>
    <w:rsid w:val="00510BC2"/>
    <w:rsid w:val="00513826"/>
    <w:rsid w:val="00513DAD"/>
    <w:rsid w:val="00521318"/>
    <w:rsid w:val="00525B1D"/>
    <w:rsid w:val="00526712"/>
    <w:rsid w:val="00526B21"/>
    <w:rsid w:val="005308C5"/>
    <w:rsid w:val="005332E6"/>
    <w:rsid w:val="00534090"/>
    <w:rsid w:val="005448C6"/>
    <w:rsid w:val="00544DE3"/>
    <w:rsid w:val="0055068F"/>
    <w:rsid w:val="00551652"/>
    <w:rsid w:val="00552AB3"/>
    <w:rsid w:val="005558D1"/>
    <w:rsid w:val="005563E3"/>
    <w:rsid w:val="00562190"/>
    <w:rsid w:val="00562D04"/>
    <w:rsid w:val="00563C8D"/>
    <w:rsid w:val="00564E75"/>
    <w:rsid w:val="00566C7E"/>
    <w:rsid w:val="00567430"/>
    <w:rsid w:val="00570C1A"/>
    <w:rsid w:val="005714D7"/>
    <w:rsid w:val="00572A57"/>
    <w:rsid w:val="00580BD2"/>
    <w:rsid w:val="00585FBE"/>
    <w:rsid w:val="00586153"/>
    <w:rsid w:val="005908AD"/>
    <w:rsid w:val="0059427B"/>
    <w:rsid w:val="0059503E"/>
    <w:rsid w:val="00597BDD"/>
    <w:rsid w:val="005A34E3"/>
    <w:rsid w:val="005A5461"/>
    <w:rsid w:val="005B2013"/>
    <w:rsid w:val="005B46E4"/>
    <w:rsid w:val="005B5400"/>
    <w:rsid w:val="005B6058"/>
    <w:rsid w:val="005B7102"/>
    <w:rsid w:val="005C0942"/>
    <w:rsid w:val="005C1F39"/>
    <w:rsid w:val="005C4AE6"/>
    <w:rsid w:val="005C6ECB"/>
    <w:rsid w:val="005D0A41"/>
    <w:rsid w:val="005D0CC2"/>
    <w:rsid w:val="005D126D"/>
    <w:rsid w:val="005D1B8F"/>
    <w:rsid w:val="005D5BF6"/>
    <w:rsid w:val="005D759A"/>
    <w:rsid w:val="005E3404"/>
    <w:rsid w:val="005E3F9A"/>
    <w:rsid w:val="005E4D6C"/>
    <w:rsid w:val="005E61CB"/>
    <w:rsid w:val="005E7446"/>
    <w:rsid w:val="00601D54"/>
    <w:rsid w:val="006033ED"/>
    <w:rsid w:val="00604DE6"/>
    <w:rsid w:val="00604FED"/>
    <w:rsid w:val="00605B80"/>
    <w:rsid w:val="00606150"/>
    <w:rsid w:val="00606511"/>
    <w:rsid w:val="00607183"/>
    <w:rsid w:val="00607E7D"/>
    <w:rsid w:val="00610842"/>
    <w:rsid w:val="006116FF"/>
    <w:rsid w:val="00612DC4"/>
    <w:rsid w:val="0061534F"/>
    <w:rsid w:val="0061539D"/>
    <w:rsid w:val="0061740D"/>
    <w:rsid w:val="00621C4D"/>
    <w:rsid w:val="0062245A"/>
    <w:rsid w:val="00622514"/>
    <w:rsid w:val="00625D40"/>
    <w:rsid w:val="006269FA"/>
    <w:rsid w:val="00626A49"/>
    <w:rsid w:val="00634011"/>
    <w:rsid w:val="00636592"/>
    <w:rsid w:val="00636952"/>
    <w:rsid w:val="00637F1F"/>
    <w:rsid w:val="00640A66"/>
    <w:rsid w:val="00640F0E"/>
    <w:rsid w:val="0064169A"/>
    <w:rsid w:val="006430C7"/>
    <w:rsid w:val="00646684"/>
    <w:rsid w:val="006475A2"/>
    <w:rsid w:val="0065346A"/>
    <w:rsid w:val="00654F8B"/>
    <w:rsid w:val="00661414"/>
    <w:rsid w:val="006619A2"/>
    <w:rsid w:val="00662CD5"/>
    <w:rsid w:val="00663905"/>
    <w:rsid w:val="00664E1F"/>
    <w:rsid w:val="00664E6A"/>
    <w:rsid w:val="00665C3F"/>
    <w:rsid w:val="006743BB"/>
    <w:rsid w:val="006753DB"/>
    <w:rsid w:val="00676374"/>
    <w:rsid w:val="00676A95"/>
    <w:rsid w:val="00677585"/>
    <w:rsid w:val="00677E48"/>
    <w:rsid w:val="0068305B"/>
    <w:rsid w:val="00683CCD"/>
    <w:rsid w:val="00683FD4"/>
    <w:rsid w:val="00684795"/>
    <w:rsid w:val="00687A11"/>
    <w:rsid w:val="00693520"/>
    <w:rsid w:val="00694037"/>
    <w:rsid w:val="00694092"/>
    <w:rsid w:val="00694870"/>
    <w:rsid w:val="00694E52"/>
    <w:rsid w:val="006958F2"/>
    <w:rsid w:val="006A152E"/>
    <w:rsid w:val="006B4AAD"/>
    <w:rsid w:val="006B6738"/>
    <w:rsid w:val="006C1876"/>
    <w:rsid w:val="006C1F2E"/>
    <w:rsid w:val="006C728D"/>
    <w:rsid w:val="006D00D3"/>
    <w:rsid w:val="006D4332"/>
    <w:rsid w:val="006D5B04"/>
    <w:rsid w:val="006D75F1"/>
    <w:rsid w:val="006D7F46"/>
    <w:rsid w:val="006E067A"/>
    <w:rsid w:val="006E0EC5"/>
    <w:rsid w:val="006E15F6"/>
    <w:rsid w:val="006E2244"/>
    <w:rsid w:val="006E3110"/>
    <w:rsid w:val="006E5E3C"/>
    <w:rsid w:val="006E68AE"/>
    <w:rsid w:val="006E701B"/>
    <w:rsid w:val="006F2588"/>
    <w:rsid w:val="006F2DEB"/>
    <w:rsid w:val="007037EE"/>
    <w:rsid w:val="007065D5"/>
    <w:rsid w:val="00717F4E"/>
    <w:rsid w:val="007208AD"/>
    <w:rsid w:val="00722F67"/>
    <w:rsid w:val="00723C46"/>
    <w:rsid w:val="00725AFF"/>
    <w:rsid w:val="007301A8"/>
    <w:rsid w:val="00732CE1"/>
    <w:rsid w:val="00735D72"/>
    <w:rsid w:val="007406D6"/>
    <w:rsid w:val="00740846"/>
    <w:rsid w:val="0074210C"/>
    <w:rsid w:val="00746ADE"/>
    <w:rsid w:val="0074755E"/>
    <w:rsid w:val="007555E9"/>
    <w:rsid w:val="007602EA"/>
    <w:rsid w:val="00762A8A"/>
    <w:rsid w:val="007634CA"/>
    <w:rsid w:val="0076636D"/>
    <w:rsid w:val="00767439"/>
    <w:rsid w:val="0077075D"/>
    <w:rsid w:val="00772CBA"/>
    <w:rsid w:val="00775C9B"/>
    <w:rsid w:val="00777D29"/>
    <w:rsid w:val="00781DEE"/>
    <w:rsid w:val="00781FE3"/>
    <w:rsid w:val="007821A7"/>
    <w:rsid w:val="0078423A"/>
    <w:rsid w:val="00790972"/>
    <w:rsid w:val="00792194"/>
    <w:rsid w:val="00792EFA"/>
    <w:rsid w:val="007941DC"/>
    <w:rsid w:val="00794905"/>
    <w:rsid w:val="00795EDF"/>
    <w:rsid w:val="007A14D7"/>
    <w:rsid w:val="007A3B49"/>
    <w:rsid w:val="007A3B71"/>
    <w:rsid w:val="007A3F5E"/>
    <w:rsid w:val="007A6A0F"/>
    <w:rsid w:val="007A78A2"/>
    <w:rsid w:val="007A79FF"/>
    <w:rsid w:val="007B0178"/>
    <w:rsid w:val="007B2508"/>
    <w:rsid w:val="007B2B56"/>
    <w:rsid w:val="007B7F42"/>
    <w:rsid w:val="007C0B90"/>
    <w:rsid w:val="007C4BA3"/>
    <w:rsid w:val="007D21C9"/>
    <w:rsid w:val="007D36C5"/>
    <w:rsid w:val="007D3CAF"/>
    <w:rsid w:val="007D5A60"/>
    <w:rsid w:val="007D757F"/>
    <w:rsid w:val="007E0840"/>
    <w:rsid w:val="007E0A90"/>
    <w:rsid w:val="007F0F29"/>
    <w:rsid w:val="007F20DF"/>
    <w:rsid w:val="007F3ECC"/>
    <w:rsid w:val="007F4CEC"/>
    <w:rsid w:val="007F739C"/>
    <w:rsid w:val="00800070"/>
    <w:rsid w:val="00802966"/>
    <w:rsid w:val="00806702"/>
    <w:rsid w:val="00810721"/>
    <w:rsid w:val="008141E3"/>
    <w:rsid w:val="00815F09"/>
    <w:rsid w:val="0082141C"/>
    <w:rsid w:val="00822903"/>
    <w:rsid w:val="00823EFA"/>
    <w:rsid w:val="00827AB0"/>
    <w:rsid w:val="00827C69"/>
    <w:rsid w:val="00834076"/>
    <w:rsid w:val="0083495C"/>
    <w:rsid w:val="00835F45"/>
    <w:rsid w:val="00835FA7"/>
    <w:rsid w:val="008363E3"/>
    <w:rsid w:val="00836C58"/>
    <w:rsid w:val="00837901"/>
    <w:rsid w:val="00843056"/>
    <w:rsid w:val="008432B9"/>
    <w:rsid w:val="0084659A"/>
    <w:rsid w:val="00847693"/>
    <w:rsid w:val="00847CEE"/>
    <w:rsid w:val="008508A4"/>
    <w:rsid w:val="008522DA"/>
    <w:rsid w:val="0085427E"/>
    <w:rsid w:val="00855286"/>
    <w:rsid w:val="00855807"/>
    <w:rsid w:val="00855F93"/>
    <w:rsid w:val="0085734C"/>
    <w:rsid w:val="008579D8"/>
    <w:rsid w:val="00860D97"/>
    <w:rsid w:val="008611D8"/>
    <w:rsid w:val="00863DE4"/>
    <w:rsid w:val="00863E18"/>
    <w:rsid w:val="00864181"/>
    <w:rsid w:val="00866060"/>
    <w:rsid w:val="00867D72"/>
    <w:rsid w:val="00872740"/>
    <w:rsid w:val="00872E76"/>
    <w:rsid w:val="00876181"/>
    <w:rsid w:val="0088365F"/>
    <w:rsid w:val="00885126"/>
    <w:rsid w:val="008878E8"/>
    <w:rsid w:val="008911C2"/>
    <w:rsid w:val="0089122A"/>
    <w:rsid w:val="008923B1"/>
    <w:rsid w:val="00892825"/>
    <w:rsid w:val="0089537D"/>
    <w:rsid w:val="00896802"/>
    <w:rsid w:val="008A3756"/>
    <w:rsid w:val="008A74FD"/>
    <w:rsid w:val="008B0A67"/>
    <w:rsid w:val="008B6CAB"/>
    <w:rsid w:val="008C7989"/>
    <w:rsid w:val="008D0993"/>
    <w:rsid w:val="008D26DD"/>
    <w:rsid w:val="008D2E07"/>
    <w:rsid w:val="008D4297"/>
    <w:rsid w:val="008D5813"/>
    <w:rsid w:val="008D6736"/>
    <w:rsid w:val="008E26CC"/>
    <w:rsid w:val="008E3F41"/>
    <w:rsid w:val="008E49C1"/>
    <w:rsid w:val="008F19C5"/>
    <w:rsid w:val="008F2F9C"/>
    <w:rsid w:val="00900150"/>
    <w:rsid w:val="00900966"/>
    <w:rsid w:val="009020B9"/>
    <w:rsid w:val="00906800"/>
    <w:rsid w:val="009068FB"/>
    <w:rsid w:val="00907608"/>
    <w:rsid w:val="00911F3A"/>
    <w:rsid w:val="0091301A"/>
    <w:rsid w:val="00913DD2"/>
    <w:rsid w:val="009147B7"/>
    <w:rsid w:val="00916B07"/>
    <w:rsid w:val="00917ACA"/>
    <w:rsid w:val="00922E0B"/>
    <w:rsid w:val="009264D9"/>
    <w:rsid w:val="009313A0"/>
    <w:rsid w:val="00931786"/>
    <w:rsid w:val="00935269"/>
    <w:rsid w:val="00937B39"/>
    <w:rsid w:val="00940495"/>
    <w:rsid w:val="009405B3"/>
    <w:rsid w:val="0094147E"/>
    <w:rsid w:val="009441CA"/>
    <w:rsid w:val="009471FA"/>
    <w:rsid w:val="009510CB"/>
    <w:rsid w:val="009526ED"/>
    <w:rsid w:val="00953B96"/>
    <w:rsid w:val="00953CC8"/>
    <w:rsid w:val="00954A84"/>
    <w:rsid w:val="009558E5"/>
    <w:rsid w:val="00956EAF"/>
    <w:rsid w:val="00957511"/>
    <w:rsid w:val="00963421"/>
    <w:rsid w:val="00963477"/>
    <w:rsid w:val="009645C2"/>
    <w:rsid w:val="009650BA"/>
    <w:rsid w:val="0096532C"/>
    <w:rsid w:val="009723D0"/>
    <w:rsid w:val="009735B8"/>
    <w:rsid w:val="00973A5E"/>
    <w:rsid w:val="00973F65"/>
    <w:rsid w:val="00974593"/>
    <w:rsid w:val="00975814"/>
    <w:rsid w:val="00975A82"/>
    <w:rsid w:val="009810B7"/>
    <w:rsid w:val="00981AAA"/>
    <w:rsid w:val="009902F3"/>
    <w:rsid w:val="00991754"/>
    <w:rsid w:val="00993FE4"/>
    <w:rsid w:val="0099513F"/>
    <w:rsid w:val="009A0811"/>
    <w:rsid w:val="009A53AB"/>
    <w:rsid w:val="009A67EF"/>
    <w:rsid w:val="009B0D63"/>
    <w:rsid w:val="009B288A"/>
    <w:rsid w:val="009B3E4F"/>
    <w:rsid w:val="009B68D4"/>
    <w:rsid w:val="009C1751"/>
    <w:rsid w:val="009C3496"/>
    <w:rsid w:val="009C3FFB"/>
    <w:rsid w:val="009C65A2"/>
    <w:rsid w:val="009D1345"/>
    <w:rsid w:val="009D1836"/>
    <w:rsid w:val="009D1A0B"/>
    <w:rsid w:val="009D5739"/>
    <w:rsid w:val="009D5D03"/>
    <w:rsid w:val="009E31C4"/>
    <w:rsid w:val="009E3B53"/>
    <w:rsid w:val="009F581A"/>
    <w:rsid w:val="009F7A61"/>
    <w:rsid w:val="009F7A8D"/>
    <w:rsid w:val="009F7E59"/>
    <w:rsid w:val="00A008C0"/>
    <w:rsid w:val="00A012CA"/>
    <w:rsid w:val="00A042F4"/>
    <w:rsid w:val="00A05A2B"/>
    <w:rsid w:val="00A07F76"/>
    <w:rsid w:val="00A10834"/>
    <w:rsid w:val="00A133C4"/>
    <w:rsid w:val="00A1594B"/>
    <w:rsid w:val="00A20EDF"/>
    <w:rsid w:val="00A24F5B"/>
    <w:rsid w:val="00A27287"/>
    <w:rsid w:val="00A31878"/>
    <w:rsid w:val="00A328C2"/>
    <w:rsid w:val="00A34A3A"/>
    <w:rsid w:val="00A37C4D"/>
    <w:rsid w:val="00A421B2"/>
    <w:rsid w:val="00A454FF"/>
    <w:rsid w:val="00A45902"/>
    <w:rsid w:val="00A51224"/>
    <w:rsid w:val="00A5135B"/>
    <w:rsid w:val="00A61532"/>
    <w:rsid w:val="00A6356B"/>
    <w:rsid w:val="00A70639"/>
    <w:rsid w:val="00A73261"/>
    <w:rsid w:val="00A74C76"/>
    <w:rsid w:val="00A77F11"/>
    <w:rsid w:val="00A77F49"/>
    <w:rsid w:val="00A80A3D"/>
    <w:rsid w:val="00A82AAF"/>
    <w:rsid w:val="00A90B21"/>
    <w:rsid w:val="00A94FC7"/>
    <w:rsid w:val="00A95DD3"/>
    <w:rsid w:val="00A96E22"/>
    <w:rsid w:val="00AA52E2"/>
    <w:rsid w:val="00AA5A3A"/>
    <w:rsid w:val="00AA5AA5"/>
    <w:rsid w:val="00AA5C8B"/>
    <w:rsid w:val="00AA6685"/>
    <w:rsid w:val="00AA6E4C"/>
    <w:rsid w:val="00AA6EB4"/>
    <w:rsid w:val="00AB090E"/>
    <w:rsid w:val="00AB7922"/>
    <w:rsid w:val="00AB7E03"/>
    <w:rsid w:val="00AC0640"/>
    <w:rsid w:val="00AC09E7"/>
    <w:rsid w:val="00AC0C3B"/>
    <w:rsid w:val="00AC19DA"/>
    <w:rsid w:val="00AC4441"/>
    <w:rsid w:val="00AC646D"/>
    <w:rsid w:val="00AD141F"/>
    <w:rsid w:val="00AD1CFC"/>
    <w:rsid w:val="00AD23EF"/>
    <w:rsid w:val="00AD482F"/>
    <w:rsid w:val="00AD7790"/>
    <w:rsid w:val="00AE1717"/>
    <w:rsid w:val="00AE3DD2"/>
    <w:rsid w:val="00AE4E54"/>
    <w:rsid w:val="00AE605B"/>
    <w:rsid w:val="00AF2194"/>
    <w:rsid w:val="00AF51E4"/>
    <w:rsid w:val="00AF55CE"/>
    <w:rsid w:val="00AF6E21"/>
    <w:rsid w:val="00B01624"/>
    <w:rsid w:val="00B02222"/>
    <w:rsid w:val="00B040E8"/>
    <w:rsid w:val="00B068CC"/>
    <w:rsid w:val="00B078EE"/>
    <w:rsid w:val="00B07BE1"/>
    <w:rsid w:val="00B13E6E"/>
    <w:rsid w:val="00B148D2"/>
    <w:rsid w:val="00B172B3"/>
    <w:rsid w:val="00B203E9"/>
    <w:rsid w:val="00B22E36"/>
    <w:rsid w:val="00B233AC"/>
    <w:rsid w:val="00B27117"/>
    <w:rsid w:val="00B311EC"/>
    <w:rsid w:val="00B31550"/>
    <w:rsid w:val="00B3373E"/>
    <w:rsid w:val="00B342E6"/>
    <w:rsid w:val="00B35832"/>
    <w:rsid w:val="00B37E39"/>
    <w:rsid w:val="00B45C3A"/>
    <w:rsid w:val="00B50DD7"/>
    <w:rsid w:val="00B52EAD"/>
    <w:rsid w:val="00B533E1"/>
    <w:rsid w:val="00B53506"/>
    <w:rsid w:val="00B625A8"/>
    <w:rsid w:val="00B628C2"/>
    <w:rsid w:val="00B65FCC"/>
    <w:rsid w:val="00B6605E"/>
    <w:rsid w:val="00B66068"/>
    <w:rsid w:val="00B66948"/>
    <w:rsid w:val="00B679C1"/>
    <w:rsid w:val="00B70A13"/>
    <w:rsid w:val="00B714FC"/>
    <w:rsid w:val="00B75324"/>
    <w:rsid w:val="00B7730F"/>
    <w:rsid w:val="00B84DD4"/>
    <w:rsid w:val="00B84FCF"/>
    <w:rsid w:val="00B86D8B"/>
    <w:rsid w:val="00B879D2"/>
    <w:rsid w:val="00B907C4"/>
    <w:rsid w:val="00B9206A"/>
    <w:rsid w:val="00B92F16"/>
    <w:rsid w:val="00B9507C"/>
    <w:rsid w:val="00B979EB"/>
    <w:rsid w:val="00BA0AAF"/>
    <w:rsid w:val="00BA0CA3"/>
    <w:rsid w:val="00BA2FAF"/>
    <w:rsid w:val="00BA553B"/>
    <w:rsid w:val="00BA66BF"/>
    <w:rsid w:val="00BB19C4"/>
    <w:rsid w:val="00BB238D"/>
    <w:rsid w:val="00BB35EB"/>
    <w:rsid w:val="00BB3E65"/>
    <w:rsid w:val="00BB41E3"/>
    <w:rsid w:val="00BB7F57"/>
    <w:rsid w:val="00BC003E"/>
    <w:rsid w:val="00BC13FA"/>
    <w:rsid w:val="00BC4309"/>
    <w:rsid w:val="00BC49BF"/>
    <w:rsid w:val="00BC4A64"/>
    <w:rsid w:val="00BC6702"/>
    <w:rsid w:val="00BC6BEF"/>
    <w:rsid w:val="00BD286E"/>
    <w:rsid w:val="00BD2A35"/>
    <w:rsid w:val="00BD39D4"/>
    <w:rsid w:val="00BD5EDF"/>
    <w:rsid w:val="00BE04D6"/>
    <w:rsid w:val="00BE26DC"/>
    <w:rsid w:val="00BE30D0"/>
    <w:rsid w:val="00BE5C74"/>
    <w:rsid w:val="00BE7DEE"/>
    <w:rsid w:val="00BE7F0C"/>
    <w:rsid w:val="00BF07BB"/>
    <w:rsid w:val="00BF0936"/>
    <w:rsid w:val="00BF2125"/>
    <w:rsid w:val="00BF44CD"/>
    <w:rsid w:val="00BF755B"/>
    <w:rsid w:val="00C02EC1"/>
    <w:rsid w:val="00C035D7"/>
    <w:rsid w:val="00C04C46"/>
    <w:rsid w:val="00C10C4F"/>
    <w:rsid w:val="00C13851"/>
    <w:rsid w:val="00C14190"/>
    <w:rsid w:val="00C16210"/>
    <w:rsid w:val="00C20022"/>
    <w:rsid w:val="00C20F14"/>
    <w:rsid w:val="00C241A6"/>
    <w:rsid w:val="00C24314"/>
    <w:rsid w:val="00C277A7"/>
    <w:rsid w:val="00C3469A"/>
    <w:rsid w:val="00C36348"/>
    <w:rsid w:val="00C36A33"/>
    <w:rsid w:val="00C420AD"/>
    <w:rsid w:val="00C42234"/>
    <w:rsid w:val="00C466BE"/>
    <w:rsid w:val="00C5051C"/>
    <w:rsid w:val="00C518A0"/>
    <w:rsid w:val="00C51F9E"/>
    <w:rsid w:val="00C55DD2"/>
    <w:rsid w:val="00C640CA"/>
    <w:rsid w:val="00C648AB"/>
    <w:rsid w:val="00C66B53"/>
    <w:rsid w:val="00C67FD0"/>
    <w:rsid w:val="00C84E55"/>
    <w:rsid w:val="00C852D9"/>
    <w:rsid w:val="00C86684"/>
    <w:rsid w:val="00C915E0"/>
    <w:rsid w:val="00C915FF"/>
    <w:rsid w:val="00CA07BE"/>
    <w:rsid w:val="00CA08C8"/>
    <w:rsid w:val="00CA15CB"/>
    <w:rsid w:val="00CA393E"/>
    <w:rsid w:val="00CA4518"/>
    <w:rsid w:val="00CA5FCC"/>
    <w:rsid w:val="00CB0A52"/>
    <w:rsid w:val="00CB1CF0"/>
    <w:rsid w:val="00CC0AD9"/>
    <w:rsid w:val="00CC4D9F"/>
    <w:rsid w:val="00CC5465"/>
    <w:rsid w:val="00CC6D7A"/>
    <w:rsid w:val="00CD0E47"/>
    <w:rsid w:val="00CD239B"/>
    <w:rsid w:val="00CD260B"/>
    <w:rsid w:val="00CD5EEF"/>
    <w:rsid w:val="00CD6763"/>
    <w:rsid w:val="00CD7DBF"/>
    <w:rsid w:val="00CE028E"/>
    <w:rsid w:val="00CE141C"/>
    <w:rsid w:val="00CE15CD"/>
    <w:rsid w:val="00CE4362"/>
    <w:rsid w:val="00CE56BD"/>
    <w:rsid w:val="00CE75BB"/>
    <w:rsid w:val="00CE77FB"/>
    <w:rsid w:val="00CE7D47"/>
    <w:rsid w:val="00CF2DBC"/>
    <w:rsid w:val="00CF56DC"/>
    <w:rsid w:val="00CF7DBD"/>
    <w:rsid w:val="00D00065"/>
    <w:rsid w:val="00D00E44"/>
    <w:rsid w:val="00D01AA4"/>
    <w:rsid w:val="00D030DF"/>
    <w:rsid w:val="00D0750B"/>
    <w:rsid w:val="00D11679"/>
    <w:rsid w:val="00D130F3"/>
    <w:rsid w:val="00D13CBF"/>
    <w:rsid w:val="00D1411D"/>
    <w:rsid w:val="00D141E4"/>
    <w:rsid w:val="00D24462"/>
    <w:rsid w:val="00D26AB8"/>
    <w:rsid w:val="00D327AF"/>
    <w:rsid w:val="00D343BF"/>
    <w:rsid w:val="00D35F46"/>
    <w:rsid w:val="00D400A2"/>
    <w:rsid w:val="00D41730"/>
    <w:rsid w:val="00D43371"/>
    <w:rsid w:val="00D43F66"/>
    <w:rsid w:val="00D509F7"/>
    <w:rsid w:val="00D50BCC"/>
    <w:rsid w:val="00D53A34"/>
    <w:rsid w:val="00D551E7"/>
    <w:rsid w:val="00D56154"/>
    <w:rsid w:val="00D613A2"/>
    <w:rsid w:val="00D62EB6"/>
    <w:rsid w:val="00D67F02"/>
    <w:rsid w:val="00D7078F"/>
    <w:rsid w:val="00D711E3"/>
    <w:rsid w:val="00D71540"/>
    <w:rsid w:val="00D71768"/>
    <w:rsid w:val="00D71B6B"/>
    <w:rsid w:val="00D758D1"/>
    <w:rsid w:val="00D76FB6"/>
    <w:rsid w:val="00D80135"/>
    <w:rsid w:val="00D8300B"/>
    <w:rsid w:val="00D83756"/>
    <w:rsid w:val="00D83B24"/>
    <w:rsid w:val="00D871C0"/>
    <w:rsid w:val="00D907AF"/>
    <w:rsid w:val="00D90C96"/>
    <w:rsid w:val="00D916DE"/>
    <w:rsid w:val="00D92498"/>
    <w:rsid w:val="00D959AE"/>
    <w:rsid w:val="00D95D67"/>
    <w:rsid w:val="00DA13A4"/>
    <w:rsid w:val="00DA35A1"/>
    <w:rsid w:val="00DA5AB0"/>
    <w:rsid w:val="00DA5E97"/>
    <w:rsid w:val="00DA6F9E"/>
    <w:rsid w:val="00DA7811"/>
    <w:rsid w:val="00DB2E6F"/>
    <w:rsid w:val="00DB4297"/>
    <w:rsid w:val="00DB535D"/>
    <w:rsid w:val="00DB6D32"/>
    <w:rsid w:val="00DC3DBA"/>
    <w:rsid w:val="00DC4334"/>
    <w:rsid w:val="00DC5E1E"/>
    <w:rsid w:val="00DD41E5"/>
    <w:rsid w:val="00DD4F16"/>
    <w:rsid w:val="00DE25BF"/>
    <w:rsid w:val="00DE3158"/>
    <w:rsid w:val="00DE3798"/>
    <w:rsid w:val="00DE59EB"/>
    <w:rsid w:val="00DF690E"/>
    <w:rsid w:val="00E00282"/>
    <w:rsid w:val="00E025E5"/>
    <w:rsid w:val="00E039EF"/>
    <w:rsid w:val="00E1289F"/>
    <w:rsid w:val="00E15D27"/>
    <w:rsid w:val="00E205AE"/>
    <w:rsid w:val="00E2252E"/>
    <w:rsid w:val="00E22D81"/>
    <w:rsid w:val="00E252C7"/>
    <w:rsid w:val="00E2560E"/>
    <w:rsid w:val="00E256AE"/>
    <w:rsid w:val="00E26608"/>
    <w:rsid w:val="00E30257"/>
    <w:rsid w:val="00E30F05"/>
    <w:rsid w:val="00E320C8"/>
    <w:rsid w:val="00E35A1D"/>
    <w:rsid w:val="00E36474"/>
    <w:rsid w:val="00E36A12"/>
    <w:rsid w:val="00E37F9A"/>
    <w:rsid w:val="00E45146"/>
    <w:rsid w:val="00E458B6"/>
    <w:rsid w:val="00E45E16"/>
    <w:rsid w:val="00E5031E"/>
    <w:rsid w:val="00E511AE"/>
    <w:rsid w:val="00E54467"/>
    <w:rsid w:val="00E5756B"/>
    <w:rsid w:val="00E61376"/>
    <w:rsid w:val="00E61D15"/>
    <w:rsid w:val="00E6378E"/>
    <w:rsid w:val="00E63E8C"/>
    <w:rsid w:val="00E655E5"/>
    <w:rsid w:val="00E667B0"/>
    <w:rsid w:val="00E70281"/>
    <w:rsid w:val="00E73051"/>
    <w:rsid w:val="00E738A4"/>
    <w:rsid w:val="00E76ACD"/>
    <w:rsid w:val="00E81652"/>
    <w:rsid w:val="00E8353A"/>
    <w:rsid w:val="00E862E1"/>
    <w:rsid w:val="00E87E67"/>
    <w:rsid w:val="00E91C57"/>
    <w:rsid w:val="00E931B4"/>
    <w:rsid w:val="00E96DA0"/>
    <w:rsid w:val="00EA07CE"/>
    <w:rsid w:val="00EA0FBA"/>
    <w:rsid w:val="00EB15AE"/>
    <w:rsid w:val="00EB35E6"/>
    <w:rsid w:val="00EB799E"/>
    <w:rsid w:val="00EC01CD"/>
    <w:rsid w:val="00EC403E"/>
    <w:rsid w:val="00EC47D8"/>
    <w:rsid w:val="00EC5E9D"/>
    <w:rsid w:val="00EC6103"/>
    <w:rsid w:val="00EC6412"/>
    <w:rsid w:val="00ED49AA"/>
    <w:rsid w:val="00ED4E43"/>
    <w:rsid w:val="00ED7652"/>
    <w:rsid w:val="00EE0749"/>
    <w:rsid w:val="00EE0F73"/>
    <w:rsid w:val="00EE0FCA"/>
    <w:rsid w:val="00EE6CAE"/>
    <w:rsid w:val="00EF1202"/>
    <w:rsid w:val="00EF2662"/>
    <w:rsid w:val="00F01E4B"/>
    <w:rsid w:val="00F0505C"/>
    <w:rsid w:val="00F0745A"/>
    <w:rsid w:val="00F108F0"/>
    <w:rsid w:val="00F12B32"/>
    <w:rsid w:val="00F148E0"/>
    <w:rsid w:val="00F14F8F"/>
    <w:rsid w:val="00F16859"/>
    <w:rsid w:val="00F170D7"/>
    <w:rsid w:val="00F208C7"/>
    <w:rsid w:val="00F3003F"/>
    <w:rsid w:val="00F36F37"/>
    <w:rsid w:val="00F37A98"/>
    <w:rsid w:val="00F412BD"/>
    <w:rsid w:val="00F42A40"/>
    <w:rsid w:val="00F51115"/>
    <w:rsid w:val="00F51DB7"/>
    <w:rsid w:val="00F54995"/>
    <w:rsid w:val="00F57D13"/>
    <w:rsid w:val="00F646A0"/>
    <w:rsid w:val="00F712CA"/>
    <w:rsid w:val="00F7228B"/>
    <w:rsid w:val="00F74F98"/>
    <w:rsid w:val="00F75858"/>
    <w:rsid w:val="00F75E9C"/>
    <w:rsid w:val="00F773FC"/>
    <w:rsid w:val="00F830F3"/>
    <w:rsid w:val="00F851EF"/>
    <w:rsid w:val="00F85B86"/>
    <w:rsid w:val="00F9063D"/>
    <w:rsid w:val="00F935D1"/>
    <w:rsid w:val="00F97762"/>
    <w:rsid w:val="00F97782"/>
    <w:rsid w:val="00F97E6A"/>
    <w:rsid w:val="00FA1FF9"/>
    <w:rsid w:val="00FA21FB"/>
    <w:rsid w:val="00FA3EDE"/>
    <w:rsid w:val="00FA576D"/>
    <w:rsid w:val="00FA74E1"/>
    <w:rsid w:val="00FA7F1B"/>
    <w:rsid w:val="00FB0BA7"/>
    <w:rsid w:val="00FB200E"/>
    <w:rsid w:val="00FB3A63"/>
    <w:rsid w:val="00FB3AB9"/>
    <w:rsid w:val="00FB41D5"/>
    <w:rsid w:val="00FB71B8"/>
    <w:rsid w:val="00FC40B1"/>
    <w:rsid w:val="00FC4854"/>
    <w:rsid w:val="00FC4BF1"/>
    <w:rsid w:val="00FC4D61"/>
    <w:rsid w:val="00FC6BB0"/>
    <w:rsid w:val="00FD0273"/>
    <w:rsid w:val="00FD1616"/>
    <w:rsid w:val="00FD3091"/>
    <w:rsid w:val="00FD324F"/>
    <w:rsid w:val="00FE08A7"/>
    <w:rsid w:val="00FE0F06"/>
    <w:rsid w:val="00FE199F"/>
    <w:rsid w:val="00FF18F8"/>
    <w:rsid w:val="00FF26A3"/>
    <w:rsid w:val="00FF3BE1"/>
    <w:rsid w:val="00FF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aeaea">
      <v:fill color="#eaeaea"/>
      <v:shadow on="t"/>
      <o:colormru v:ext="edit" colors="#fcc,#eaeaea"/>
    </o:shapedefaults>
    <o:shapelayout v:ext="edit">
      <o:idmap v:ext="edit" data="1"/>
    </o:shapelayout>
  </w:shapeDefaults>
  <w:decimalSymbol w:val="."/>
  <w:listSeparator w:val=","/>
  <w15:docId w15:val="{9251E862-484D-476B-B3AE-09C31CE0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52"/>
    <w:pPr>
      <w:widowControl w:val="0"/>
      <w:jc w:val="both"/>
    </w:pPr>
    <w:rPr>
      <w:kern w:val="2"/>
      <w:sz w:val="21"/>
      <w:szCs w:val="24"/>
    </w:rPr>
  </w:style>
  <w:style w:type="paragraph" w:styleId="1">
    <w:name w:val="heading 1"/>
    <w:basedOn w:val="a"/>
    <w:next w:val="a"/>
    <w:qFormat/>
    <w:rsid w:val="00ED7652"/>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4C635B"/>
    <w:pPr>
      <w:keepNext/>
      <w:keepLines/>
      <w:numPr>
        <w:numId w:val="4"/>
      </w:numPr>
      <w:spacing w:line="360" w:lineRule="auto"/>
      <w:ind w:left="0" w:firstLineChars="200" w:firstLine="562"/>
      <w:outlineLvl w:val="1"/>
    </w:pPr>
    <w:rPr>
      <w:rFonts w:ascii="仿宋_GB2312" w:eastAsia="仿宋_GB2312"/>
      <w:b/>
      <w:bCs/>
      <w:sz w:val="28"/>
      <w:szCs w:val="28"/>
    </w:rPr>
  </w:style>
  <w:style w:type="paragraph" w:styleId="3">
    <w:name w:val="heading 3"/>
    <w:aliases w:val="Chapter X.X.X."/>
    <w:basedOn w:val="a"/>
    <w:next w:val="a"/>
    <w:qFormat/>
    <w:rsid w:val="00ED7652"/>
    <w:pPr>
      <w:keepNext/>
      <w:jc w:val="center"/>
      <w:outlineLvl w:val="2"/>
    </w:pPr>
    <w:rPr>
      <w:rFonts w:eastAsia="楷体_GB2312"/>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D7652"/>
    <w:rPr>
      <w:sz w:val="18"/>
    </w:rPr>
  </w:style>
  <w:style w:type="character" w:styleId="a3">
    <w:name w:val="footnote reference"/>
    <w:basedOn w:val="a0"/>
    <w:semiHidden/>
    <w:rsid w:val="00ED7652"/>
    <w:rPr>
      <w:vertAlign w:val="superscript"/>
    </w:rPr>
  </w:style>
  <w:style w:type="paragraph" w:styleId="a4">
    <w:name w:val="Normal (Web)"/>
    <w:basedOn w:val="a"/>
    <w:rsid w:val="00ED7652"/>
    <w:pPr>
      <w:widowControl/>
      <w:spacing w:before="100" w:beforeAutospacing="1" w:after="100" w:afterAutospacing="1" w:line="288" w:lineRule="auto"/>
      <w:jc w:val="left"/>
    </w:pPr>
    <w:rPr>
      <w:rFonts w:ascii="Arial Unicode MS" w:eastAsia="Arial Unicode MS" w:hAnsi="Arial Unicode MS" w:cs="Arial Unicode MS"/>
      <w:kern w:val="0"/>
      <w:sz w:val="24"/>
    </w:rPr>
  </w:style>
  <w:style w:type="paragraph" w:styleId="10">
    <w:name w:val="toc 1"/>
    <w:basedOn w:val="a"/>
    <w:next w:val="a"/>
    <w:autoRedefine/>
    <w:semiHidden/>
    <w:rsid w:val="00D7078F"/>
    <w:pPr>
      <w:tabs>
        <w:tab w:val="right" w:leader="dot" w:pos="8296"/>
      </w:tabs>
      <w:spacing w:before="120" w:after="120" w:line="360" w:lineRule="auto"/>
      <w:jc w:val="left"/>
    </w:pPr>
    <w:rPr>
      <w:rFonts w:ascii="黑体" w:eastAsia="黑体"/>
      <w:b/>
      <w:noProof/>
      <w:sz w:val="28"/>
    </w:rPr>
  </w:style>
  <w:style w:type="paragraph" w:styleId="20">
    <w:name w:val="Body Text Indent 2"/>
    <w:basedOn w:val="a"/>
    <w:rsid w:val="00ED7652"/>
    <w:pPr>
      <w:widowControl/>
      <w:spacing w:line="288" w:lineRule="auto"/>
      <w:ind w:firstLineChars="200" w:firstLine="480"/>
      <w:jc w:val="left"/>
    </w:pPr>
    <w:rPr>
      <w:rFonts w:eastAsia="楷体_GB2312"/>
      <w:sz w:val="24"/>
    </w:rPr>
  </w:style>
  <w:style w:type="paragraph" w:styleId="a5">
    <w:name w:val="footnote text"/>
    <w:basedOn w:val="a"/>
    <w:semiHidden/>
    <w:rsid w:val="00ED7652"/>
    <w:pPr>
      <w:snapToGrid w:val="0"/>
      <w:jc w:val="left"/>
    </w:pPr>
    <w:rPr>
      <w:sz w:val="18"/>
      <w:szCs w:val="18"/>
    </w:rPr>
  </w:style>
  <w:style w:type="character" w:styleId="a6">
    <w:name w:val="Hyperlink"/>
    <w:basedOn w:val="a0"/>
    <w:uiPriority w:val="99"/>
    <w:rsid w:val="00ED7652"/>
    <w:rPr>
      <w:color w:val="0000FF"/>
      <w:u w:val="single"/>
    </w:rPr>
  </w:style>
  <w:style w:type="paragraph" w:styleId="a7">
    <w:name w:val="Body Text"/>
    <w:basedOn w:val="a"/>
    <w:rsid w:val="00ED7652"/>
    <w:pPr>
      <w:widowControl/>
      <w:spacing w:line="264" w:lineRule="auto"/>
      <w:jc w:val="left"/>
    </w:pPr>
    <w:rPr>
      <w:rFonts w:eastAsia="楷体_GB2312"/>
      <w:kern w:val="0"/>
      <w:sz w:val="24"/>
    </w:rPr>
  </w:style>
  <w:style w:type="paragraph" w:styleId="21">
    <w:name w:val="toc 2"/>
    <w:basedOn w:val="a"/>
    <w:next w:val="a"/>
    <w:autoRedefine/>
    <w:uiPriority w:val="39"/>
    <w:rsid w:val="007F0F29"/>
    <w:pPr>
      <w:tabs>
        <w:tab w:val="right" w:leader="dot" w:pos="8296"/>
      </w:tabs>
      <w:ind w:leftChars="200" w:left="420"/>
    </w:pPr>
    <w:rPr>
      <w:noProof/>
      <w:sz w:val="28"/>
      <w:szCs w:val="28"/>
    </w:rPr>
  </w:style>
  <w:style w:type="paragraph" w:styleId="31">
    <w:name w:val="toc 3"/>
    <w:basedOn w:val="a"/>
    <w:next w:val="a"/>
    <w:autoRedefine/>
    <w:semiHidden/>
    <w:rsid w:val="00ED7652"/>
    <w:pPr>
      <w:ind w:leftChars="400" w:left="840"/>
    </w:pPr>
  </w:style>
  <w:style w:type="paragraph" w:styleId="4">
    <w:name w:val="toc 4"/>
    <w:basedOn w:val="a"/>
    <w:next w:val="a"/>
    <w:autoRedefine/>
    <w:semiHidden/>
    <w:rsid w:val="00ED7652"/>
    <w:pPr>
      <w:ind w:leftChars="600" w:left="1260"/>
    </w:pPr>
  </w:style>
  <w:style w:type="paragraph" w:styleId="5">
    <w:name w:val="toc 5"/>
    <w:basedOn w:val="a"/>
    <w:next w:val="a"/>
    <w:autoRedefine/>
    <w:semiHidden/>
    <w:rsid w:val="00ED7652"/>
    <w:pPr>
      <w:ind w:leftChars="800" w:left="1680"/>
    </w:pPr>
  </w:style>
  <w:style w:type="paragraph" w:styleId="6">
    <w:name w:val="toc 6"/>
    <w:basedOn w:val="a"/>
    <w:next w:val="a"/>
    <w:autoRedefine/>
    <w:semiHidden/>
    <w:rsid w:val="00ED7652"/>
    <w:pPr>
      <w:ind w:leftChars="1000" w:left="2100"/>
    </w:pPr>
  </w:style>
  <w:style w:type="paragraph" w:styleId="7">
    <w:name w:val="toc 7"/>
    <w:basedOn w:val="a"/>
    <w:next w:val="a"/>
    <w:autoRedefine/>
    <w:semiHidden/>
    <w:rsid w:val="00ED7652"/>
    <w:pPr>
      <w:ind w:leftChars="1200" w:left="2520"/>
    </w:pPr>
  </w:style>
  <w:style w:type="paragraph" w:styleId="8">
    <w:name w:val="toc 8"/>
    <w:basedOn w:val="a"/>
    <w:next w:val="a"/>
    <w:autoRedefine/>
    <w:semiHidden/>
    <w:rsid w:val="00ED7652"/>
    <w:pPr>
      <w:ind w:leftChars="1400" w:left="2940"/>
    </w:pPr>
  </w:style>
  <w:style w:type="paragraph" w:styleId="9">
    <w:name w:val="toc 9"/>
    <w:basedOn w:val="a"/>
    <w:next w:val="a"/>
    <w:autoRedefine/>
    <w:semiHidden/>
    <w:rsid w:val="00ED7652"/>
    <w:pPr>
      <w:ind w:leftChars="1600" w:left="3360"/>
    </w:pPr>
  </w:style>
  <w:style w:type="paragraph" w:styleId="a8">
    <w:name w:val="footer"/>
    <w:basedOn w:val="a"/>
    <w:rsid w:val="00ED7652"/>
    <w:pPr>
      <w:tabs>
        <w:tab w:val="center" w:pos="4153"/>
        <w:tab w:val="right" w:pos="8306"/>
      </w:tabs>
      <w:snapToGrid w:val="0"/>
      <w:jc w:val="left"/>
    </w:pPr>
    <w:rPr>
      <w:sz w:val="18"/>
      <w:szCs w:val="18"/>
    </w:rPr>
  </w:style>
  <w:style w:type="character" w:styleId="a9">
    <w:name w:val="page number"/>
    <w:basedOn w:val="a0"/>
    <w:rsid w:val="00ED7652"/>
  </w:style>
  <w:style w:type="paragraph" w:styleId="aa">
    <w:name w:val="header"/>
    <w:basedOn w:val="a"/>
    <w:rsid w:val="00ED7652"/>
    <w:pPr>
      <w:pBdr>
        <w:bottom w:val="single" w:sz="6" w:space="1" w:color="auto"/>
      </w:pBdr>
      <w:tabs>
        <w:tab w:val="center" w:pos="4153"/>
        <w:tab w:val="right" w:pos="8306"/>
      </w:tabs>
      <w:snapToGrid w:val="0"/>
      <w:jc w:val="center"/>
    </w:pPr>
    <w:rPr>
      <w:sz w:val="18"/>
      <w:szCs w:val="18"/>
    </w:rPr>
  </w:style>
  <w:style w:type="character" w:styleId="ab">
    <w:name w:val="FollowedHyperlink"/>
    <w:basedOn w:val="a0"/>
    <w:rsid w:val="00ED7652"/>
    <w:rPr>
      <w:color w:val="800080"/>
      <w:u w:val="single"/>
    </w:rPr>
  </w:style>
  <w:style w:type="paragraph" w:styleId="ac">
    <w:name w:val="Body Text Indent"/>
    <w:basedOn w:val="a"/>
    <w:rsid w:val="007A14D7"/>
    <w:pPr>
      <w:spacing w:after="120"/>
      <w:ind w:leftChars="200" w:left="420"/>
    </w:pPr>
  </w:style>
  <w:style w:type="paragraph" w:styleId="32">
    <w:name w:val="Body Text Indent 3"/>
    <w:basedOn w:val="a"/>
    <w:rsid w:val="007A14D7"/>
    <w:pPr>
      <w:spacing w:after="120"/>
      <w:ind w:leftChars="200" w:left="420"/>
    </w:pPr>
    <w:rPr>
      <w:sz w:val="16"/>
      <w:szCs w:val="16"/>
    </w:rPr>
  </w:style>
  <w:style w:type="paragraph" w:styleId="ad">
    <w:name w:val="Normal Indent"/>
    <w:basedOn w:val="a"/>
    <w:rsid w:val="007A14D7"/>
    <w:pPr>
      <w:ind w:firstLine="420"/>
    </w:pPr>
    <w:rPr>
      <w:szCs w:val="20"/>
    </w:rPr>
  </w:style>
  <w:style w:type="paragraph" w:customStyle="1" w:styleId="InfoBlue">
    <w:name w:val="InfoBlue"/>
    <w:basedOn w:val="a"/>
    <w:next w:val="a7"/>
    <w:autoRedefine/>
    <w:rsid w:val="007A14D7"/>
    <w:pPr>
      <w:numPr>
        <w:numId w:val="1"/>
      </w:numPr>
      <w:spacing w:after="120" w:line="240" w:lineRule="atLeast"/>
      <w:jc w:val="left"/>
    </w:pPr>
    <w:rPr>
      <w:rFonts w:ascii="宋体" w:hAnsi="宋体"/>
      <w:bCs/>
      <w:iCs/>
    </w:rPr>
  </w:style>
  <w:style w:type="paragraph" w:customStyle="1" w:styleId="Listbullet">
    <w:name w:val="List_bullet"/>
    <w:basedOn w:val="a"/>
    <w:rsid w:val="007A14D7"/>
    <w:pPr>
      <w:widowControl/>
      <w:numPr>
        <w:numId w:val="2"/>
      </w:numPr>
      <w:jc w:val="left"/>
    </w:pPr>
    <w:rPr>
      <w:kern w:val="0"/>
      <w:sz w:val="24"/>
    </w:rPr>
  </w:style>
  <w:style w:type="paragraph" w:styleId="ae">
    <w:name w:val="annotation text"/>
    <w:basedOn w:val="a"/>
    <w:link w:val="Char"/>
    <w:uiPriority w:val="99"/>
    <w:semiHidden/>
    <w:rsid w:val="007A14D7"/>
    <w:pPr>
      <w:jc w:val="left"/>
    </w:pPr>
  </w:style>
  <w:style w:type="paragraph" w:customStyle="1" w:styleId="af">
    <w:name w:val="正文所"/>
    <w:basedOn w:val="a"/>
    <w:rsid w:val="007A14D7"/>
    <w:pPr>
      <w:spacing w:line="360" w:lineRule="auto"/>
      <w:ind w:firstLineChars="200" w:firstLine="420"/>
    </w:pPr>
    <w:rPr>
      <w:rFonts w:ascii="宋体"/>
      <w:szCs w:val="20"/>
    </w:rPr>
  </w:style>
  <w:style w:type="paragraph" w:customStyle="1" w:styleId="Char1CharCharCharCharCharChar">
    <w:name w:val="Char1 Char Char Char Char Char Char"/>
    <w:basedOn w:val="a"/>
    <w:rsid w:val="000F171D"/>
  </w:style>
  <w:style w:type="character" w:styleId="af0">
    <w:name w:val="annotation reference"/>
    <w:basedOn w:val="a0"/>
    <w:uiPriority w:val="99"/>
    <w:semiHidden/>
    <w:rsid w:val="000F171D"/>
    <w:rPr>
      <w:sz w:val="21"/>
      <w:szCs w:val="21"/>
    </w:rPr>
  </w:style>
  <w:style w:type="paragraph" w:styleId="af1">
    <w:name w:val="Balloon Text"/>
    <w:basedOn w:val="a"/>
    <w:semiHidden/>
    <w:rsid w:val="000F171D"/>
    <w:rPr>
      <w:sz w:val="18"/>
      <w:szCs w:val="18"/>
    </w:rPr>
  </w:style>
  <w:style w:type="paragraph" w:customStyle="1" w:styleId="ParaCharCharCharCharCharChar">
    <w:name w:val="默认段落字体 Para Char Char Char Char Char Char"/>
    <w:basedOn w:val="a"/>
    <w:autoRedefine/>
    <w:rsid w:val="004C29E1"/>
    <w:pPr>
      <w:tabs>
        <w:tab w:val="num" w:pos="840"/>
      </w:tabs>
      <w:ind w:left="840" w:hanging="360"/>
    </w:pPr>
    <w:rPr>
      <w:sz w:val="24"/>
    </w:rPr>
  </w:style>
  <w:style w:type="paragraph" w:customStyle="1" w:styleId="CharCharCharCharCharCharChar">
    <w:name w:val="Char Char Char Char Char Char Char"/>
    <w:basedOn w:val="a"/>
    <w:rsid w:val="00D67F02"/>
  </w:style>
  <w:style w:type="character" w:customStyle="1" w:styleId="2Char">
    <w:name w:val="标题 2 Char"/>
    <w:basedOn w:val="a0"/>
    <w:link w:val="2"/>
    <w:rsid w:val="004C635B"/>
    <w:rPr>
      <w:rFonts w:ascii="仿宋_GB2312" w:eastAsia="仿宋_GB2312"/>
      <w:b/>
      <w:bCs/>
      <w:kern w:val="2"/>
      <w:sz w:val="28"/>
      <w:szCs w:val="28"/>
    </w:rPr>
  </w:style>
  <w:style w:type="character" w:customStyle="1" w:styleId="Char">
    <w:name w:val="批注文字 Char"/>
    <w:link w:val="ae"/>
    <w:uiPriority w:val="99"/>
    <w:semiHidden/>
    <w:rsid w:val="008D2E07"/>
    <w:rPr>
      <w:kern w:val="2"/>
      <w:sz w:val="21"/>
      <w:szCs w:val="24"/>
    </w:rPr>
  </w:style>
  <w:style w:type="paragraph" w:customStyle="1" w:styleId="Default">
    <w:name w:val="Default"/>
    <w:rsid w:val="00E256AE"/>
    <w:pPr>
      <w:widowControl w:val="0"/>
      <w:autoSpaceDE w:val="0"/>
      <w:autoSpaceDN w:val="0"/>
      <w:adjustRightInd w:val="0"/>
    </w:pPr>
    <w:rPr>
      <w:color w:val="000000"/>
      <w:sz w:val="24"/>
      <w:szCs w:val="24"/>
    </w:rPr>
  </w:style>
  <w:style w:type="paragraph" w:styleId="af2">
    <w:name w:val="annotation subject"/>
    <w:basedOn w:val="ae"/>
    <w:next w:val="ae"/>
    <w:link w:val="Char0"/>
    <w:rsid w:val="00510BC2"/>
    <w:rPr>
      <w:b/>
      <w:bCs/>
    </w:rPr>
  </w:style>
  <w:style w:type="character" w:customStyle="1" w:styleId="Char0">
    <w:name w:val="批注主题 Char"/>
    <w:basedOn w:val="Char"/>
    <w:link w:val="af2"/>
    <w:rsid w:val="00510BC2"/>
    <w:rPr>
      <w:b/>
      <w:bCs/>
      <w:kern w:val="2"/>
      <w:sz w:val="21"/>
      <w:szCs w:val="24"/>
    </w:rPr>
  </w:style>
  <w:style w:type="paragraph" w:styleId="af3">
    <w:name w:val="List Paragraph"/>
    <w:basedOn w:val="a"/>
    <w:uiPriority w:val="34"/>
    <w:qFormat/>
    <w:rsid w:val="00EC403E"/>
    <w:pPr>
      <w:ind w:firstLineChars="200" w:firstLine="420"/>
    </w:pPr>
  </w:style>
  <w:style w:type="paragraph" w:styleId="af4">
    <w:name w:val="Revision"/>
    <w:hidden/>
    <w:uiPriority w:val="99"/>
    <w:semiHidden/>
    <w:rsid w:val="0077075D"/>
    <w:rPr>
      <w:kern w:val="2"/>
      <w:sz w:val="21"/>
      <w:szCs w:val="24"/>
    </w:rPr>
  </w:style>
  <w:style w:type="character" w:styleId="af5">
    <w:name w:val="Placeholder Text"/>
    <w:basedOn w:val="a0"/>
    <w:uiPriority w:val="99"/>
    <w:semiHidden/>
    <w:rsid w:val="00D141E4"/>
    <w:rPr>
      <w:color w:val="808080"/>
    </w:rPr>
  </w:style>
  <w:style w:type="paragraph" w:styleId="af6">
    <w:name w:val="Title"/>
    <w:basedOn w:val="a"/>
    <w:next w:val="a"/>
    <w:link w:val="Char1"/>
    <w:qFormat/>
    <w:rsid w:val="008141E3"/>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f6"/>
    <w:rsid w:val="008141E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501">
      <w:bodyDiv w:val="1"/>
      <w:marLeft w:val="0"/>
      <w:marRight w:val="0"/>
      <w:marTop w:val="0"/>
      <w:marBottom w:val="0"/>
      <w:divBdr>
        <w:top w:val="none" w:sz="0" w:space="0" w:color="auto"/>
        <w:left w:val="none" w:sz="0" w:space="0" w:color="auto"/>
        <w:bottom w:val="none" w:sz="0" w:space="0" w:color="auto"/>
        <w:right w:val="none" w:sz="0" w:space="0" w:color="auto"/>
      </w:divBdr>
      <w:divsChild>
        <w:div w:id="1074473984">
          <w:marLeft w:val="0"/>
          <w:marRight w:val="0"/>
          <w:marTop w:val="0"/>
          <w:marBottom w:val="0"/>
          <w:divBdr>
            <w:top w:val="none" w:sz="0" w:space="0" w:color="auto"/>
            <w:left w:val="none" w:sz="0" w:space="0" w:color="auto"/>
            <w:bottom w:val="none" w:sz="0" w:space="0" w:color="auto"/>
            <w:right w:val="none" w:sz="0" w:space="0" w:color="auto"/>
          </w:divBdr>
          <w:divsChild>
            <w:div w:id="801575499">
              <w:marLeft w:val="0"/>
              <w:marRight w:val="0"/>
              <w:marTop w:val="0"/>
              <w:marBottom w:val="0"/>
              <w:divBdr>
                <w:top w:val="none" w:sz="0" w:space="0" w:color="auto"/>
                <w:left w:val="none" w:sz="0" w:space="0" w:color="auto"/>
                <w:bottom w:val="none" w:sz="0" w:space="0" w:color="auto"/>
                <w:right w:val="none" w:sz="0" w:space="0" w:color="auto"/>
              </w:divBdr>
            </w:div>
            <w:div w:id="1349336841">
              <w:marLeft w:val="0"/>
              <w:marRight w:val="0"/>
              <w:marTop w:val="0"/>
              <w:marBottom w:val="0"/>
              <w:divBdr>
                <w:top w:val="none" w:sz="0" w:space="0" w:color="auto"/>
                <w:left w:val="none" w:sz="0" w:space="0" w:color="auto"/>
                <w:bottom w:val="none" w:sz="0" w:space="0" w:color="auto"/>
                <w:right w:val="none" w:sz="0" w:space="0" w:color="auto"/>
              </w:divBdr>
            </w:div>
            <w:div w:id="1420370399">
              <w:marLeft w:val="0"/>
              <w:marRight w:val="0"/>
              <w:marTop w:val="0"/>
              <w:marBottom w:val="0"/>
              <w:divBdr>
                <w:top w:val="none" w:sz="0" w:space="0" w:color="auto"/>
                <w:left w:val="none" w:sz="0" w:space="0" w:color="auto"/>
                <w:bottom w:val="none" w:sz="0" w:space="0" w:color="auto"/>
                <w:right w:val="none" w:sz="0" w:space="0" w:color="auto"/>
              </w:divBdr>
            </w:div>
            <w:div w:id="1437292359">
              <w:marLeft w:val="0"/>
              <w:marRight w:val="0"/>
              <w:marTop w:val="0"/>
              <w:marBottom w:val="0"/>
              <w:divBdr>
                <w:top w:val="none" w:sz="0" w:space="0" w:color="auto"/>
                <w:left w:val="none" w:sz="0" w:space="0" w:color="auto"/>
                <w:bottom w:val="none" w:sz="0" w:space="0" w:color="auto"/>
                <w:right w:val="none" w:sz="0" w:space="0" w:color="auto"/>
              </w:divBdr>
            </w:div>
            <w:div w:id="1801072668">
              <w:marLeft w:val="0"/>
              <w:marRight w:val="0"/>
              <w:marTop w:val="0"/>
              <w:marBottom w:val="0"/>
              <w:divBdr>
                <w:top w:val="none" w:sz="0" w:space="0" w:color="auto"/>
                <w:left w:val="none" w:sz="0" w:space="0" w:color="auto"/>
                <w:bottom w:val="none" w:sz="0" w:space="0" w:color="auto"/>
                <w:right w:val="none" w:sz="0" w:space="0" w:color="auto"/>
              </w:divBdr>
            </w:div>
            <w:div w:id="2139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439">
      <w:bodyDiv w:val="1"/>
      <w:marLeft w:val="0"/>
      <w:marRight w:val="0"/>
      <w:marTop w:val="0"/>
      <w:marBottom w:val="0"/>
      <w:divBdr>
        <w:top w:val="none" w:sz="0" w:space="0" w:color="auto"/>
        <w:left w:val="none" w:sz="0" w:space="0" w:color="auto"/>
        <w:bottom w:val="none" w:sz="0" w:space="0" w:color="auto"/>
        <w:right w:val="none" w:sz="0" w:space="0" w:color="auto"/>
      </w:divBdr>
      <w:divsChild>
        <w:div w:id="512453829">
          <w:marLeft w:val="0"/>
          <w:marRight w:val="0"/>
          <w:marTop w:val="0"/>
          <w:marBottom w:val="0"/>
          <w:divBdr>
            <w:top w:val="none" w:sz="0" w:space="0" w:color="auto"/>
            <w:left w:val="none" w:sz="0" w:space="0" w:color="auto"/>
            <w:bottom w:val="none" w:sz="0" w:space="0" w:color="auto"/>
            <w:right w:val="none" w:sz="0" w:space="0" w:color="auto"/>
          </w:divBdr>
        </w:div>
        <w:div w:id="1263605045">
          <w:marLeft w:val="0"/>
          <w:marRight w:val="0"/>
          <w:marTop w:val="0"/>
          <w:marBottom w:val="0"/>
          <w:divBdr>
            <w:top w:val="none" w:sz="0" w:space="0" w:color="auto"/>
            <w:left w:val="none" w:sz="0" w:space="0" w:color="auto"/>
            <w:bottom w:val="none" w:sz="0" w:space="0" w:color="auto"/>
            <w:right w:val="none" w:sz="0" w:space="0" w:color="auto"/>
          </w:divBdr>
        </w:div>
        <w:div w:id="1862278593">
          <w:marLeft w:val="0"/>
          <w:marRight w:val="0"/>
          <w:marTop w:val="0"/>
          <w:marBottom w:val="0"/>
          <w:divBdr>
            <w:top w:val="none" w:sz="0" w:space="0" w:color="auto"/>
            <w:left w:val="none" w:sz="0" w:space="0" w:color="auto"/>
            <w:bottom w:val="none" w:sz="0" w:space="0" w:color="auto"/>
            <w:right w:val="none" w:sz="0" w:space="0" w:color="auto"/>
          </w:divBdr>
        </w:div>
      </w:divsChild>
    </w:div>
    <w:div w:id="595554436">
      <w:bodyDiv w:val="1"/>
      <w:marLeft w:val="0"/>
      <w:marRight w:val="0"/>
      <w:marTop w:val="0"/>
      <w:marBottom w:val="0"/>
      <w:divBdr>
        <w:top w:val="none" w:sz="0" w:space="0" w:color="auto"/>
        <w:left w:val="none" w:sz="0" w:space="0" w:color="auto"/>
        <w:bottom w:val="none" w:sz="0" w:space="0" w:color="auto"/>
        <w:right w:val="none" w:sz="0" w:space="0" w:color="auto"/>
      </w:divBdr>
    </w:div>
    <w:div w:id="1002009301">
      <w:bodyDiv w:val="1"/>
      <w:marLeft w:val="0"/>
      <w:marRight w:val="0"/>
      <w:marTop w:val="0"/>
      <w:marBottom w:val="0"/>
      <w:divBdr>
        <w:top w:val="none" w:sz="0" w:space="0" w:color="auto"/>
        <w:left w:val="none" w:sz="0" w:space="0" w:color="auto"/>
        <w:bottom w:val="none" w:sz="0" w:space="0" w:color="auto"/>
        <w:right w:val="none" w:sz="0" w:space="0" w:color="auto"/>
      </w:divBdr>
    </w:div>
    <w:div w:id="1021586409">
      <w:bodyDiv w:val="1"/>
      <w:marLeft w:val="0"/>
      <w:marRight w:val="0"/>
      <w:marTop w:val="0"/>
      <w:marBottom w:val="0"/>
      <w:divBdr>
        <w:top w:val="none" w:sz="0" w:space="0" w:color="auto"/>
        <w:left w:val="none" w:sz="0" w:space="0" w:color="auto"/>
        <w:bottom w:val="none" w:sz="0" w:space="0" w:color="auto"/>
        <w:right w:val="none" w:sz="0" w:space="0" w:color="auto"/>
      </w:divBdr>
      <w:divsChild>
        <w:div w:id="527833762">
          <w:marLeft w:val="1224"/>
          <w:marRight w:val="0"/>
          <w:marTop w:val="96"/>
          <w:marBottom w:val="0"/>
          <w:divBdr>
            <w:top w:val="none" w:sz="0" w:space="0" w:color="auto"/>
            <w:left w:val="none" w:sz="0" w:space="0" w:color="auto"/>
            <w:bottom w:val="none" w:sz="0" w:space="0" w:color="auto"/>
            <w:right w:val="none" w:sz="0" w:space="0" w:color="auto"/>
          </w:divBdr>
        </w:div>
        <w:div w:id="1557350741">
          <w:marLeft w:val="1224"/>
          <w:marRight w:val="0"/>
          <w:marTop w:val="96"/>
          <w:marBottom w:val="0"/>
          <w:divBdr>
            <w:top w:val="none" w:sz="0" w:space="0" w:color="auto"/>
            <w:left w:val="none" w:sz="0" w:space="0" w:color="auto"/>
            <w:bottom w:val="none" w:sz="0" w:space="0" w:color="auto"/>
            <w:right w:val="none" w:sz="0" w:space="0" w:color="auto"/>
          </w:divBdr>
        </w:div>
      </w:divsChild>
    </w:div>
    <w:div w:id="1144615493">
      <w:bodyDiv w:val="1"/>
      <w:marLeft w:val="0"/>
      <w:marRight w:val="0"/>
      <w:marTop w:val="0"/>
      <w:marBottom w:val="0"/>
      <w:divBdr>
        <w:top w:val="none" w:sz="0" w:space="0" w:color="auto"/>
        <w:left w:val="none" w:sz="0" w:space="0" w:color="auto"/>
        <w:bottom w:val="none" w:sz="0" w:space="0" w:color="auto"/>
        <w:right w:val="none" w:sz="0" w:space="0" w:color="auto"/>
      </w:divBdr>
      <w:divsChild>
        <w:div w:id="792751060">
          <w:marLeft w:val="0"/>
          <w:marRight w:val="0"/>
          <w:marTop w:val="0"/>
          <w:marBottom w:val="0"/>
          <w:divBdr>
            <w:top w:val="none" w:sz="0" w:space="0" w:color="auto"/>
            <w:left w:val="none" w:sz="0" w:space="0" w:color="auto"/>
            <w:bottom w:val="none" w:sz="0" w:space="0" w:color="auto"/>
            <w:right w:val="none" w:sz="0" w:space="0" w:color="auto"/>
          </w:divBdr>
          <w:divsChild>
            <w:div w:id="930435836">
              <w:marLeft w:val="0"/>
              <w:marRight w:val="0"/>
              <w:marTop w:val="0"/>
              <w:marBottom w:val="0"/>
              <w:divBdr>
                <w:top w:val="none" w:sz="0" w:space="0" w:color="auto"/>
                <w:left w:val="none" w:sz="0" w:space="0" w:color="auto"/>
                <w:bottom w:val="none" w:sz="0" w:space="0" w:color="auto"/>
                <w:right w:val="none" w:sz="0" w:space="0" w:color="auto"/>
              </w:divBdr>
            </w:div>
            <w:div w:id="17445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152">
      <w:bodyDiv w:val="1"/>
      <w:marLeft w:val="0"/>
      <w:marRight w:val="0"/>
      <w:marTop w:val="0"/>
      <w:marBottom w:val="0"/>
      <w:divBdr>
        <w:top w:val="none" w:sz="0" w:space="0" w:color="auto"/>
        <w:left w:val="none" w:sz="0" w:space="0" w:color="auto"/>
        <w:bottom w:val="none" w:sz="0" w:space="0" w:color="auto"/>
        <w:right w:val="none" w:sz="0" w:space="0" w:color="auto"/>
      </w:divBdr>
      <w:divsChild>
        <w:div w:id="1793353864">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 w:id="949704035">
              <w:marLeft w:val="0"/>
              <w:marRight w:val="0"/>
              <w:marTop w:val="0"/>
              <w:marBottom w:val="0"/>
              <w:divBdr>
                <w:top w:val="none" w:sz="0" w:space="0" w:color="auto"/>
                <w:left w:val="none" w:sz="0" w:space="0" w:color="auto"/>
                <w:bottom w:val="none" w:sz="0" w:space="0" w:color="auto"/>
                <w:right w:val="none" w:sz="0" w:space="0" w:color="auto"/>
              </w:divBdr>
            </w:div>
            <w:div w:id="1018048210">
              <w:marLeft w:val="0"/>
              <w:marRight w:val="0"/>
              <w:marTop w:val="0"/>
              <w:marBottom w:val="0"/>
              <w:divBdr>
                <w:top w:val="none" w:sz="0" w:space="0" w:color="auto"/>
                <w:left w:val="none" w:sz="0" w:space="0" w:color="auto"/>
                <w:bottom w:val="none" w:sz="0" w:space="0" w:color="auto"/>
                <w:right w:val="none" w:sz="0" w:space="0" w:color="auto"/>
              </w:divBdr>
            </w:div>
            <w:div w:id="1283997006">
              <w:marLeft w:val="0"/>
              <w:marRight w:val="0"/>
              <w:marTop w:val="0"/>
              <w:marBottom w:val="0"/>
              <w:divBdr>
                <w:top w:val="none" w:sz="0" w:space="0" w:color="auto"/>
                <w:left w:val="none" w:sz="0" w:space="0" w:color="auto"/>
                <w:bottom w:val="none" w:sz="0" w:space="0" w:color="auto"/>
                <w:right w:val="none" w:sz="0" w:space="0" w:color="auto"/>
              </w:divBdr>
            </w:div>
            <w:div w:id="1410880523">
              <w:marLeft w:val="0"/>
              <w:marRight w:val="0"/>
              <w:marTop w:val="0"/>
              <w:marBottom w:val="0"/>
              <w:divBdr>
                <w:top w:val="none" w:sz="0" w:space="0" w:color="auto"/>
                <w:left w:val="none" w:sz="0" w:space="0" w:color="auto"/>
                <w:bottom w:val="none" w:sz="0" w:space="0" w:color="auto"/>
                <w:right w:val="none" w:sz="0" w:space="0" w:color="auto"/>
              </w:divBdr>
            </w:div>
            <w:div w:id="1728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605">
      <w:bodyDiv w:val="1"/>
      <w:marLeft w:val="0"/>
      <w:marRight w:val="0"/>
      <w:marTop w:val="0"/>
      <w:marBottom w:val="0"/>
      <w:divBdr>
        <w:top w:val="none" w:sz="0" w:space="0" w:color="auto"/>
        <w:left w:val="none" w:sz="0" w:space="0" w:color="auto"/>
        <w:bottom w:val="none" w:sz="0" w:space="0" w:color="auto"/>
        <w:right w:val="none" w:sz="0" w:space="0" w:color="auto"/>
      </w:divBdr>
    </w:div>
    <w:div w:id="1504469957">
      <w:bodyDiv w:val="1"/>
      <w:marLeft w:val="0"/>
      <w:marRight w:val="0"/>
      <w:marTop w:val="0"/>
      <w:marBottom w:val="0"/>
      <w:divBdr>
        <w:top w:val="none" w:sz="0" w:space="0" w:color="auto"/>
        <w:left w:val="none" w:sz="0" w:space="0" w:color="auto"/>
        <w:bottom w:val="none" w:sz="0" w:space="0" w:color="auto"/>
        <w:right w:val="none" w:sz="0" w:space="0" w:color="auto"/>
      </w:divBdr>
    </w:div>
    <w:div w:id="1570114320">
      <w:bodyDiv w:val="1"/>
      <w:marLeft w:val="0"/>
      <w:marRight w:val="0"/>
      <w:marTop w:val="0"/>
      <w:marBottom w:val="0"/>
      <w:divBdr>
        <w:top w:val="none" w:sz="0" w:space="0" w:color="auto"/>
        <w:left w:val="none" w:sz="0" w:space="0" w:color="auto"/>
        <w:bottom w:val="none" w:sz="0" w:space="0" w:color="auto"/>
        <w:right w:val="none" w:sz="0" w:space="0" w:color="auto"/>
      </w:divBdr>
    </w:div>
    <w:div w:id="1707484328">
      <w:bodyDiv w:val="1"/>
      <w:marLeft w:val="0"/>
      <w:marRight w:val="0"/>
      <w:marTop w:val="0"/>
      <w:marBottom w:val="0"/>
      <w:divBdr>
        <w:top w:val="none" w:sz="0" w:space="0" w:color="auto"/>
        <w:left w:val="none" w:sz="0" w:space="0" w:color="auto"/>
        <w:bottom w:val="none" w:sz="0" w:space="0" w:color="auto"/>
        <w:right w:val="none" w:sz="0" w:space="0" w:color="auto"/>
      </w:divBdr>
    </w:div>
    <w:div w:id="1881891737">
      <w:bodyDiv w:val="1"/>
      <w:marLeft w:val="0"/>
      <w:marRight w:val="0"/>
      <w:marTop w:val="0"/>
      <w:marBottom w:val="0"/>
      <w:divBdr>
        <w:top w:val="none" w:sz="0" w:space="0" w:color="auto"/>
        <w:left w:val="none" w:sz="0" w:space="0" w:color="auto"/>
        <w:bottom w:val="none" w:sz="0" w:space="0" w:color="auto"/>
        <w:right w:val="none" w:sz="0" w:space="0" w:color="auto"/>
      </w:divBdr>
      <w:divsChild>
        <w:div w:id="1060322318">
          <w:marLeft w:val="0"/>
          <w:marRight w:val="0"/>
          <w:marTop w:val="0"/>
          <w:marBottom w:val="0"/>
          <w:divBdr>
            <w:top w:val="none" w:sz="0" w:space="0" w:color="auto"/>
            <w:left w:val="none" w:sz="0" w:space="0" w:color="auto"/>
            <w:bottom w:val="none" w:sz="0" w:space="0" w:color="auto"/>
            <w:right w:val="none" w:sz="0" w:space="0" w:color="auto"/>
          </w:divBdr>
          <w:divsChild>
            <w:div w:id="1122266213">
              <w:marLeft w:val="0"/>
              <w:marRight w:val="0"/>
              <w:marTop w:val="0"/>
              <w:marBottom w:val="0"/>
              <w:divBdr>
                <w:top w:val="none" w:sz="0" w:space="0" w:color="auto"/>
                <w:left w:val="none" w:sz="0" w:space="0" w:color="auto"/>
                <w:bottom w:val="none" w:sz="0" w:space="0" w:color="auto"/>
                <w:right w:val="none" w:sz="0" w:space="0" w:color="auto"/>
              </w:divBdr>
            </w:div>
            <w:div w:id="1178034692">
              <w:marLeft w:val="0"/>
              <w:marRight w:val="0"/>
              <w:marTop w:val="0"/>
              <w:marBottom w:val="0"/>
              <w:divBdr>
                <w:top w:val="none" w:sz="0" w:space="0" w:color="auto"/>
                <w:left w:val="none" w:sz="0" w:space="0" w:color="auto"/>
                <w:bottom w:val="none" w:sz="0" w:space="0" w:color="auto"/>
                <w:right w:val="none" w:sz="0" w:space="0" w:color="auto"/>
              </w:divBdr>
            </w:div>
            <w:div w:id="1438409057">
              <w:marLeft w:val="0"/>
              <w:marRight w:val="0"/>
              <w:marTop w:val="0"/>
              <w:marBottom w:val="0"/>
              <w:divBdr>
                <w:top w:val="none" w:sz="0" w:space="0" w:color="auto"/>
                <w:left w:val="none" w:sz="0" w:space="0" w:color="auto"/>
                <w:bottom w:val="none" w:sz="0" w:space="0" w:color="auto"/>
                <w:right w:val="none" w:sz="0" w:space="0" w:color="auto"/>
              </w:divBdr>
            </w:div>
            <w:div w:id="1745838302">
              <w:marLeft w:val="0"/>
              <w:marRight w:val="0"/>
              <w:marTop w:val="0"/>
              <w:marBottom w:val="0"/>
              <w:divBdr>
                <w:top w:val="none" w:sz="0" w:space="0" w:color="auto"/>
                <w:left w:val="none" w:sz="0" w:space="0" w:color="auto"/>
                <w:bottom w:val="none" w:sz="0" w:space="0" w:color="auto"/>
                <w:right w:val="none" w:sz="0" w:space="0" w:color="auto"/>
              </w:divBdr>
            </w:div>
            <w:div w:id="1835993194">
              <w:marLeft w:val="0"/>
              <w:marRight w:val="0"/>
              <w:marTop w:val="0"/>
              <w:marBottom w:val="0"/>
              <w:divBdr>
                <w:top w:val="none" w:sz="0" w:space="0" w:color="auto"/>
                <w:left w:val="none" w:sz="0" w:space="0" w:color="auto"/>
                <w:bottom w:val="none" w:sz="0" w:space="0" w:color="auto"/>
                <w:right w:val="none" w:sz="0" w:space="0" w:color="auto"/>
              </w:divBdr>
            </w:div>
            <w:div w:id="21016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52A4C-325B-4F36-96A0-1C9532F8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1736</Words>
  <Characters>9898</Characters>
  <Application>Microsoft Office Word</Application>
  <DocSecurity>0</DocSecurity>
  <Lines>82</Lines>
  <Paragraphs>23</Paragraphs>
  <ScaleCrop>false</ScaleCrop>
  <Company>chinaamc</Company>
  <LinksUpToDate>false</LinksUpToDate>
  <CharactersWithSpaces>11611</CharactersWithSpaces>
  <SharedDoc>false</SharedDoc>
  <HLinks>
    <vt:vector size="66" baseType="variant">
      <vt:variant>
        <vt:i4>1048638</vt:i4>
      </vt:variant>
      <vt:variant>
        <vt:i4>62</vt:i4>
      </vt:variant>
      <vt:variant>
        <vt:i4>0</vt:i4>
      </vt:variant>
      <vt:variant>
        <vt:i4>5</vt:i4>
      </vt:variant>
      <vt:variant>
        <vt:lpwstr/>
      </vt:variant>
      <vt:variant>
        <vt:lpwstr>_Toc355215951</vt:lpwstr>
      </vt:variant>
      <vt:variant>
        <vt:i4>1048638</vt:i4>
      </vt:variant>
      <vt:variant>
        <vt:i4>56</vt:i4>
      </vt:variant>
      <vt:variant>
        <vt:i4>0</vt:i4>
      </vt:variant>
      <vt:variant>
        <vt:i4>5</vt:i4>
      </vt:variant>
      <vt:variant>
        <vt:lpwstr/>
      </vt:variant>
      <vt:variant>
        <vt:lpwstr>_Toc355215950</vt:lpwstr>
      </vt:variant>
      <vt:variant>
        <vt:i4>1114174</vt:i4>
      </vt:variant>
      <vt:variant>
        <vt:i4>50</vt:i4>
      </vt:variant>
      <vt:variant>
        <vt:i4>0</vt:i4>
      </vt:variant>
      <vt:variant>
        <vt:i4>5</vt:i4>
      </vt:variant>
      <vt:variant>
        <vt:lpwstr/>
      </vt:variant>
      <vt:variant>
        <vt:lpwstr>_Toc355215949</vt:lpwstr>
      </vt:variant>
      <vt:variant>
        <vt:i4>1114174</vt:i4>
      </vt:variant>
      <vt:variant>
        <vt:i4>44</vt:i4>
      </vt:variant>
      <vt:variant>
        <vt:i4>0</vt:i4>
      </vt:variant>
      <vt:variant>
        <vt:i4>5</vt:i4>
      </vt:variant>
      <vt:variant>
        <vt:lpwstr/>
      </vt:variant>
      <vt:variant>
        <vt:lpwstr>_Toc355215948</vt:lpwstr>
      </vt:variant>
      <vt:variant>
        <vt:i4>1114174</vt:i4>
      </vt:variant>
      <vt:variant>
        <vt:i4>38</vt:i4>
      </vt:variant>
      <vt:variant>
        <vt:i4>0</vt:i4>
      </vt:variant>
      <vt:variant>
        <vt:i4>5</vt:i4>
      </vt:variant>
      <vt:variant>
        <vt:lpwstr/>
      </vt:variant>
      <vt:variant>
        <vt:lpwstr>_Toc355215947</vt:lpwstr>
      </vt:variant>
      <vt:variant>
        <vt:i4>1114174</vt:i4>
      </vt:variant>
      <vt:variant>
        <vt:i4>32</vt:i4>
      </vt:variant>
      <vt:variant>
        <vt:i4>0</vt:i4>
      </vt:variant>
      <vt:variant>
        <vt:i4>5</vt:i4>
      </vt:variant>
      <vt:variant>
        <vt:lpwstr/>
      </vt:variant>
      <vt:variant>
        <vt:lpwstr>_Toc355215946</vt:lpwstr>
      </vt:variant>
      <vt:variant>
        <vt:i4>1114174</vt:i4>
      </vt:variant>
      <vt:variant>
        <vt:i4>26</vt:i4>
      </vt:variant>
      <vt:variant>
        <vt:i4>0</vt:i4>
      </vt:variant>
      <vt:variant>
        <vt:i4>5</vt:i4>
      </vt:variant>
      <vt:variant>
        <vt:lpwstr/>
      </vt:variant>
      <vt:variant>
        <vt:lpwstr>_Toc355215945</vt:lpwstr>
      </vt:variant>
      <vt:variant>
        <vt:i4>1114174</vt:i4>
      </vt:variant>
      <vt:variant>
        <vt:i4>20</vt:i4>
      </vt:variant>
      <vt:variant>
        <vt:i4>0</vt:i4>
      </vt:variant>
      <vt:variant>
        <vt:i4>5</vt:i4>
      </vt:variant>
      <vt:variant>
        <vt:lpwstr/>
      </vt:variant>
      <vt:variant>
        <vt:lpwstr>_Toc355215944</vt:lpwstr>
      </vt:variant>
      <vt:variant>
        <vt:i4>1114174</vt:i4>
      </vt:variant>
      <vt:variant>
        <vt:i4>14</vt:i4>
      </vt:variant>
      <vt:variant>
        <vt:i4>0</vt:i4>
      </vt:variant>
      <vt:variant>
        <vt:i4>5</vt:i4>
      </vt:variant>
      <vt:variant>
        <vt:lpwstr/>
      </vt:variant>
      <vt:variant>
        <vt:lpwstr>_Toc355215943</vt:lpwstr>
      </vt:variant>
      <vt:variant>
        <vt:i4>1114174</vt:i4>
      </vt:variant>
      <vt:variant>
        <vt:i4>8</vt:i4>
      </vt:variant>
      <vt:variant>
        <vt:i4>0</vt:i4>
      </vt:variant>
      <vt:variant>
        <vt:i4>5</vt:i4>
      </vt:variant>
      <vt:variant>
        <vt:lpwstr/>
      </vt:variant>
      <vt:variant>
        <vt:lpwstr>_Toc355215942</vt:lpwstr>
      </vt:variant>
      <vt:variant>
        <vt:i4>1114174</vt:i4>
      </vt:variant>
      <vt:variant>
        <vt:i4>2</vt:i4>
      </vt:variant>
      <vt:variant>
        <vt:i4>0</vt:i4>
      </vt:variant>
      <vt:variant>
        <vt:i4>5</vt:i4>
      </vt:variant>
      <vt:variant>
        <vt:lpwstr/>
      </vt:variant>
      <vt:variant>
        <vt:lpwstr>_Toc355215941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产品说明书(文字稿)</dc:title>
  <dc:creator>zhanght</dc:creator>
  <cp:lastModifiedBy>刘晨晨</cp:lastModifiedBy>
  <cp:revision>74</cp:revision>
  <cp:lastPrinted>2018-12-11T00:57:00Z</cp:lastPrinted>
  <dcterms:created xsi:type="dcterms:W3CDTF">2015-08-05T02:01:00Z</dcterms:created>
  <dcterms:modified xsi:type="dcterms:W3CDTF">2019-04-09T06:48:00Z</dcterms:modified>
</cp:coreProperties>
</file>