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A11739">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A11739">
        <w:rPr>
          <w:rFonts w:asciiTheme="minorEastAsia" w:eastAsiaTheme="minorEastAsia" w:hAnsiTheme="minorEastAsia" w:hint="eastAsia"/>
          <w:color w:val="auto"/>
          <w:sz w:val="30"/>
        </w:rPr>
        <w:t>交银施罗德</w:t>
      </w:r>
      <w:r w:rsidR="00BA1358" w:rsidRPr="00BA1358">
        <w:rPr>
          <w:rFonts w:asciiTheme="minorEastAsia" w:eastAsiaTheme="minorEastAsia" w:hAnsiTheme="minorEastAsia" w:hint="eastAsia"/>
          <w:color w:val="auto"/>
          <w:sz w:val="30"/>
        </w:rPr>
        <w:t>荣鑫灵活配置</w:t>
      </w:r>
      <w:r w:rsidR="002C0C98">
        <w:rPr>
          <w:rFonts w:asciiTheme="minorEastAsia" w:eastAsiaTheme="minorEastAsia" w:hAnsiTheme="minorEastAsia" w:hint="eastAsia"/>
          <w:color w:val="auto"/>
          <w:sz w:val="30"/>
        </w:rPr>
        <w:t>混合型</w:t>
      </w:r>
      <w:r w:rsidR="002C0C98">
        <w:rPr>
          <w:rFonts w:asciiTheme="minorEastAsia" w:eastAsiaTheme="minorEastAsia" w:hAnsiTheme="minorEastAsia"/>
          <w:color w:val="auto"/>
          <w:sz w:val="30"/>
        </w:rPr>
        <w:t>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w:t>
      </w:r>
      <w:bookmarkStart w:id="17" w:name="_GoBack"/>
      <w:bookmarkEnd w:id="17"/>
      <w:r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BA1358" w:rsidRDefault="00BA1358" w:rsidP="00BA1358">
      <w:pPr>
        <w:spacing w:line="360" w:lineRule="auto"/>
        <w:ind w:firstLineChars="200" w:firstLine="482"/>
        <w:rPr>
          <w:b/>
          <w:sz w:val="24"/>
          <w:szCs w:val="24"/>
        </w:rPr>
      </w:pPr>
      <w:r>
        <w:rPr>
          <w:rFonts w:hAnsi="宋体"/>
          <w:b/>
          <w:sz w:val="24"/>
          <w:szCs w:val="24"/>
        </w:rPr>
        <w:t>一、基金管理人、基金托管人和基金份额持有人的权利、义务</w:t>
      </w:r>
    </w:p>
    <w:p w:rsidR="00BA1358" w:rsidRDefault="00BA1358" w:rsidP="00BA1358">
      <w:pPr>
        <w:spacing w:line="360" w:lineRule="auto"/>
        <w:ind w:firstLineChars="200" w:firstLine="480"/>
        <w:rPr>
          <w:bCs/>
          <w:sz w:val="24"/>
        </w:rPr>
      </w:pPr>
      <w:r>
        <w:rPr>
          <w:rFonts w:hAnsi="宋体"/>
          <w:bCs/>
          <w:sz w:val="24"/>
        </w:rPr>
        <w:t>（一）</w:t>
      </w:r>
      <w:r>
        <w:rPr>
          <w:bCs/>
          <w:sz w:val="24"/>
        </w:rPr>
        <w:tab/>
      </w:r>
      <w:r>
        <w:rPr>
          <w:rFonts w:hAnsi="宋体"/>
          <w:bCs/>
          <w:sz w:val="24"/>
        </w:rPr>
        <w:t>基金管理人的权利</w:t>
      </w:r>
    </w:p>
    <w:p w:rsidR="00BA1358" w:rsidRDefault="00BA1358" w:rsidP="00BA1358">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BA1358" w:rsidRDefault="00BA1358" w:rsidP="00BA1358">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BA1358" w:rsidRDefault="00BA1358" w:rsidP="00BA135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BA1358" w:rsidRDefault="00BA1358" w:rsidP="00BA135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BA1358" w:rsidRDefault="00BA1358" w:rsidP="00BA1358">
      <w:pPr>
        <w:spacing w:line="360" w:lineRule="auto"/>
        <w:ind w:firstLineChars="200" w:firstLine="480"/>
        <w:rPr>
          <w:bCs/>
          <w:sz w:val="24"/>
        </w:rPr>
      </w:pPr>
      <w:r>
        <w:rPr>
          <w:bCs/>
          <w:sz w:val="24"/>
        </w:rPr>
        <w:t>（</w:t>
      </w:r>
      <w:r>
        <w:rPr>
          <w:bCs/>
          <w:sz w:val="24"/>
        </w:rPr>
        <w:t>4</w:t>
      </w:r>
      <w:r>
        <w:rPr>
          <w:bCs/>
          <w:sz w:val="24"/>
        </w:rPr>
        <w:t>）销售基金份额；</w:t>
      </w:r>
    </w:p>
    <w:p w:rsidR="00BA1358" w:rsidRDefault="00BA1358" w:rsidP="00BA1358">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BA1358" w:rsidRDefault="00BA1358" w:rsidP="00BA135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BA1358" w:rsidRDefault="00BA1358" w:rsidP="00BA135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BA1358" w:rsidRDefault="00BA1358" w:rsidP="00BA1358">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BA1358" w:rsidRDefault="00BA1358" w:rsidP="00BA1358">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BA1358" w:rsidRDefault="00BA1358" w:rsidP="00BA1358">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BA1358" w:rsidRDefault="00BA1358" w:rsidP="00BA1358">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BA1358" w:rsidRDefault="00BA1358" w:rsidP="00BA1358">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BA1358" w:rsidRDefault="00BA1358" w:rsidP="00BA1358">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BA1358" w:rsidRDefault="00BA1358" w:rsidP="00BA1358">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BA1358" w:rsidRDefault="00BA1358" w:rsidP="00BA1358">
      <w:pPr>
        <w:spacing w:line="440" w:lineRule="atLeast"/>
        <w:ind w:firstLineChars="200" w:firstLine="480"/>
        <w:rPr>
          <w:bCs/>
          <w:sz w:val="24"/>
        </w:rPr>
      </w:pPr>
      <w:r>
        <w:rPr>
          <w:bCs/>
          <w:sz w:val="24"/>
        </w:rPr>
        <w:lastRenderedPageBreak/>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BA1358" w:rsidRDefault="00BA1358" w:rsidP="00BA1358">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和调整有关基金申购、赎回、转换</w:t>
      </w:r>
      <w:r>
        <w:rPr>
          <w:rFonts w:hint="eastAsia"/>
          <w:bCs/>
          <w:sz w:val="24"/>
        </w:rPr>
        <w:t>等</w:t>
      </w:r>
      <w:r>
        <w:rPr>
          <w:bCs/>
          <w:sz w:val="24"/>
        </w:rPr>
        <w:t>的业务规则；</w:t>
      </w:r>
    </w:p>
    <w:p w:rsidR="00BA1358" w:rsidRDefault="00BA1358" w:rsidP="00BA1358">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BA1358" w:rsidRDefault="00BA1358" w:rsidP="00BA1358">
      <w:pPr>
        <w:spacing w:line="360" w:lineRule="auto"/>
        <w:ind w:firstLineChars="200" w:firstLine="480"/>
        <w:rPr>
          <w:bCs/>
          <w:sz w:val="24"/>
        </w:rPr>
      </w:pPr>
      <w:r>
        <w:rPr>
          <w:rFonts w:hAnsi="宋体"/>
          <w:bCs/>
          <w:sz w:val="24"/>
        </w:rPr>
        <w:t>（二）基金管理人的义务</w:t>
      </w:r>
    </w:p>
    <w:p w:rsidR="00BA1358" w:rsidRDefault="00BA1358" w:rsidP="00BA1358">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BA1358" w:rsidRDefault="00BA1358" w:rsidP="00BA1358">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，办理或者委托经中国证监会认定的其他机构办理基金份额的</w:t>
      </w:r>
      <w:r>
        <w:rPr>
          <w:rFonts w:hint="eastAsia"/>
          <w:bCs/>
          <w:sz w:val="24"/>
        </w:rPr>
        <w:t>销售</w:t>
      </w:r>
      <w:r>
        <w:rPr>
          <w:bCs/>
          <w:sz w:val="24"/>
        </w:rPr>
        <w:t>、申购、赎回和登记事宜；</w:t>
      </w:r>
    </w:p>
    <w:p w:rsidR="00BA1358" w:rsidRDefault="00BA1358" w:rsidP="00BA1358">
      <w:pPr>
        <w:spacing w:line="440" w:lineRule="atLeast"/>
        <w:ind w:firstLineChars="200" w:firstLine="480"/>
        <w:rPr>
          <w:bCs/>
          <w:sz w:val="24"/>
        </w:rPr>
      </w:pPr>
      <w:r>
        <w:rPr>
          <w:bCs/>
          <w:sz w:val="24"/>
        </w:rPr>
        <w:t>（</w:t>
      </w:r>
      <w:r>
        <w:rPr>
          <w:bCs/>
          <w:sz w:val="24"/>
        </w:rPr>
        <w:t>2</w:t>
      </w:r>
      <w:r>
        <w:rPr>
          <w:bCs/>
          <w:sz w:val="24"/>
        </w:rPr>
        <w:t>）办理基金备案手续；</w:t>
      </w:r>
    </w:p>
    <w:p w:rsidR="00BA1358" w:rsidRDefault="00BA1358" w:rsidP="00BA1358">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BA1358" w:rsidRDefault="00BA1358" w:rsidP="00BA1358">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BA1358" w:rsidRDefault="00BA1358" w:rsidP="00BA1358">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BA1358" w:rsidRDefault="00BA1358" w:rsidP="00BA1358">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BA1358" w:rsidRDefault="00BA1358" w:rsidP="00BA1358">
      <w:pPr>
        <w:spacing w:line="360" w:lineRule="auto"/>
        <w:ind w:firstLineChars="200" w:firstLine="480"/>
        <w:rPr>
          <w:bCs/>
          <w:sz w:val="24"/>
        </w:rPr>
      </w:pPr>
      <w:r>
        <w:rPr>
          <w:bCs/>
          <w:sz w:val="24"/>
        </w:rPr>
        <w:t>（</w:t>
      </w:r>
      <w:r>
        <w:rPr>
          <w:bCs/>
          <w:sz w:val="24"/>
        </w:rPr>
        <w:t>7</w:t>
      </w:r>
      <w:r>
        <w:rPr>
          <w:bCs/>
          <w:sz w:val="24"/>
        </w:rPr>
        <w:t>）依法接受基金托管人的监督；</w:t>
      </w:r>
    </w:p>
    <w:p w:rsidR="00BA1358" w:rsidRDefault="00BA1358" w:rsidP="00BA1358">
      <w:pPr>
        <w:spacing w:line="360" w:lineRule="auto"/>
        <w:ind w:firstLineChars="200" w:firstLine="480"/>
        <w:rPr>
          <w:bCs/>
          <w:sz w:val="24"/>
        </w:rPr>
      </w:pPr>
      <w:r>
        <w:rPr>
          <w:bCs/>
          <w:sz w:val="24"/>
        </w:rPr>
        <w:t>（</w:t>
      </w:r>
      <w:r>
        <w:rPr>
          <w:bCs/>
          <w:sz w:val="24"/>
        </w:rPr>
        <w:t>8</w:t>
      </w:r>
      <w:r>
        <w:rPr>
          <w:bCs/>
          <w:sz w:val="24"/>
        </w:rPr>
        <w:t>）采取适当合理的措施使计算基金份额申购、赎回和注销价格的方法符合《基金合同》等法律文件的规定，按有关规定计算并公告基金资产净值，确定基金份额申购、赎回的价格；</w:t>
      </w:r>
    </w:p>
    <w:p w:rsidR="00BA1358" w:rsidRDefault="00BA1358" w:rsidP="00BA135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BA1358" w:rsidRDefault="00BA1358" w:rsidP="00BA1358">
      <w:pPr>
        <w:spacing w:line="360" w:lineRule="auto"/>
        <w:ind w:firstLineChars="200" w:firstLine="480"/>
        <w:rPr>
          <w:bCs/>
          <w:sz w:val="24"/>
        </w:rPr>
      </w:pPr>
      <w:r>
        <w:rPr>
          <w:bCs/>
          <w:sz w:val="24"/>
        </w:rPr>
        <w:t>（</w:t>
      </w:r>
      <w:r>
        <w:rPr>
          <w:bCs/>
          <w:sz w:val="24"/>
        </w:rPr>
        <w:t>10</w:t>
      </w:r>
      <w:r>
        <w:rPr>
          <w:bCs/>
          <w:sz w:val="24"/>
        </w:rPr>
        <w:t>）编制季度、半年度和年度基金报告；</w:t>
      </w:r>
    </w:p>
    <w:p w:rsidR="00BA1358" w:rsidRDefault="00BA1358" w:rsidP="00BA1358">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BA1358" w:rsidRDefault="00BA1358" w:rsidP="00BA135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w:t>
      </w:r>
      <w:r>
        <w:rPr>
          <w:bCs/>
          <w:sz w:val="24"/>
        </w:rPr>
        <w:lastRenderedPageBreak/>
        <w:t>向他人泄露；</w:t>
      </w:r>
    </w:p>
    <w:p w:rsidR="00BA1358" w:rsidRDefault="00BA1358" w:rsidP="00BA135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BA1358" w:rsidRDefault="00BA1358" w:rsidP="00BA1358">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BA1358" w:rsidRDefault="00BA1358" w:rsidP="00BA135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BA1358" w:rsidRDefault="00BA1358" w:rsidP="00BA135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BA1358" w:rsidRDefault="00BA1358" w:rsidP="00BA135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A1358" w:rsidRDefault="00BA1358" w:rsidP="00BA1358">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BA1358" w:rsidRDefault="00BA1358" w:rsidP="00BA135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BA1358" w:rsidRDefault="00BA1358" w:rsidP="00BA135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BA1358" w:rsidRDefault="00BA1358" w:rsidP="00BA135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BA1358" w:rsidRDefault="00BA1358" w:rsidP="00BA135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BA1358" w:rsidRDefault="00BA1358" w:rsidP="00BA135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BA1358" w:rsidRDefault="00BA1358" w:rsidP="00BA1358">
      <w:pPr>
        <w:spacing w:line="360" w:lineRule="auto"/>
        <w:ind w:firstLineChars="200" w:firstLine="480"/>
        <w:rPr>
          <w:bCs/>
          <w:sz w:val="24"/>
        </w:rPr>
      </w:pPr>
      <w:r>
        <w:rPr>
          <w:bCs/>
          <w:sz w:val="24"/>
        </w:rPr>
        <w:t>（</w:t>
      </w:r>
      <w:r>
        <w:rPr>
          <w:bCs/>
          <w:sz w:val="24"/>
        </w:rPr>
        <w:t>24</w:t>
      </w:r>
      <w:r>
        <w:rPr>
          <w:bCs/>
          <w:sz w:val="24"/>
        </w:rPr>
        <w:t>）执行生效的基金份额持有人大会的</w:t>
      </w:r>
      <w:r>
        <w:rPr>
          <w:rFonts w:hint="eastAsia"/>
          <w:bCs/>
          <w:sz w:val="24"/>
        </w:rPr>
        <w:t>决议</w:t>
      </w:r>
      <w:r>
        <w:rPr>
          <w:bCs/>
          <w:sz w:val="24"/>
        </w:rPr>
        <w:t>；</w:t>
      </w:r>
    </w:p>
    <w:p w:rsidR="00BA1358" w:rsidRDefault="00BA1358" w:rsidP="00BA1358">
      <w:pPr>
        <w:spacing w:line="360" w:lineRule="auto"/>
        <w:ind w:firstLineChars="200" w:firstLine="480"/>
        <w:rPr>
          <w:bCs/>
          <w:sz w:val="24"/>
        </w:rPr>
      </w:pPr>
      <w:r>
        <w:rPr>
          <w:bCs/>
          <w:sz w:val="24"/>
        </w:rPr>
        <w:t>（</w:t>
      </w:r>
      <w:r>
        <w:rPr>
          <w:bCs/>
          <w:sz w:val="24"/>
        </w:rPr>
        <w:t>25</w:t>
      </w:r>
      <w:r>
        <w:rPr>
          <w:bCs/>
          <w:sz w:val="24"/>
        </w:rPr>
        <w:t>）建立并保存基金份额持有人名册；</w:t>
      </w:r>
    </w:p>
    <w:p w:rsidR="00BA1358" w:rsidRDefault="00BA1358" w:rsidP="00BA1358">
      <w:pPr>
        <w:spacing w:line="360" w:lineRule="auto"/>
        <w:ind w:firstLineChars="200" w:firstLine="480"/>
        <w:rPr>
          <w:bCs/>
          <w:sz w:val="24"/>
        </w:rPr>
      </w:pPr>
      <w:r>
        <w:rPr>
          <w:bCs/>
          <w:sz w:val="24"/>
        </w:rPr>
        <w:t>（</w:t>
      </w:r>
      <w:r>
        <w:rPr>
          <w:bCs/>
          <w:sz w:val="24"/>
        </w:rPr>
        <w:t>26</w:t>
      </w:r>
      <w:r>
        <w:rPr>
          <w:bCs/>
          <w:sz w:val="24"/>
        </w:rPr>
        <w:t>）法律法规及中国证监会规定的和《基金合同》约定的其他义务。</w:t>
      </w:r>
    </w:p>
    <w:p w:rsidR="00BA1358" w:rsidRDefault="00BA1358" w:rsidP="00BA1358">
      <w:pPr>
        <w:spacing w:line="360" w:lineRule="auto"/>
        <w:ind w:firstLineChars="200" w:firstLine="480"/>
        <w:rPr>
          <w:bCs/>
          <w:sz w:val="24"/>
        </w:rPr>
      </w:pPr>
      <w:r>
        <w:rPr>
          <w:rFonts w:hAnsi="宋体"/>
          <w:bCs/>
          <w:sz w:val="24"/>
        </w:rPr>
        <w:t>（三）基金托管人的权利</w:t>
      </w:r>
    </w:p>
    <w:p w:rsidR="00BA1358" w:rsidRDefault="00BA1358" w:rsidP="00BA1358">
      <w:pPr>
        <w:spacing w:line="360" w:lineRule="auto"/>
        <w:ind w:firstLineChars="200" w:firstLine="480"/>
        <w:rPr>
          <w:bCs/>
          <w:sz w:val="24"/>
        </w:rPr>
      </w:pPr>
      <w:r>
        <w:rPr>
          <w:rFonts w:hAnsi="宋体"/>
          <w:bCs/>
          <w:sz w:val="24"/>
        </w:rPr>
        <w:t>根据《基金法》、《运作办法》及其他有关规定，基金托管人的权利包括但不</w:t>
      </w:r>
      <w:r>
        <w:rPr>
          <w:rFonts w:hAnsi="宋体"/>
          <w:bCs/>
          <w:sz w:val="24"/>
        </w:rPr>
        <w:lastRenderedPageBreak/>
        <w:t>限于：</w:t>
      </w:r>
    </w:p>
    <w:p w:rsidR="00BA1358" w:rsidRDefault="00BA1358" w:rsidP="00BA1358">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BA1358" w:rsidRDefault="00BA1358" w:rsidP="00BA1358">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BA1358" w:rsidRDefault="00BA1358" w:rsidP="00BA135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A1358" w:rsidRDefault="00BA1358" w:rsidP="00BA1358">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rsidR="00BA1358" w:rsidRDefault="00BA1358" w:rsidP="00BA1358">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BA1358" w:rsidRDefault="00BA1358" w:rsidP="00BA135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BA1358" w:rsidRDefault="00BA1358" w:rsidP="00BA1358">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BA1358" w:rsidRDefault="00BA1358" w:rsidP="00BA1358">
      <w:pPr>
        <w:spacing w:line="360" w:lineRule="auto"/>
        <w:ind w:firstLineChars="200" w:firstLine="480"/>
        <w:rPr>
          <w:sz w:val="24"/>
        </w:rPr>
      </w:pPr>
      <w:r>
        <w:rPr>
          <w:rFonts w:hAnsi="宋体"/>
          <w:bCs/>
          <w:sz w:val="24"/>
        </w:rPr>
        <w:t>（四）</w:t>
      </w:r>
      <w:r>
        <w:rPr>
          <w:rFonts w:hAnsi="宋体"/>
          <w:sz w:val="24"/>
        </w:rPr>
        <w:t>基金托管人的义务</w:t>
      </w:r>
    </w:p>
    <w:p w:rsidR="00BA1358" w:rsidRDefault="00BA1358" w:rsidP="00BA1358">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rsidR="00BA1358" w:rsidRDefault="00BA1358" w:rsidP="00BA135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BA1358" w:rsidRDefault="00BA1358" w:rsidP="00BA135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BA1358" w:rsidRDefault="00BA1358" w:rsidP="00BA135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A1358" w:rsidRDefault="00BA1358" w:rsidP="00BA135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BA1358" w:rsidRDefault="00BA1358" w:rsidP="00BA135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BA1358" w:rsidRDefault="00BA1358" w:rsidP="00BA1358">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等投资所需账户，协助开立股指期货业务相关账户及交易编码，</w:t>
      </w:r>
      <w:r>
        <w:rPr>
          <w:bCs/>
          <w:sz w:val="24"/>
        </w:rPr>
        <w:t>按照《基金合同》的约定，根据基金管理人的投资指令，及时办理清算、交割事宜；</w:t>
      </w:r>
    </w:p>
    <w:p w:rsidR="00BA1358" w:rsidRDefault="00BA1358" w:rsidP="00BA1358">
      <w:pPr>
        <w:spacing w:line="360" w:lineRule="auto"/>
        <w:ind w:firstLineChars="200" w:firstLine="480"/>
        <w:rPr>
          <w:bCs/>
          <w:sz w:val="24"/>
        </w:rPr>
      </w:pPr>
      <w:r>
        <w:rPr>
          <w:bCs/>
          <w:sz w:val="24"/>
        </w:rPr>
        <w:lastRenderedPageBreak/>
        <w:t>（</w:t>
      </w:r>
      <w:r>
        <w:rPr>
          <w:bCs/>
          <w:sz w:val="24"/>
        </w:rPr>
        <w:t>7</w:t>
      </w:r>
      <w:r>
        <w:rPr>
          <w:bCs/>
          <w:sz w:val="24"/>
        </w:rPr>
        <w:t>）保守基金商业秘密，除《基金法》、《基金合同》及其他有关规定另有规定外，在基金信息公开披露前予以保密，不得向他人泄露；</w:t>
      </w:r>
    </w:p>
    <w:p w:rsidR="00BA1358" w:rsidRDefault="00BA1358" w:rsidP="00BA1358">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BA1358" w:rsidRDefault="00BA1358" w:rsidP="00BA1358">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BA1358" w:rsidRDefault="00BA1358" w:rsidP="00BA1358">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BA1358" w:rsidRDefault="00BA1358" w:rsidP="00BA135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BA1358" w:rsidRDefault="00BA1358" w:rsidP="00BA1358">
      <w:pPr>
        <w:spacing w:line="360" w:lineRule="auto"/>
        <w:ind w:firstLineChars="200" w:firstLine="480"/>
        <w:rPr>
          <w:bCs/>
          <w:sz w:val="24"/>
        </w:rPr>
      </w:pPr>
      <w:r>
        <w:rPr>
          <w:bCs/>
          <w:sz w:val="24"/>
        </w:rPr>
        <w:t>（</w:t>
      </w:r>
      <w:r>
        <w:rPr>
          <w:bCs/>
          <w:sz w:val="24"/>
        </w:rPr>
        <w:t>12</w:t>
      </w:r>
      <w:r>
        <w:rPr>
          <w:bCs/>
          <w:sz w:val="24"/>
        </w:rPr>
        <w:t>）建立并保存基金份额持有人名册；</w:t>
      </w:r>
    </w:p>
    <w:p w:rsidR="00BA1358" w:rsidRDefault="00BA1358" w:rsidP="00BA135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BA1358" w:rsidRDefault="00BA1358" w:rsidP="00BA135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BA1358" w:rsidRDefault="00BA1358" w:rsidP="00BA135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BA1358" w:rsidRDefault="00BA1358" w:rsidP="00BA135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BA1358" w:rsidRDefault="00BA1358" w:rsidP="00BA135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BA1358" w:rsidRDefault="00BA1358" w:rsidP="00BA135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rsidR="00BA1358" w:rsidRDefault="00BA1358" w:rsidP="00BA135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BA1358" w:rsidRDefault="00BA1358" w:rsidP="00BA135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BA1358" w:rsidRDefault="00BA1358" w:rsidP="00BA1358">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BA1358" w:rsidRDefault="00BA1358" w:rsidP="00BA1358">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BA1358" w:rsidRDefault="00BA1358" w:rsidP="00BA1358">
      <w:pPr>
        <w:pStyle w:val="aa"/>
        <w:spacing w:after="78"/>
        <w:ind w:left="480" w:firstLineChars="0" w:firstLine="0"/>
      </w:pPr>
      <w:r>
        <w:rPr>
          <w:rFonts w:hAnsi="宋体"/>
          <w:bCs/>
        </w:rPr>
        <w:lastRenderedPageBreak/>
        <w:t>（五）</w:t>
      </w:r>
      <w:r>
        <w:rPr>
          <w:rFonts w:hAnsi="宋体"/>
        </w:rPr>
        <w:t>基金份额持有人的权利</w:t>
      </w:r>
    </w:p>
    <w:p w:rsidR="00BA1358" w:rsidRDefault="00BA1358" w:rsidP="00BA1358">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w:t>
      </w:r>
      <w:r>
        <w:rPr>
          <w:rFonts w:hint="eastAsia"/>
          <w:bCs/>
          <w:sz w:val="24"/>
        </w:rPr>
        <w:t>《</w:t>
      </w:r>
      <w:r>
        <w:rPr>
          <w:bCs/>
          <w:sz w:val="24"/>
        </w:rPr>
        <w:t>基金合同</w:t>
      </w:r>
      <w:r>
        <w:rPr>
          <w:rFonts w:hint="eastAsia"/>
          <w:bCs/>
          <w:sz w:val="24"/>
        </w:rPr>
        <w:t>》</w:t>
      </w:r>
      <w:r>
        <w:rPr>
          <w:bCs/>
          <w:sz w:val="24"/>
        </w:rPr>
        <w:t>的承认和接受，基金投资者自依据</w:t>
      </w:r>
      <w:r>
        <w:rPr>
          <w:rFonts w:hint="eastAsia"/>
          <w:bCs/>
          <w:sz w:val="24"/>
        </w:rPr>
        <w:t>《</w:t>
      </w:r>
      <w:r>
        <w:rPr>
          <w:bCs/>
          <w:sz w:val="24"/>
        </w:rPr>
        <w:t>基金合同</w:t>
      </w:r>
      <w:r>
        <w:rPr>
          <w:rFonts w:hint="eastAsia"/>
          <w:bCs/>
          <w:sz w:val="24"/>
        </w:rPr>
        <w:t>》</w:t>
      </w:r>
      <w:r>
        <w:rPr>
          <w:bCs/>
          <w:sz w:val="24"/>
        </w:rPr>
        <w:t>取得</w:t>
      </w:r>
      <w:r>
        <w:rPr>
          <w:rFonts w:hint="eastAsia"/>
          <w:bCs/>
          <w:sz w:val="24"/>
        </w:rPr>
        <w:t>本基金</w:t>
      </w:r>
      <w:r>
        <w:rPr>
          <w:bCs/>
          <w:sz w:val="24"/>
        </w:rPr>
        <w:t>的基金份额，即成为本基金份额持有人和</w:t>
      </w:r>
      <w:r>
        <w:rPr>
          <w:rFonts w:hint="eastAsia"/>
          <w:bCs/>
          <w:sz w:val="24"/>
        </w:rPr>
        <w:t>《</w:t>
      </w:r>
      <w:r>
        <w:rPr>
          <w:bCs/>
          <w:sz w:val="24"/>
        </w:rPr>
        <w:t>基金合同</w:t>
      </w:r>
      <w:r>
        <w:rPr>
          <w:rFonts w:hint="eastAsia"/>
          <w:bCs/>
          <w:sz w:val="24"/>
        </w:rPr>
        <w:t>》</w:t>
      </w:r>
      <w:r>
        <w:rPr>
          <w:bCs/>
          <w:sz w:val="24"/>
        </w:rPr>
        <w:t>的当事人，直至其不再持有本基金的基金份额。基金份额持有人作为</w:t>
      </w:r>
      <w:r>
        <w:rPr>
          <w:rFonts w:hint="eastAsia"/>
          <w:bCs/>
          <w:sz w:val="24"/>
        </w:rPr>
        <w:t>《</w:t>
      </w:r>
      <w:r>
        <w:rPr>
          <w:bCs/>
          <w:sz w:val="24"/>
        </w:rPr>
        <w:t>基金合同</w:t>
      </w:r>
      <w:r>
        <w:rPr>
          <w:rFonts w:hint="eastAsia"/>
          <w:bCs/>
          <w:sz w:val="24"/>
        </w:rPr>
        <w:t>》</w:t>
      </w:r>
      <w:r>
        <w:rPr>
          <w:bCs/>
          <w:sz w:val="24"/>
        </w:rPr>
        <w:t>当事人并不以在</w:t>
      </w:r>
      <w:r>
        <w:rPr>
          <w:rFonts w:hint="eastAsia"/>
          <w:bCs/>
          <w:sz w:val="24"/>
        </w:rPr>
        <w:t>《</w:t>
      </w:r>
      <w:r>
        <w:rPr>
          <w:bCs/>
          <w:sz w:val="24"/>
        </w:rPr>
        <w:t>基金合同</w:t>
      </w:r>
      <w:r>
        <w:rPr>
          <w:rFonts w:hint="eastAsia"/>
          <w:bCs/>
          <w:sz w:val="24"/>
        </w:rPr>
        <w:t>》</w:t>
      </w:r>
      <w:r>
        <w:rPr>
          <w:bCs/>
          <w:sz w:val="24"/>
        </w:rPr>
        <w:t>上书面签章或签字为必要条件。</w:t>
      </w:r>
    </w:p>
    <w:p w:rsidR="00BA1358" w:rsidRDefault="00BA1358" w:rsidP="00BA1358">
      <w:pPr>
        <w:spacing w:line="360" w:lineRule="auto"/>
        <w:ind w:firstLineChars="200" w:firstLine="480"/>
        <w:rPr>
          <w:bCs/>
          <w:sz w:val="24"/>
        </w:rPr>
      </w:pPr>
      <w:r>
        <w:rPr>
          <w:bCs/>
          <w:sz w:val="24"/>
        </w:rPr>
        <w:t>每份基金份额具有同等的合法权益。</w:t>
      </w:r>
    </w:p>
    <w:p w:rsidR="00BA1358" w:rsidRDefault="00BA1358" w:rsidP="00BA1358">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根据《基金法》、《运作办法》及其他有关规定，基金份额持有人的权利包括但不限于：</w:t>
      </w:r>
    </w:p>
    <w:p w:rsidR="00BA1358" w:rsidRDefault="00BA1358" w:rsidP="00BA1358">
      <w:pPr>
        <w:spacing w:line="360" w:lineRule="auto"/>
        <w:ind w:firstLineChars="200" w:firstLine="480"/>
        <w:rPr>
          <w:bCs/>
          <w:sz w:val="24"/>
        </w:rPr>
      </w:pPr>
      <w:r>
        <w:rPr>
          <w:bCs/>
          <w:sz w:val="24"/>
        </w:rPr>
        <w:t>（</w:t>
      </w:r>
      <w:r>
        <w:rPr>
          <w:bCs/>
          <w:sz w:val="24"/>
        </w:rPr>
        <w:t>1</w:t>
      </w:r>
      <w:r>
        <w:rPr>
          <w:bCs/>
          <w:sz w:val="24"/>
        </w:rPr>
        <w:t>）分享基金财产收益；</w:t>
      </w:r>
    </w:p>
    <w:p w:rsidR="00BA1358" w:rsidRDefault="00BA1358" w:rsidP="00BA1358">
      <w:pPr>
        <w:spacing w:line="360" w:lineRule="auto"/>
        <w:ind w:firstLineChars="200" w:firstLine="480"/>
        <w:rPr>
          <w:bCs/>
          <w:sz w:val="24"/>
        </w:rPr>
      </w:pPr>
      <w:r>
        <w:rPr>
          <w:bCs/>
          <w:sz w:val="24"/>
        </w:rPr>
        <w:t>（</w:t>
      </w:r>
      <w:r>
        <w:rPr>
          <w:bCs/>
          <w:sz w:val="24"/>
        </w:rPr>
        <w:t>2</w:t>
      </w:r>
      <w:r>
        <w:rPr>
          <w:bCs/>
          <w:sz w:val="24"/>
        </w:rPr>
        <w:t>）参与分配清算后的剩余基金财产；</w:t>
      </w:r>
    </w:p>
    <w:p w:rsidR="00BA1358" w:rsidRDefault="00BA1358" w:rsidP="00BA1358">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w:t>
      </w:r>
      <w:r>
        <w:rPr>
          <w:bCs/>
          <w:sz w:val="24"/>
        </w:rPr>
        <w:t>申请赎回</w:t>
      </w:r>
      <w:r>
        <w:rPr>
          <w:rFonts w:hint="eastAsia"/>
          <w:bCs/>
          <w:sz w:val="24"/>
        </w:rPr>
        <w:t>或转让</w:t>
      </w:r>
      <w:r>
        <w:rPr>
          <w:bCs/>
          <w:sz w:val="24"/>
        </w:rPr>
        <w:t>其持有的基金份额；</w:t>
      </w:r>
    </w:p>
    <w:p w:rsidR="00BA1358" w:rsidRDefault="00BA1358" w:rsidP="00BA1358">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BA1358" w:rsidRDefault="00BA1358" w:rsidP="00BA135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BA1358" w:rsidRDefault="00BA1358" w:rsidP="00BA1358">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BA1358" w:rsidRDefault="00BA1358" w:rsidP="00BA1358">
      <w:pPr>
        <w:spacing w:line="360" w:lineRule="auto"/>
        <w:ind w:firstLineChars="200" w:firstLine="480"/>
        <w:rPr>
          <w:bCs/>
          <w:sz w:val="24"/>
        </w:rPr>
      </w:pPr>
      <w:r>
        <w:rPr>
          <w:bCs/>
          <w:sz w:val="24"/>
        </w:rPr>
        <w:t>（</w:t>
      </w:r>
      <w:r>
        <w:rPr>
          <w:bCs/>
          <w:sz w:val="24"/>
        </w:rPr>
        <w:t>7</w:t>
      </w:r>
      <w:r>
        <w:rPr>
          <w:bCs/>
          <w:sz w:val="24"/>
        </w:rPr>
        <w:t>）监督基金管理人的投资运作；</w:t>
      </w:r>
    </w:p>
    <w:p w:rsidR="00BA1358" w:rsidRDefault="00BA1358" w:rsidP="00BA135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BA1358" w:rsidRDefault="00BA1358" w:rsidP="00BA135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BA1358" w:rsidRDefault="00BA1358" w:rsidP="00BA1358">
      <w:pPr>
        <w:spacing w:line="360" w:lineRule="auto"/>
        <w:ind w:firstLineChars="200" w:firstLine="480"/>
        <w:rPr>
          <w:sz w:val="24"/>
        </w:rPr>
      </w:pPr>
      <w:r>
        <w:rPr>
          <w:rFonts w:hAnsi="宋体"/>
          <w:bCs/>
          <w:sz w:val="24"/>
        </w:rPr>
        <w:t>（六）</w:t>
      </w:r>
      <w:r>
        <w:rPr>
          <w:rFonts w:hAnsi="宋体"/>
          <w:sz w:val="24"/>
        </w:rPr>
        <w:t>基金份额持有人的义务</w:t>
      </w:r>
    </w:p>
    <w:p w:rsidR="00BA1358" w:rsidRDefault="00BA1358" w:rsidP="00BA1358">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根据《基金法》、《运作办法》及其他有关规定，基金份额持有人的义务包括但不限于：</w:t>
      </w:r>
    </w:p>
    <w:p w:rsidR="00BA1358" w:rsidRDefault="00BA1358" w:rsidP="00BA1358">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BA1358" w:rsidRDefault="00BA1358" w:rsidP="00BA1358">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BA1358" w:rsidRDefault="00BA1358" w:rsidP="00BA135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BA1358" w:rsidRDefault="00BA1358" w:rsidP="00BA1358">
      <w:pPr>
        <w:spacing w:line="360" w:lineRule="auto"/>
        <w:ind w:firstLineChars="200" w:firstLine="480"/>
        <w:rPr>
          <w:bCs/>
          <w:sz w:val="24"/>
        </w:rPr>
      </w:pPr>
      <w:r>
        <w:rPr>
          <w:bCs/>
          <w:sz w:val="24"/>
        </w:rPr>
        <w:t>（</w:t>
      </w:r>
      <w:r>
        <w:rPr>
          <w:bCs/>
          <w:sz w:val="24"/>
        </w:rPr>
        <w:t>4</w:t>
      </w:r>
      <w:r>
        <w:rPr>
          <w:bCs/>
          <w:sz w:val="24"/>
        </w:rPr>
        <w:t>）缴纳基金申购款项及法律法规和《基金合同》所规定的费用；</w:t>
      </w:r>
    </w:p>
    <w:p w:rsidR="00BA1358" w:rsidRDefault="00BA1358" w:rsidP="00BA135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rsidR="00BA1358" w:rsidRDefault="00BA1358" w:rsidP="00BA135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BA1358" w:rsidRDefault="00BA1358" w:rsidP="00BA1358">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BA1358" w:rsidRDefault="00BA1358" w:rsidP="00BA135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BA1358" w:rsidRDefault="00BA1358" w:rsidP="00BA1358">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BA1358" w:rsidRDefault="00BA1358" w:rsidP="00BA1358">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BA1358" w:rsidRDefault="00BA1358" w:rsidP="00BA1358">
      <w:pPr>
        <w:spacing w:line="360" w:lineRule="auto"/>
        <w:ind w:firstLineChars="200" w:firstLine="480"/>
        <w:rPr>
          <w:bCs/>
          <w:sz w:val="24"/>
        </w:rPr>
      </w:pPr>
      <w:r>
        <w:rPr>
          <w:bCs/>
          <w:sz w:val="24"/>
        </w:rPr>
        <w:t>（</w:t>
      </w:r>
      <w:r>
        <w:rPr>
          <w:rFonts w:hint="eastAsia"/>
          <w:bCs/>
          <w:sz w:val="24"/>
        </w:rPr>
        <w:t>11</w:t>
      </w:r>
      <w:r>
        <w:rPr>
          <w:bCs/>
          <w:sz w:val="24"/>
        </w:rPr>
        <w:t>）法律法规及中国证监会规定的和《基金合同》约定的其他义务。</w:t>
      </w:r>
    </w:p>
    <w:p w:rsidR="00BA1358" w:rsidRDefault="00BA1358" w:rsidP="00BA1358">
      <w:pPr>
        <w:spacing w:line="360" w:lineRule="auto"/>
        <w:ind w:firstLineChars="200" w:firstLine="480"/>
        <w:rPr>
          <w:bCs/>
          <w:sz w:val="24"/>
        </w:rPr>
      </w:pPr>
    </w:p>
    <w:p w:rsidR="00BA1358" w:rsidRDefault="00BA1358" w:rsidP="00BA1358">
      <w:pPr>
        <w:spacing w:line="360" w:lineRule="auto"/>
        <w:ind w:firstLineChars="200" w:firstLine="482"/>
        <w:rPr>
          <w:b/>
          <w:bCs/>
          <w:sz w:val="24"/>
        </w:rPr>
      </w:pPr>
      <w:r>
        <w:rPr>
          <w:rFonts w:hAnsi="宋体"/>
          <w:b/>
          <w:bCs/>
          <w:sz w:val="24"/>
        </w:rPr>
        <w:t>二、基金份额持有人大会召集、议事及表决的程序和规则</w:t>
      </w:r>
    </w:p>
    <w:p w:rsidR="00BA1358" w:rsidRDefault="00BA1358" w:rsidP="00BA1358">
      <w:pPr>
        <w:spacing w:line="360" w:lineRule="auto"/>
        <w:ind w:firstLineChars="200" w:firstLine="480"/>
        <w:rPr>
          <w:rFonts w:hint="eastAsia"/>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BA1358" w:rsidRDefault="00BA1358" w:rsidP="00BA1358">
      <w:pPr>
        <w:spacing w:line="360" w:lineRule="auto"/>
        <w:ind w:firstLineChars="200" w:firstLine="480"/>
        <w:rPr>
          <w:bCs/>
          <w:sz w:val="24"/>
        </w:rPr>
      </w:pPr>
      <w:r>
        <w:rPr>
          <w:rFonts w:hint="eastAsia"/>
          <w:bCs/>
          <w:sz w:val="24"/>
        </w:rPr>
        <w:t>本基金份额持有人大会不设日常机构。</w:t>
      </w:r>
    </w:p>
    <w:p w:rsidR="00BA1358" w:rsidRDefault="00BA1358" w:rsidP="00BA1358">
      <w:pPr>
        <w:spacing w:line="360" w:lineRule="auto"/>
        <w:ind w:firstLineChars="200" w:firstLine="480"/>
        <w:rPr>
          <w:bCs/>
          <w:sz w:val="24"/>
        </w:rPr>
      </w:pPr>
      <w:r>
        <w:rPr>
          <w:rFonts w:hAnsi="宋体"/>
          <w:bCs/>
          <w:sz w:val="24"/>
        </w:rPr>
        <w:t>（一）召开事由</w:t>
      </w:r>
    </w:p>
    <w:p w:rsidR="00BA1358" w:rsidRDefault="00BA1358" w:rsidP="00BA1358">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BA1358" w:rsidRDefault="00BA1358" w:rsidP="00BA1358">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，法律法规、基金合同和中国证监会另有规定的除外</w:t>
      </w:r>
      <w:r>
        <w:rPr>
          <w:bCs/>
          <w:sz w:val="24"/>
        </w:rPr>
        <w:t>；</w:t>
      </w:r>
    </w:p>
    <w:p w:rsidR="00BA1358" w:rsidRDefault="00BA1358" w:rsidP="00BA1358">
      <w:pPr>
        <w:spacing w:line="440" w:lineRule="atLeast"/>
        <w:ind w:firstLineChars="200" w:firstLine="480"/>
        <w:rPr>
          <w:bCs/>
          <w:sz w:val="24"/>
        </w:rPr>
      </w:pPr>
      <w:r>
        <w:rPr>
          <w:bCs/>
          <w:sz w:val="24"/>
        </w:rPr>
        <w:t>（</w:t>
      </w:r>
      <w:r>
        <w:rPr>
          <w:bCs/>
          <w:sz w:val="24"/>
        </w:rPr>
        <w:t>2</w:t>
      </w:r>
      <w:r>
        <w:rPr>
          <w:bCs/>
          <w:sz w:val="24"/>
        </w:rPr>
        <w:t>）更换基金管理人；</w:t>
      </w:r>
    </w:p>
    <w:p w:rsidR="00BA1358" w:rsidRDefault="00BA1358" w:rsidP="00BA1358">
      <w:pPr>
        <w:spacing w:line="440" w:lineRule="atLeast"/>
        <w:ind w:firstLineChars="200" w:firstLine="480"/>
        <w:rPr>
          <w:bCs/>
          <w:sz w:val="24"/>
        </w:rPr>
      </w:pPr>
      <w:r>
        <w:rPr>
          <w:bCs/>
          <w:sz w:val="24"/>
        </w:rPr>
        <w:t>（</w:t>
      </w:r>
      <w:r>
        <w:rPr>
          <w:bCs/>
          <w:sz w:val="24"/>
        </w:rPr>
        <w:t>3</w:t>
      </w:r>
      <w:r>
        <w:rPr>
          <w:bCs/>
          <w:sz w:val="24"/>
        </w:rPr>
        <w:t>）更换基金托管人；</w:t>
      </w:r>
    </w:p>
    <w:p w:rsidR="00BA1358" w:rsidRDefault="00BA1358" w:rsidP="00BA1358">
      <w:pPr>
        <w:spacing w:line="440" w:lineRule="atLeast"/>
        <w:ind w:firstLineChars="200" w:firstLine="480"/>
        <w:rPr>
          <w:bCs/>
          <w:sz w:val="24"/>
        </w:rPr>
      </w:pPr>
      <w:r>
        <w:rPr>
          <w:bCs/>
          <w:sz w:val="24"/>
        </w:rPr>
        <w:t>（</w:t>
      </w:r>
      <w:r>
        <w:rPr>
          <w:bCs/>
          <w:sz w:val="24"/>
        </w:rPr>
        <w:t>4</w:t>
      </w:r>
      <w:r>
        <w:rPr>
          <w:bCs/>
          <w:sz w:val="24"/>
        </w:rPr>
        <w:t>）转换基金运作方式</w:t>
      </w:r>
      <w:r>
        <w:rPr>
          <w:rFonts w:hint="eastAsia"/>
          <w:bCs/>
          <w:sz w:val="24"/>
        </w:rPr>
        <w:t>，</w:t>
      </w:r>
      <w:r>
        <w:rPr>
          <w:bCs/>
          <w:sz w:val="24"/>
        </w:rPr>
        <w:t>法律法规和中国证监会另有规定的除外；</w:t>
      </w:r>
    </w:p>
    <w:p w:rsidR="00BA1358" w:rsidRDefault="00BA1358" w:rsidP="00BA1358">
      <w:pPr>
        <w:spacing w:line="440" w:lineRule="atLeast"/>
        <w:ind w:firstLineChars="200" w:firstLine="480"/>
        <w:rPr>
          <w:bCs/>
          <w:sz w:val="24"/>
        </w:rPr>
      </w:pPr>
      <w:r>
        <w:rPr>
          <w:bCs/>
          <w:sz w:val="24"/>
        </w:rPr>
        <w:t>（</w:t>
      </w:r>
      <w:r>
        <w:rPr>
          <w:bCs/>
          <w:sz w:val="24"/>
        </w:rPr>
        <w:t>5</w:t>
      </w:r>
      <w:r>
        <w:rPr>
          <w:bCs/>
          <w:sz w:val="24"/>
        </w:rPr>
        <w:t>）提高基金管理人、基金托管人的报酬标准</w:t>
      </w:r>
      <w:r>
        <w:rPr>
          <w:rFonts w:hint="eastAsia"/>
          <w:bCs/>
          <w:sz w:val="24"/>
        </w:rPr>
        <w:t>，</w:t>
      </w:r>
      <w:r>
        <w:rPr>
          <w:rFonts w:ascii="宋体" w:hAnsi="宋体" w:hint="eastAsia"/>
          <w:bCs/>
          <w:sz w:val="24"/>
        </w:rPr>
        <w:t>但法律法规要求提高该等报酬标准的除外</w:t>
      </w:r>
      <w:r>
        <w:rPr>
          <w:bCs/>
          <w:sz w:val="24"/>
        </w:rPr>
        <w:t>；</w:t>
      </w:r>
    </w:p>
    <w:p w:rsidR="00BA1358" w:rsidRDefault="00BA1358" w:rsidP="00BA1358">
      <w:pPr>
        <w:spacing w:line="440" w:lineRule="atLeast"/>
        <w:ind w:firstLineChars="200" w:firstLine="480"/>
        <w:rPr>
          <w:bCs/>
          <w:sz w:val="24"/>
        </w:rPr>
      </w:pPr>
      <w:r>
        <w:rPr>
          <w:bCs/>
          <w:sz w:val="24"/>
        </w:rPr>
        <w:t>（</w:t>
      </w:r>
      <w:r>
        <w:rPr>
          <w:bCs/>
          <w:sz w:val="24"/>
        </w:rPr>
        <w:t>6</w:t>
      </w:r>
      <w:r>
        <w:rPr>
          <w:bCs/>
          <w:sz w:val="24"/>
        </w:rPr>
        <w:t>）变更基金类别；</w:t>
      </w:r>
    </w:p>
    <w:p w:rsidR="00BA1358" w:rsidRDefault="00BA1358" w:rsidP="00BA1358">
      <w:pPr>
        <w:spacing w:line="440" w:lineRule="atLeast"/>
        <w:ind w:firstLineChars="200" w:firstLine="480"/>
        <w:rPr>
          <w:bCs/>
          <w:sz w:val="24"/>
        </w:rPr>
      </w:pPr>
      <w:r>
        <w:rPr>
          <w:bCs/>
          <w:sz w:val="24"/>
        </w:rPr>
        <w:t>（</w:t>
      </w:r>
      <w:r>
        <w:rPr>
          <w:bCs/>
          <w:sz w:val="24"/>
        </w:rPr>
        <w:t>7</w:t>
      </w:r>
      <w:r>
        <w:rPr>
          <w:bCs/>
          <w:sz w:val="24"/>
        </w:rPr>
        <w:t>）本基金与其他基金的合并；</w:t>
      </w:r>
    </w:p>
    <w:p w:rsidR="00BA1358" w:rsidRDefault="00BA1358" w:rsidP="00BA1358">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，法律法规、基金合同和中国证监会另有规定的除外</w:t>
      </w:r>
      <w:r>
        <w:rPr>
          <w:bCs/>
          <w:sz w:val="24"/>
        </w:rPr>
        <w:t>；</w:t>
      </w:r>
    </w:p>
    <w:p w:rsidR="00BA1358" w:rsidRDefault="00BA1358" w:rsidP="00BA1358">
      <w:pPr>
        <w:spacing w:line="440" w:lineRule="atLeast"/>
        <w:ind w:firstLineChars="200" w:firstLine="480"/>
        <w:rPr>
          <w:bCs/>
          <w:sz w:val="24"/>
        </w:rPr>
      </w:pPr>
      <w:r>
        <w:rPr>
          <w:bCs/>
          <w:sz w:val="24"/>
        </w:rPr>
        <w:t>（</w:t>
      </w:r>
      <w:r>
        <w:rPr>
          <w:bCs/>
          <w:sz w:val="24"/>
        </w:rPr>
        <w:t>9</w:t>
      </w:r>
      <w:r>
        <w:rPr>
          <w:bCs/>
          <w:sz w:val="24"/>
        </w:rPr>
        <w:t>）变更基金份额持有人大会程序</w:t>
      </w:r>
      <w:r>
        <w:rPr>
          <w:rFonts w:hint="eastAsia"/>
          <w:bCs/>
          <w:sz w:val="24"/>
        </w:rPr>
        <w:t>，法律法规、基金合同和中国证监会另有规定的除外</w:t>
      </w:r>
      <w:r>
        <w:rPr>
          <w:bCs/>
          <w:sz w:val="24"/>
        </w:rPr>
        <w:t>；</w:t>
      </w:r>
    </w:p>
    <w:p w:rsidR="00BA1358" w:rsidRDefault="00BA1358" w:rsidP="00BA1358">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BA1358" w:rsidRDefault="00BA1358" w:rsidP="00BA1358">
      <w:pPr>
        <w:spacing w:line="440" w:lineRule="atLeast"/>
        <w:ind w:firstLineChars="200" w:firstLine="480"/>
        <w:rPr>
          <w:bCs/>
          <w:sz w:val="24"/>
        </w:rPr>
      </w:pPr>
      <w:r>
        <w:rPr>
          <w:bCs/>
          <w:sz w:val="24"/>
        </w:rPr>
        <w:lastRenderedPageBreak/>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BA1358" w:rsidRDefault="00BA1358" w:rsidP="00BA1358">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BA1358" w:rsidRDefault="00BA1358" w:rsidP="00BA1358">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BA1358" w:rsidRDefault="00BA1358" w:rsidP="00BA1358">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BA1358" w:rsidRDefault="00BA1358" w:rsidP="00BA1358">
      <w:pPr>
        <w:spacing w:line="360" w:lineRule="auto"/>
        <w:ind w:firstLineChars="200" w:firstLine="480"/>
        <w:rPr>
          <w:bCs/>
          <w:sz w:val="24"/>
        </w:rPr>
      </w:pPr>
      <w:r>
        <w:rPr>
          <w:bCs/>
          <w:sz w:val="24"/>
        </w:rPr>
        <w:t>（</w:t>
      </w:r>
      <w:r>
        <w:rPr>
          <w:bCs/>
          <w:sz w:val="24"/>
        </w:rPr>
        <w:t>1</w:t>
      </w:r>
      <w:r>
        <w:rPr>
          <w:bCs/>
          <w:sz w:val="24"/>
        </w:rPr>
        <w:t>）调低基金管理费、基金托管费</w:t>
      </w:r>
      <w:r>
        <w:rPr>
          <w:rFonts w:hint="eastAsia"/>
          <w:bCs/>
          <w:sz w:val="24"/>
        </w:rPr>
        <w:t>和其他应由本基金或基金份额持有人承担的费用</w:t>
      </w:r>
      <w:r>
        <w:rPr>
          <w:bCs/>
          <w:sz w:val="24"/>
        </w:rPr>
        <w:t>；</w:t>
      </w:r>
    </w:p>
    <w:p w:rsidR="00BA1358" w:rsidRDefault="00BA1358" w:rsidP="00BA1358">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BA1358" w:rsidRDefault="00BA1358" w:rsidP="00BA1358">
      <w:pPr>
        <w:spacing w:line="360" w:lineRule="auto"/>
        <w:ind w:firstLineChars="200" w:firstLine="480"/>
        <w:rPr>
          <w:bCs/>
          <w:sz w:val="24"/>
        </w:rPr>
      </w:pPr>
      <w:r>
        <w:rPr>
          <w:bCs/>
          <w:sz w:val="24"/>
        </w:rPr>
        <w:t>（</w:t>
      </w:r>
      <w:r>
        <w:rPr>
          <w:bCs/>
          <w:sz w:val="24"/>
        </w:rPr>
        <w:t>3</w:t>
      </w:r>
      <w:r>
        <w:rPr>
          <w:bCs/>
          <w:sz w:val="24"/>
        </w:rPr>
        <w:t>）在法律法规和《基金合同》规定的范围内</w:t>
      </w:r>
      <w:r>
        <w:rPr>
          <w:rFonts w:hint="eastAsia"/>
          <w:bCs/>
          <w:sz w:val="24"/>
        </w:rPr>
        <w:t>，且在对现有基金份额持有人利益无实质性不利影响的前提下</w:t>
      </w:r>
      <w:r>
        <w:rPr>
          <w:bCs/>
          <w:sz w:val="24"/>
        </w:rPr>
        <w:t>调整本基金的申购费率、调低赎回费率</w:t>
      </w:r>
      <w:r>
        <w:rPr>
          <w:rFonts w:hint="eastAsia"/>
          <w:bCs/>
          <w:sz w:val="24"/>
        </w:rPr>
        <w:t>、变更或增加收费方式</w:t>
      </w:r>
      <w:r>
        <w:rPr>
          <w:bCs/>
          <w:sz w:val="24"/>
        </w:rPr>
        <w:t>；</w:t>
      </w:r>
    </w:p>
    <w:p w:rsidR="00BA1358" w:rsidRDefault="00BA1358" w:rsidP="00BA1358">
      <w:pPr>
        <w:spacing w:line="360" w:lineRule="auto"/>
        <w:ind w:firstLineChars="200" w:firstLine="480"/>
        <w:rPr>
          <w:bCs/>
          <w:sz w:val="24"/>
        </w:rPr>
      </w:pPr>
      <w:r>
        <w:rPr>
          <w:bCs/>
          <w:sz w:val="24"/>
        </w:rPr>
        <w:t>（</w:t>
      </w:r>
      <w:r>
        <w:rPr>
          <w:bCs/>
          <w:sz w:val="24"/>
        </w:rPr>
        <w:t>4</w:t>
      </w:r>
      <w:r>
        <w:rPr>
          <w:bCs/>
          <w:sz w:val="24"/>
        </w:rPr>
        <w:t>）因相应的法律法规</w:t>
      </w:r>
      <w:r>
        <w:rPr>
          <w:rFonts w:hint="eastAsia"/>
          <w:bCs/>
          <w:sz w:val="24"/>
        </w:rPr>
        <w:t>或</w:t>
      </w:r>
      <w:r>
        <w:rPr>
          <w:bCs/>
          <w:sz w:val="24"/>
        </w:rPr>
        <w:t>登记机构的相关业务规则发生变动而应当对《基金合同》进行修改；</w:t>
      </w:r>
    </w:p>
    <w:p w:rsidR="00BA1358" w:rsidRDefault="00BA1358" w:rsidP="00BA1358">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BA1358" w:rsidRDefault="00BA1358" w:rsidP="00BA1358">
      <w:pPr>
        <w:spacing w:line="360" w:lineRule="auto"/>
        <w:ind w:firstLineChars="200" w:firstLine="480"/>
        <w:rPr>
          <w:rFonts w:hint="eastAsia"/>
          <w:bCs/>
          <w:sz w:val="24"/>
        </w:rPr>
      </w:pPr>
      <w:r>
        <w:rPr>
          <w:rFonts w:hint="eastAsia"/>
          <w:bCs/>
          <w:sz w:val="24"/>
        </w:rPr>
        <w:t>（</w:t>
      </w:r>
      <w:r>
        <w:rPr>
          <w:bCs/>
          <w:sz w:val="24"/>
        </w:rPr>
        <w:t>6</w:t>
      </w:r>
      <w:r>
        <w:rPr>
          <w:rFonts w:hint="eastAsia"/>
          <w:bCs/>
          <w:sz w:val="24"/>
        </w:rPr>
        <w:t>）在法律法规和《基金合同》规定的范围内，且在对现有基金份额持有人利益无实质性不利影响的前提下，基金推出新业务或服务；</w:t>
      </w:r>
    </w:p>
    <w:p w:rsidR="00BA1358" w:rsidRDefault="00BA1358" w:rsidP="00BA1358">
      <w:pPr>
        <w:spacing w:line="360" w:lineRule="auto"/>
        <w:ind w:firstLineChars="200" w:firstLine="480"/>
        <w:rPr>
          <w:bCs/>
          <w:sz w:val="24"/>
        </w:rPr>
      </w:pPr>
      <w:r>
        <w:rPr>
          <w:rFonts w:hint="eastAsia"/>
          <w:bCs/>
          <w:sz w:val="24"/>
        </w:rPr>
        <w:t>（</w:t>
      </w:r>
      <w:r>
        <w:rPr>
          <w:bCs/>
          <w:sz w:val="24"/>
        </w:rPr>
        <w:t>7</w:t>
      </w:r>
      <w:r>
        <w:rPr>
          <w:rFonts w:hint="eastAsia"/>
          <w:bCs/>
          <w:sz w:val="24"/>
        </w:rPr>
        <w:t>）在法律法规和《基金合同》规定的范围内，且在对现有基金份额持有人利益无实质性不利影响的前提下，基金管理人、登记机构、销售机构调整有关基金申购、赎回、转换、收益分配、非交易过户、转托管等业务的规则；</w:t>
      </w:r>
    </w:p>
    <w:p w:rsidR="00BA1358" w:rsidRDefault="00BA1358" w:rsidP="00BA1358">
      <w:pPr>
        <w:spacing w:line="360" w:lineRule="auto"/>
        <w:ind w:firstLineChars="200" w:firstLine="480"/>
        <w:rPr>
          <w:bCs/>
          <w:sz w:val="24"/>
        </w:rPr>
      </w:pPr>
      <w:r>
        <w:rPr>
          <w:bCs/>
          <w:sz w:val="24"/>
        </w:rPr>
        <w:t>（</w:t>
      </w:r>
      <w:r>
        <w:rPr>
          <w:rFonts w:hint="eastAsia"/>
          <w:bCs/>
          <w:sz w:val="24"/>
        </w:rPr>
        <w:t>8</w:t>
      </w:r>
      <w:r>
        <w:rPr>
          <w:bCs/>
          <w:sz w:val="24"/>
        </w:rPr>
        <w:t>）按照法律法规和《基金合同》规定不需召开基金份额持有人大会的以外的其他情形。</w:t>
      </w:r>
    </w:p>
    <w:p w:rsidR="00BA1358" w:rsidRDefault="00BA1358" w:rsidP="00BA1358">
      <w:pPr>
        <w:spacing w:line="360" w:lineRule="auto"/>
        <w:ind w:firstLineChars="200" w:firstLine="480"/>
        <w:rPr>
          <w:rFonts w:hint="eastAsia"/>
          <w:bCs/>
          <w:sz w:val="24"/>
        </w:rPr>
      </w:pPr>
      <w:r>
        <w:rPr>
          <w:rFonts w:hint="eastAsia"/>
          <w:bCs/>
          <w:sz w:val="24"/>
        </w:rPr>
        <w:t>3</w:t>
      </w:r>
      <w:r>
        <w:rPr>
          <w:rFonts w:hint="eastAsia"/>
          <w:bCs/>
          <w:sz w:val="24"/>
        </w:rPr>
        <w:t>、基金合同生效后的存续期内，若基金份额持有人数量连续</w:t>
      </w:r>
      <w:r>
        <w:rPr>
          <w:bCs/>
          <w:sz w:val="24"/>
        </w:rPr>
        <w:t>60</w:t>
      </w:r>
      <w:r>
        <w:rPr>
          <w:rFonts w:hint="eastAsia"/>
          <w:bCs/>
          <w:sz w:val="24"/>
        </w:rPr>
        <w:t>个工作日达不到</w:t>
      </w:r>
      <w:r>
        <w:rPr>
          <w:bCs/>
          <w:sz w:val="24"/>
        </w:rPr>
        <w:t>200</w:t>
      </w:r>
      <w:r>
        <w:rPr>
          <w:rFonts w:hint="eastAsia"/>
          <w:bCs/>
          <w:sz w:val="24"/>
        </w:rPr>
        <w:t>人或基金资产净值连续</w:t>
      </w:r>
      <w:r>
        <w:rPr>
          <w:bCs/>
          <w:sz w:val="24"/>
        </w:rPr>
        <w:t>60</w:t>
      </w:r>
      <w:r>
        <w:rPr>
          <w:rFonts w:hint="eastAsia"/>
          <w:bCs/>
          <w:sz w:val="24"/>
        </w:rPr>
        <w:t>个工作日低于</w:t>
      </w:r>
      <w:r>
        <w:rPr>
          <w:bCs/>
          <w:sz w:val="24"/>
        </w:rPr>
        <w:t>5000</w:t>
      </w:r>
      <w:r>
        <w:rPr>
          <w:rFonts w:hint="eastAsia"/>
          <w:bCs/>
          <w:sz w:val="24"/>
        </w:rPr>
        <w:t>万元，本基金管理人将向中国证监会报告并提出解决方案，如转换运作方式、与其他基金合并或者终止基金合同等，并召开基金份额持有人大会进行表决。</w:t>
      </w:r>
    </w:p>
    <w:p w:rsidR="00BA1358" w:rsidRDefault="00BA1358" w:rsidP="00BA1358">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BA1358" w:rsidRDefault="00BA1358" w:rsidP="00BA1358">
      <w:pPr>
        <w:spacing w:line="360" w:lineRule="auto"/>
        <w:ind w:firstLineChars="200" w:firstLine="480"/>
        <w:rPr>
          <w:bCs/>
          <w:sz w:val="24"/>
        </w:rPr>
      </w:pPr>
      <w:r>
        <w:rPr>
          <w:bCs/>
          <w:sz w:val="24"/>
        </w:rPr>
        <w:lastRenderedPageBreak/>
        <w:t>1</w:t>
      </w:r>
      <w:r>
        <w:rPr>
          <w:bCs/>
          <w:sz w:val="24"/>
        </w:rPr>
        <w:t>、除法律法规规定或《基金合同》另有约定外，基金份额持有人大会由基金管理人召集；</w:t>
      </w:r>
    </w:p>
    <w:p w:rsidR="00BA1358" w:rsidRDefault="00BA1358" w:rsidP="00BA1358">
      <w:pPr>
        <w:spacing w:line="360" w:lineRule="auto"/>
        <w:ind w:firstLineChars="200" w:firstLine="480"/>
        <w:rPr>
          <w:bCs/>
          <w:sz w:val="24"/>
        </w:rPr>
      </w:pPr>
      <w:r>
        <w:rPr>
          <w:bCs/>
          <w:sz w:val="24"/>
        </w:rPr>
        <w:t>2</w:t>
      </w:r>
      <w:r>
        <w:rPr>
          <w:bCs/>
          <w:sz w:val="24"/>
        </w:rPr>
        <w:t>、基金管理人未按规定召集或不能召集时，由基金托管人召集；</w:t>
      </w:r>
    </w:p>
    <w:p w:rsidR="00BA1358" w:rsidRDefault="00BA1358" w:rsidP="00BA135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BA1358" w:rsidRDefault="00BA1358" w:rsidP="00BA1358">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rsidR="00BA1358" w:rsidRDefault="00BA1358" w:rsidP="00BA1358">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BA1358" w:rsidRDefault="00BA1358" w:rsidP="00BA1358">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p>
    <w:p w:rsidR="00BA1358" w:rsidRDefault="00BA1358" w:rsidP="00BA1358">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BA1358" w:rsidRDefault="00BA1358" w:rsidP="00BA135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BA1358" w:rsidRDefault="00BA1358" w:rsidP="00BA1358">
      <w:pPr>
        <w:spacing w:line="360" w:lineRule="auto"/>
        <w:ind w:firstLineChars="200" w:firstLine="480"/>
        <w:rPr>
          <w:bCs/>
          <w:sz w:val="24"/>
        </w:rPr>
      </w:pPr>
      <w:r>
        <w:rPr>
          <w:rFonts w:hAnsi="宋体"/>
          <w:bCs/>
          <w:sz w:val="24"/>
        </w:rPr>
        <w:t>（三）召开基金份额持有人大会的通知时间、通知内容、通知方式</w:t>
      </w:r>
    </w:p>
    <w:p w:rsidR="00BA1358" w:rsidRDefault="00BA1358" w:rsidP="00BA1358">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rsidR="00BA1358" w:rsidRDefault="00BA1358" w:rsidP="00BA1358">
      <w:pPr>
        <w:spacing w:line="360" w:lineRule="auto"/>
        <w:ind w:firstLineChars="200" w:firstLine="480"/>
        <w:rPr>
          <w:bCs/>
          <w:sz w:val="24"/>
        </w:rPr>
      </w:pPr>
      <w:r>
        <w:rPr>
          <w:bCs/>
          <w:sz w:val="24"/>
        </w:rPr>
        <w:t>（</w:t>
      </w:r>
      <w:r>
        <w:rPr>
          <w:bCs/>
          <w:sz w:val="24"/>
        </w:rPr>
        <w:t>1</w:t>
      </w:r>
      <w:r>
        <w:rPr>
          <w:bCs/>
          <w:sz w:val="24"/>
        </w:rPr>
        <w:t>）会议召开的时间、地点和会议形式；</w:t>
      </w:r>
    </w:p>
    <w:p w:rsidR="00BA1358" w:rsidRDefault="00BA1358" w:rsidP="00BA1358">
      <w:pPr>
        <w:spacing w:line="360" w:lineRule="auto"/>
        <w:ind w:firstLineChars="200" w:firstLine="480"/>
        <w:rPr>
          <w:bCs/>
          <w:sz w:val="24"/>
        </w:rPr>
      </w:pPr>
      <w:r>
        <w:rPr>
          <w:bCs/>
          <w:sz w:val="24"/>
        </w:rPr>
        <w:lastRenderedPageBreak/>
        <w:t>（</w:t>
      </w:r>
      <w:r>
        <w:rPr>
          <w:bCs/>
          <w:sz w:val="24"/>
        </w:rPr>
        <w:t>2</w:t>
      </w:r>
      <w:r>
        <w:rPr>
          <w:bCs/>
          <w:sz w:val="24"/>
        </w:rPr>
        <w:t>）会议拟审议的事项、议事程序和表决方式；</w:t>
      </w:r>
    </w:p>
    <w:p w:rsidR="00BA1358" w:rsidRDefault="00BA1358" w:rsidP="00BA135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BA1358" w:rsidRDefault="00BA1358" w:rsidP="00BA135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BA1358" w:rsidRDefault="00BA1358" w:rsidP="00BA1358">
      <w:pPr>
        <w:spacing w:line="360" w:lineRule="auto"/>
        <w:ind w:firstLineChars="200" w:firstLine="480"/>
        <w:rPr>
          <w:bCs/>
          <w:sz w:val="24"/>
        </w:rPr>
      </w:pPr>
      <w:r>
        <w:rPr>
          <w:bCs/>
          <w:sz w:val="24"/>
        </w:rPr>
        <w:t>（</w:t>
      </w:r>
      <w:r>
        <w:rPr>
          <w:bCs/>
          <w:sz w:val="24"/>
        </w:rPr>
        <w:t>5</w:t>
      </w:r>
      <w:r>
        <w:rPr>
          <w:bCs/>
          <w:sz w:val="24"/>
        </w:rPr>
        <w:t>）会务常设联系人姓名及联系电话；</w:t>
      </w:r>
    </w:p>
    <w:p w:rsidR="00BA1358" w:rsidRDefault="00BA1358" w:rsidP="00BA135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BA1358" w:rsidRDefault="00BA1358" w:rsidP="00BA1358">
      <w:pPr>
        <w:spacing w:line="360" w:lineRule="auto"/>
        <w:ind w:firstLineChars="200" w:firstLine="480"/>
        <w:rPr>
          <w:bCs/>
          <w:sz w:val="24"/>
        </w:rPr>
      </w:pPr>
      <w:r>
        <w:rPr>
          <w:bCs/>
          <w:sz w:val="24"/>
        </w:rPr>
        <w:t>（</w:t>
      </w:r>
      <w:r>
        <w:rPr>
          <w:bCs/>
          <w:sz w:val="24"/>
        </w:rPr>
        <w:t>7</w:t>
      </w:r>
      <w:r>
        <w:rPr>
          <w:bCs/>
          <w:sz w:val="24"/>
        </w:rPr>
        <w:t>）召集人需要通知的其他事项。</w:t>
      </w:r>
    </w:p>
    <w:p w:rsidR="00BA1358" w:rsidRDefault="00BA1358" w:rsidP="00BA135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A1358" w:rsidRDefault="00BA1358" w:rsidP="00BA135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A1358" w:rsidRDefault="00BA1358" w:rsidP="00BA1358">
      <w:pPr>
        <w:spacing w:line="360" w:lineRule="auto"/>
        <w:ind w:firstLineChars="200" w:firstLine="480"/>
        <w:rPr>
          <w:bCs/>
          <w:sz w:val="24"/>
        </w:rPr>
      </w:pPr>
      <w:r>
        <w:rPr>
          <w:rFonts w:hAnsi="宋体"/>
          <w:bCs/>
          <w:sz w:val="24"/>
        </w:rPr>
        <w:t>（四）基金份额持有人出席会议的方式</w:t>
      </w:r>
    </w:p>
    <w:p w:rsidR="00BA1358" w:rsidRDefault="00BA1358" w:rsidP="00BA1358">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或法律法规和监管机关允许的其他方式</w:t>
      </w:r>
      <w:r>
        <w:rPr>
          <w:bCs/>
          <w:sz w:val="24"/>
        </w:rPr>
        <w:t>召开，会议的召开方式由会议召集人确定。</w:t>
      </w:r>
    </w:p>
    <w:p w:rsidR="00BA1358" w:rsidRDefault="00BA1358" w:rsidP="00BA135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BA1358" w:rsidRDefault="00BA1358" w:rsidP="00BA135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A1358" w:rsidRDefault="00BA1358" w:rsidP="00BA135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w:t>
      </w:r>
      <w:r>
        <w:rPr>
          <w:rFonts w:hint="eastAsia"/>
          <w:bCs/>
          <w:sz w:val="24"/>
        </w:rPr>
        <w:lastRenderedPageBreak/>
        <w:t>一</w:t>
      </w:r>
      <w:r>
        <w:rPr>
          <w:bCs/>
          <w:sz w:val="24"/>
        </w:rPr>
        <w:t>）。</w:t>
      </w:r>
      <w:r>
        <w:rPr>
          <w:rFonts w:hint="eastAsia"/>
          <w:bCs/>
          <w:sz w:val="24"/>
        </w:rPr>
        <w:t>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BA1358" w:rsidRDefault="00BA1358" w:rsidP="00BA1358">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BA1358" w:rsidRDefault="00BA1358" w:rsidP="00BA1358">
      <w:pPr>
        <w:spacing w:line="360" w:lineRule="auto"/>
        <w:ind w:firstLineChars="200" w:firstLine="480"/>
        <w:rPr>
          <w:bCs/>
          <w:sz w:val="24"/>
        </w:rPr>
      </w:pPr>
      <w:r>
        <w:rPr>
          <w:bCs/>
          <w:sz w:val="24"/>
        </w:rPr>
        <w:t>在同时符合以下条件时，通讯开会的方式视为有效：</w:t>
      </w:r>
    </w:p>
    <w:p w:rsidR="00BA1358" w:rsidRDefault="00BA1358" w:rsidP="00BA135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BA1358" w:rsidRDefault="00BA1358" w:rsidP="00BA135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A1358" w:rsidRDefault="00BA1358" w:rsidP="00BA1358">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本人直接出具书面意见或授权他人代表出具书面意见</w:t>
      </w:r>
      <w:r>
        <w:rPr>
          <w:rFonts w:hint="eastAsia"/>
          <w:bCs/>
          <w:sz w:val="24"/>
        </w:rPr>
        <w:t>的</w:t>
      </w:r>
      <w:r>
        <w:rPr>
          <w:bCs/>
          <w:sz w:val="24"/>
        </w:rPr>
        <w:t>基金份额持有人所持有的基金份额小于在权益登记日基金总份额的</w:t>
      </w:r>
      <w:r>
        <w:rPr>
          <w:rFonts w:hint="eastAsia"/>
          <w:sz w:val="24"/>
          <w:szCs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基金总份额三分之一以上（含三分之一）基金份额的持有人直接出具书面意见或授权他人代表出具书面意见；</w:t>
      </w:r>
    </w:p>
    <w:p w:rsidR="00BA1358" w:rsidRDefault="00BA1358" w:rsidP="00BA1358">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A1358" w:rsidRDefault="00BA1358" w:rsidP="00BA1358">
      <w:pPr>
        <w:spacing w:line="360" w:lineRule="auto"/>
        <w:ind w:firstLineChars="200" w:firstLine="480"/>
        <w:rPr>
          <w:bCs/>
          <w:sz w:val="24"/>
        </w:rPr>
      </w:pPr>
      <w:r>
        <w:rPr>
          <w:rFonts w:hint="eastAsia"/>
          <w:bCs/>
          <w:sz w:val="24"/>
          <w:szCs w:val="24"/>
        </w:rPr>
        <w:t>3</w:t>
      </w:r>
      <w:r>
        <w:rPr>
          <w:rFonts w:hint="eastAsia"/>
          <w:bCs/>
          <w:sz w:val="24"/>
          <w:szCs w:val="24"/>
        </w:rPr>
        <w:t>、在法律法规和监管机关允许的情况下，经会议通知载明，</w:t>
      </w:r>
      <w:r>
        <w:rPr>
          <w:rFonts w:hAnsi="宋体"/>
          <w:bCs/>
          <w:sz w:val="24"/>
        </w:rPr>
        <w:t>本基金可采用</w:t>
      </w:r>
      <w:r>
        <w:rPr>
          <w:rFonts w:hAnsi="宋体"/>
          <w:bCs/>
          <w:sz w:val="24"/>
        </w:rPr>
        <w:lastRenderedPageBreak/>
        <w:t>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BA1358" w:rsidRDefault="00BA1358" w:rsidP="00BA1358">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BA1358" w:rsidRDefault="00BA1358" w:rsidP="00BA1358">
      <w:pPr>
        <w:spacing w:line="360" w:lineRule="auto"/>
        <w:ind w:firstLineChars="200" w:firstLine="480"/>
        <w:rPr>
          <w:bCs/>
          <w:sz w:val="24"/>
        </w:rPr>
      </w:pPr>
      <w:r>
        <w:rPr>
          <w:bCs/>
          <w:sz w:val="24"/>
        </w:rPr>
        <w:t>1</w:t>
      </w:r>
      <w:r>
        <w:rPr>
          <w:bCs/>
          <w:sz w:val="24"/>
        </w:rPr>
        <w:t>、议事内容及提案权</w:t>
      </w:r>
    </w:p>
    <w:p w:rsidR="00BA1358" w:rsidRDefault="00BA1358" w:rsidP="00BA135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BA1358" w:rsidRDefault="00BA1358" w:rsidP="00BA135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BA1358" w:rsidRDefault="00BA1358" w:rsidP="00BA1358">
      <w:pPr>
        <w:spacing w:line="360" w:lineRule="auto"/>
        <w:ind w:firstLineChars="200" w:firstLine="480"/>
        <w:rPr>
          <w:bCs/>
          <w:sz w:val="24"/>
        </w:rPr>
      </w:pPr>
      <w:r>
        <w:rPr>
          <w:bCs/>
          <w:sz w:val="24"/>
        </w:rPr>
        <w:t>基金份额持有人大会不得对未事先公告的议事内容进行表决。</w:t>
      </w:r>
    </w:p>
    <w:p w:rsidR="00BA1358" w:rsidRDefault="00BA1358" w:rsidP="00BA1358">
      <w:pPr>
        <w:spacing w:line="360" w:lineRule="auto"/>
        <w:ind w:firstLineChars="200" w:firstLine="480"/>
        <w:rPr>
          <w:bCs/>
          <w:sz w:val="24"/>
        </w:rPr>
      </w:pPr>
      <w:r>
        <w:rPr>
          <w:bCs/>
          <w:sz w:val="24"/>
        </w:rPr>
        <w:t>2</w:t>
      </w:r>
      <w:r>
        <w:rPr>
          <w:bCs/>
          <w:sz w:val="24"/>
        </w:rPr>
        <w:t>、议事程序</w:t>
      </w:r>
    </w:p>
    <w:p w:rsidR="00BA1358" w:rsidRDefault="00BA1358" w:rsidP="00BA1358">
      <w:pPr>
        <w:spacing w:line="360" w:lineRule="auto"/>
        <w:ind w:firstLineChars="200" w:firstLine="480"/>
        <w:rPr>
          <w:bCs/>
          <w:sz w:val="24"/>
        </w:rPr>
      </w:pPr>
      <w:r>
        <w:rPr>
          <w:bCs/>
          <w:sz w:val="24"/>
        </w:rPr>
        <w:t>（</w:t>
      </w:r>
      <w:r>
        <w:rPr>
          <w:bCs/>
          <w:sz w:val="24"/>
        </w:rPr>
        <w:t>1</w:t>
      </w:r>
      <w:r>
        <w:rPr>
          <w:bCs/>
          <w:sz w:val="24"/>
        </w:rPr>
        <w:t>）现场开会</w:t>
      </w:r>
    </w:p>
    <w:p w:rsidR="00BA1358" w:rsidRDefault="00BA1358" w:rsidP="00BA1358">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A1358" w:rsidRDefault="00BA1358" w:rsidP="00BA1358">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A1358" w:rsidRDefault="00BA1358" w:rsidP="00BA1358">
      <w:pPr>
        <w:spacing w:line="360" w:lineRule="auto"/>
        <w:ind w:firstLineChars="200" w:firstLine="480"/>
        <w:rPr>
          <w:bCs/>
          <w:sz w:val="24"/>
        </w:rPr>
      </w:pPr>
      <w:r>
        <w:rPr>
          <w:bCs/>
          <w:sz w:val="24"/>
        </w:rPr>
        <w:t>（</w:t>
      </w:r>
      <w:r>
        <w:rPr>
          <w:bCs/>
          <w:sz w:val="24"/>
        </w:rPr>
        <w:t>2</w:t>
      </w:r>
      <w:r>
        <w:rPr>
          <w:bCs/>
          <w:sz w:val="24"/>
        </w:rPr>
        <w:t>）通讯开会</w:t>
      </w:r>
    </w:p>
    <w:p w:rsidR="00BA1358" w:rsidRDefault="00BA1358" w:rsidP="00BA1358">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w:t>
      </w:r>
      <w:r>
        <w:rPr>
          <w:bCs/>
          <w:sz w:val="24"/>
        </w:rPr>
        <w:lastRenderedPageBreak/>
        <w:t>截止日期后</w:t>
      </w:r>
      <w:r>
        <w:rPr>
          <w:rFonts w:hint="eastAsia"/>
          <w:bCs/>
          <w:sz w:val="24"/>
        </w:rPr>
        <w:t>2</w:t>
      </w:r>
      <w:r>
        <w:rPr>
          <w:bCs/>
          <w:sz w:val="24"/>
        </w:rPr>
        <w:t>个工作日内在公证机关监督下由召集人统计全部有效表决，在公证机关监督下形成决议。</w:t>
      </w:r>
    </w:p>
    <w:p w:rsidR="00BA1358" w:rsidRDefault="00BA1358" w:rsidP="00BA1358">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BA1358" w:rsidRDefault="00BA1358" w:rsidP="00BA1358">
      <w:pPr>
        <w:spacing w:line="360" w:lineRule="auto"/>
        <w:ind w:firstLineChars="200" w:firstLine="480"/>
        <w:rPr>
          <w:bCs/>
          <w:sz w:val="24"/>
        </w:rPr>
      </w:pPr>
      <w:r>
        <w:rPr>
          <w:bCs/>
          <w:sz w:val="24"/>
        </w:rPr>
        <w:t>基金份额持有人所持每份基金份额有一票表决权。</w:t>
      </w:r>
    </w:p>
    <w:p w:rsidR="00BA1358" w:rsidRDefault="00BA1358" w:rsidP="00BA1358">
      <w:pPr>
        <w:spacing w:line="360" w:lineRule="auto"/>
        <w:ind w:firstLineChars="200" w:firstLine="480"/>
        <w:rPr>
          <w:bCs/>
          <w:sz w:val="24"/>
        </w:rPr>
      </w:pPr>
      <w:r>
        <w:rPr>
          <w:bCs/>
          <w:sz w:val="24"/>
        </w:rPr>
        <w:t>基金份额持有人大会决议分为一般决议和特别决议：</w:t>
      </w:r>
    </w:p>
    <w:p w:rsidR="00BA1358" w:rsidRDefault="00BA1358" w:rsidP="00BA1358">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BA1358" w:rsidRDefault="00BA1358" w:rsidP="00BA1358">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、本基金与其他基金合并（法律法规、基金合同和中国证监会另有规定的除外）以特别决议通</w:t>
      </w:r>
      <w:r>
        <w:rPr>
          <w:bCs/>
          <w:sz w:val="24"/>
        </w:rPr>
        <w:t>过方为有效。</w:t>
      </w:r>
    </w:p>
    <w:p w:rsidR="00BA1358" w:rsidRDefault="00BA1358" w:rsidP="00BA1358">
      <w:pPr>
        <w:spacing w:line="360" w:lineRule="auto"/>
        <w:ind w:firstLineChars="200" w:firstLine="480"/>
        <w:rPr>
          <w:bCs/>
          <w:sz w:val="24"/>
        </w:rPr>
      </w:pPr>
      <w:r>
        <w:rPr>
          <w:bCs/>
          <w:sz w:val="24"/>
        </w:rPr>
        <w:t>基金份额持有人大会采取记名方式进行投票表决。</w:t>
      </w:r>
    </w:p>
    <w:p w:rsidR="00BA1358" w:rsidRDefault="00BA1358" w:rsidP="00BA135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BA1358" w:rsidRDefault="00BA1358" w:rsidP="00BA1358">
      <w:pPr>
        <w:spacing w:line="360" w:lineRule="auto"/>
        <w:ind w:firstLineChars="200" w:firstLine="480"/>
        <w:rPr>
          <w:bCs/>
          <w:sz w:val="24"/>
        </w:rPr>
      </w:pPr>
      <w:r>
        <w:rPr>
          <w:bCs/>
          <w:sz w:val="24"/>
        </w:rPr>
        <w:t>基金份额持有人大会的各项提案或同一项提案内并列的各项议题应当分开审议、逐项表决。</w:t>
      </w:r>
    </w:p>
    <w:p w:rsidR="00BA1358" w:rsidRDefault="00BA1358" w:rsidP="00BA1358">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BA1358" w:rsidRDefault="00BA1358" w:rsidP="00BA1358">
      <w:pPr>
        <w:spacing w:line="360" w:lineRule="auto"/>
        <w:ind w:firstLineChars="200" w:firstLine="480"/>
        <w:rPr>
          <w:bCs/>
          <w:sz w:val="24"/>
        </w:rPr>
      </w:pPr>
      <w:r>
        <w:rPr>
          <w:bCs/>
          <w:sz w:val="24"/>
        </w:rPr>
        <w:t>1</w:t>
      </w:r>
      <w:r>
        <w:rPr>
          <w:bCs/>
          <w:sz w:val="24"/>
        </w:rPr>
        <w:t>、现场开会</w:t>
      </w:r>
    </w:p>
    <w:p w:rsidR="00BA1358" w:rsidRDefault="00BA1358" w:rsidP="00BA135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BA1358" w:rsidRDefault="00BA1358" w:rsidP="00BA135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w:t>
      </w:r>
      <w:r>
        <w:rPr>
          <w:bCs/>
          <w:sz w:val="24"/>
        </w:rPr>
        <w:lastRenderedPageBreak/>
        <w:t>场公布计票结果。</w:t>
      </w:r>
    </w:p>
    <w:p w:rsidR="00BA1358" w:rsidRDefault="00BA1358" w:rsidP="00BA135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A1358" w:rsidRDefault="00BA1358" w:rsidP="00BA1358">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BA1358" w:rsidRDefault="00BA1358" w:rsidP="00BA1358">
      <w:pPr>
        <w:spacing w:line="360" w:lineRule="auto"/>
        <w:ind w:firstLineChars="200" w:firstLine="480"/>
        <w:rPr>
          <w:bCs/>
          <w:sz w:val="24"/>
        </w:rPr>
      </w:pPr>
      <w:r>
        <w:rPr>
          <w:bCs/>
          <w:sz w:val="24"/>
        </w:rPr>
        <w:t>2</w:t>
      </w:r>
      <w:r>
        <w:rPr>
          <w:bCs/>
          <w:sz w:val="24"/>
        </w:rPr>
        <w:t>、通讯开会</w:t>
      </w:r>
    </w:p>
    <w:p w:rsidR="00BA1358" w:rsidRDefault="00BA1358" w:rsidP="00BA135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A1358" w:rsidRDefault="00BA1358" w:rsidP="00BA1358">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BA1358" w:rsidRDefault="00BA1358" w:rsidP="00BA1358">
      <w:pPr>
        <w:spacing w:line="360" w:lineRule="auto"/>
        <w:ind w:firstLineChars="200" w:firstLine="480"/>
        <w:rPr>
          <w:bCs/>
          <w:sz w:val="24"/>
        </w:rPr>
      </w:pPr>
      <w:r>
        <w:rPr>
          <w:bCs/>
          <w:sz w:val="24"/>
        </w:rPr>
        <w:t>基金份额持有人大会决定的事项自表决通过之日起生效，召集人应当自通过之日起</w:t>
      </w:r>
      <w:r>
        <w:rPr>
          <w:rFonts w:hint="eastAsia"/>
          <w:bCs/>
          <w:sz w:val="24"/>
        </w:rPr>
        <w:t>5</w:t>
      </w:r>
      <w:r>
        <w:rPr>
          <w:bCs/>
          <w:sz w:val="24"/>
        </w:rPr>
        <w:t>日内报中国证监会备案。</w:t>
      </w:r>
    </w:p>
    <w:p w:rsidR="00BA1358" w:rsidRDefault="00BA1358" w:rsidP="00BA1358">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BA1358" w:rsidRDefault="00BA1358" w:rsidP="00BA135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BA1358" w:rsidRDefault="00BA1358" w:rsidP="00BA1358">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BA1358" w:rsidRDefault="00BA1358" w:rsidP="00BA1358">
      <w:pPr>
        <w:spacing w:line="360" w:lineRule="auto"/>
        <w:ind w:firstLineChars="200" w:firstLine="480"/>
        <w:rPr>
          <w:bCs/>
          <w:sz w:val="24"/>
        </w:rPr>
      </w:pPr>
    </w:p>
    <w:p w:rsidR="00BA1358" w:rsidRDefault="00BA1358" w:rsidP="00BA1358">
      <w:pPr>
        <w:pStyle w:val="aa"/>
        <w:spacing w:after="78"/>
        <w:ind w:firstLine="482"/>
        <w:rPr>
          <w:b/>
        </w:rPr>
      </w:pPr>
      <w:r>
        <w:rPr>
          <w:rFonts w:hAnsi="宋体"/>
          <w:b/>
        </w:rPr>
        <w:t>三、基金收益分配原则、执行方式</w:t>
      </w:r>
    </w:p>
    <w:p w:rsidR="00BA1358" w:rsidRDefault="00BA1358" w:rsidP="00BA1358">
      <w:pPr>
        <w:spacing w:line="360" w:lineRule="auto"/>
        <w:ind w:firstLineChars="200" w:firstLine="480"/>
        <w:rPr>
          <w:sz w:val="24"/>
        </w:rPr>
      </w:pPr>
      <w:r>
        <w:rPr>
          <w:rFonts w:hAnsi="宋体"/>
          <w:sz w:val="24"/>
        </w:rPr>
        <w:t>（一）基金收益分配原则</w:t>
      </w:r>
    </w:p>
    <w:p w:rsidR="00BA1358" w:rsidRDefault="00BA1358" w:rsidP="00BA1358">
      <w:pPr>
        <w:spacing w:line="360" w:lineRule="auto"/>
        <w:ind w:firstLineChars="225" w:firstLine="540"/>
        <w:rPr>
          <w:bCs/>
          <w:sz w:val="24"/>
        </w:rPr>
      </w:pPr>
      <w:r>
        <w:rPr>
          <w:rFonts w:hint="eastAsia"/>
          <w:bCs/>
          <w:sz w:val="24"/>
        </w:rPr>
        <w:t>1</w:t>
      </w:r>
      <w:r>
        <w:rPr>
          <w:rFonts w:hint="eastAsia"/>
          <w:bCs/>
          <w:sz w:val="24"/>
        </w:rPr>
        <w:t>、在符合有关基金分红条件的前提下，基金每年收益分配次数最多为</w:t>
      </w:r>
      <w:r>
        <w:rPr>
          <w:rFonts w:hint="eastAsia"/>
          <w:bCs/>
          <w:sz w:val="24"/>
        </w:rPr>
        <w:t>12</w:t>
      </w:r>
      <w:r>
        <w:rPr>
          <w:rFonts w:hint="eastAsia"/>
          <w:bCs/>
          <w:sz w:val="24"/>
        </w:rPr>
        <w:lastRenderedPageBreak/>
        <w:t>次，每份基金份额每次分配比例不得低于收益分配基准日每份基金份额可供分配利润的</w:t>
      </w:r>
      <w:r>
        <w:rPr>
          <w:rFonts w:hint="eastAsia"/>
          <w:bCs/>
          <w:sz w:val="24"/>
        </w:rPr>
        <w:t>10%</w:t>
      </w:r>
      <w:r>
        <w:rPr>
          <w:rFonts w:hint="eastAsia"/>
          <w:bCs/>
          <w:sz w:val="24"/>
        </w:rPr>
        <w:t>；</w:t>
      </w:r>
    </w:p>
    <w:p w:rsidR="00BA1358" w:rsidRDefault="00BA1358" w:rsidP="00BA1358">
      <w:pPr>
        <w:spacing w:line="360" w:lineRule="auto"/>
        <w:ind w:firstLineChars="225" w:firstLine="540"/>
        <w:rPr>
          <w:bCs/>
          <w:sz w:val="24"/>
        </w:rPr>
      </w:pPr>
      <w:r>
        <w:rPr>
          <w:rFonts w:hint="eastAsia"/>
          <w:bCs/>
          <w:sz w:val="24"/>
        </w:rPr>
        <w:t>2</w:t>
      </w:r>
      <w:r>
        <w:rPr>
          <w:rFonts w:hint="eastAsia"/>
          <w:bCs/>
          <w:sz w:val="24"/>
        </w:rPr>
        <w:t>、基金收益分配方式分为现金分红与红利再投资，投资人可选择现金红利或将现金红利按除权日的单位净值自动转为基金份额进行再投资；若投资人不选择，本基金默认的收益分配方式是现金分红；</w:t>
      </w:r>
    </w:p>
    <w:p w:rsidR="00BA1358" w:rsidRDefault="00BA1358" w:rsidP="00BA1358">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rsidR="00BA1358" w:rsidRDefault="00BA1358" w:rsidP="00BA1358">
      <w:pPr>
        <w:spacing w:line="360" w:lineRule="auto"/>
        <w:ind w:firstLineChars="225" w:firstLine="540"/>
        <w:rPr>
          <w:bCs/>
          <w:sz w:val="24"/>
        </w:rPr>
      </w:pPr>
      <w:r>
        <w:rPr>
          <w:bCs/>
          <w:sz w:val="24"/>
        </w:rPr>
        <w:t>4</w:t>
      </w:r>
      <w:r>
        <w:rPr>
          <w:bCs/>
          <w:sz w:val="24"/>
        </w:rPr>
        <w:t>、每一基金份额享有同等</w:t>
      </w:r>
      <w:r>
        <w:rPr>
          <w:rFonts w:hint="eastAsia"/>
          <w:bCs/>
          <w:sz w:val="24"/>
        </w:rPr>
        <w:t>收益</w:t>
      </w:r>
      <w:r>
        <w:rPr>
          <w:bCs/>
          <w:sz w:val="24"/>
        </w:rPr>
        <w:t>分配权；</w:t>
      </w:r>
      <w:r>
        <w:rPr>
          <w:bCs/>
          <w:sz w:val="24"/>
        </w:rPr>
        <w:t xml:space="preserve"> </w:t>
      </w:r>
    </w:p>
    <w:p w:rsidR="00BA1358" w:rsidRDefault="00BA1358" w:rsidP="00BA1358">
      <w:pPr>
        <w:spacing w:line="360" w:lineRule="auto"/>
        <w:ind w:firstLineChars="225" w:firstLine="540"/>
        <w:rPr>
          <w:bCs/>
          <w:sz w:val="24"/>
        </w:rPr>
      </w:pPr>
      <w:r>
        <w:rPr>
          <w:bCs/>
          <w:sz w:val="24"/>
        </w:rPr>
        <w:t>5</w:t>
      </w:r>
      <w:r>
        <w:rPr>
          <w:bCs/>
          <w:sz w:val="24"/>
        </w:rPr>
        <w:t>、法律法规或监管机关另有规定的，从其规定。</w:t>
      </w:r>
    </w:p>
    <w:p w:rsidR="00BA1358" w:rsidRDefault="00BA1358" w:rsidP="00BA1358">
      <w:pPr>
        <w:pStyle w:val="aa"/>
        <w:spacing w:after="78"/>
        <w:ind w:firstLine="480"/>
      </w:pPr>
      <w:r>
        <w:rPr>
          <w:rFonts w:hAnsi="宋体"/>
        </w:rPr>
        <w:t>（二）收益分配方案</w:t>
      </w:r>
    </w:p>
    <w:p w:rsidR="00BA1358" w:rsidRDefault="00BA1358" w:rsidP="00BA1358">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BA1358" w:rsidRDefault="00BA1358" w:rsidP="00BA1358">
      <w:pPr>
        <w:pStyle w:val="aa"/>
        <w:spacing w:after="78"/>
        <w:ind w:firstLine="480"/>
      </w:pPr>
      <w:r>
        <w:rPr>
          <w:rFonts w:hAnsi="宋体"/>
        </w:rPr>
        <w:t>（三）收益分配方案的确定、公告与实施</w:t>
      </w:r>
    </w:p>
    <w:p w:rsidR="00BA1358" w:rsidRDefault="00BA1358" w:rsidP="00BA1358">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日内在指定媒介公告并报中国证监会备案。</w:t>
      </w:r>
    </w:p>
    <w:p w:rsidR="00BA1358" w:rsidRDefault="00BA1358" w:rsidP="00BA1358">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BA1358" w:rsidRDefault="00BA1358" w:rsidP="00BA1358">
      <w:pPr>
        <w:pStyle w:val="aa"/>
        <w:spacing w:after="78"/>
        <w:ind w:firstLine="480"/>
        <w:rPr>
          <w:rFonts w:ascii="宋体" w:hAnsi="宋体"/>
        </w:rPr>
      </w:pPr>
      <w:r>
        <w:rPr>
          <w:rFonts w:ascii="宋体" w:hAnsi="宋体" w:hint="eastAsia"/>
        </w:rPr>
        <w:t>法律法规或监管机关另有规定的，从其规定。</w:t>
      </w:r>
    </w:p>
    <w:p w:rsidR="00BA1358" w:rsidRDefault="00BA1358" w:rsidP="00BA1358">
      <w:pPr>
        <w:pStyle w:val="aa"/>
        <w:spacing w:after="78"/>
        <w:ind w:firstLine="482"/>
        <w:rPr>
          <w:rFonts w:hAnsi="宋体"/>
          <w:b/>
        </w:rPr>
      </w:pPr>
    </w:p>
    <w:p w:rsidR="00BA1358" w:rsidRDefault="00BA1358" w:rsidP="00BA1358">
      <w:pPr>
        <w:pStyle w:val="aa"/>
        <w:spacing w:after="78"/>
        <w:ind w:firstLine="482"/>
        <w:rPr>
          <w:b/>
        </w:rPr>
      </w:pPr>
      <w:r>
        <w:rPr>
          <w:rFonts w:hAnsi="宋体"/>
          <w:b/>
        </w:rPr>
        <w:t>四、与基金财产管理、运用有关费用的提取、支付方式与比例</w:t>
      </w:r>
    </w:p>
    <w:p w:rsidR="00BA1358" w:rsidRDefault="00BA1358" w:rsidP="00BA1358">
      <w:pPr>
        <w:pStyle w:val="aa"/>
        <w:spacing w:after="78"/>
        <w:ind w:firstLine="480"/>
        <w:rPr>
          <w:rFonts w:hAnsi="宋体"/>
          <w:bCs/>
        </w:rPr>
      </w:pPr>
      <w:r>
        <w:rPr>
          <w:rFonts w:hAnsi="宋体" w:hint="eastAsia"/>
          <w:bCs/>
        </w:rPr>
        <w:t>（一）基金费用的种类</w:t>
      </w:r>
    </w:p>
    <w:p w:rsidR="00BA1358" w:rsidRDefault="00BA1358" w:rsidP="00BA1358">
      <w:pPr>
        <w:spacing w:line="360" w:lineRule="auto"/>
        <w:ind w:firstLineChars="200" w:firstLine="480"/>
        <w:rPr>
          <w:bCs/>
          <w:sz w:val="24"/>
        </w:rPr>
      </w:pPr>
      <w:r>
        <w:rPr>
          <w:bCs/>
          <w:sz w:val="24"/>
        </w:rPr>
        <w:t>1</w:t>
      </w:r>
      <w:r>
        <w:rPr>
          <w:bCs/>
          <w:sz w:val="24"/>
        </w:rPr>
        <w:t>、基金管理人的管理费；</w:t>
      </w:r>
    </w:p>
    <w:p w:rsidR="00BA1358" w:rsidRDefault="00BA1358" w:rsidP="00BA1358">
      <w:pPr>
        <w:spacing w:line="360" w:lineRule="auto"/>
        <w:ind w:firstLineChars="200" w:firstLine="480"/>
        <w:rPr>
          <w:bCs/>
          <w:sz w:val="24"/>
        </w:rPr>
      </w:pPr>
      <w:r>
        <w:rPr>
          <w:bCs/>
          <w:sz w:val="24"/>
        </w:rPr>
        <w:t>2</w:t>
      </w:r>
      <w:r>
        <w:rPr>
          <w:bCs/>
          <w:sz w:val="24"/>
        </w:rPr>
        <w:t>、基金托管人的托管费；</w:t>
      </w:r>
    </w:p>
    <w:p w:rsidR="00BA1358" w:rsidRDefault="00BA1358" w:rsidP="00BA1358">
      <w:pPr>
        <w:spacing w:line="360" w:lineRule="auto"/>
        <w:ind w:firstLineChars="200" w:firstLine="480"/>
        <w:rPr>
          <w:bCs/>
          <w:sz w:val="24"/>
        </w:rPr>
      </w:pPr>
      <w:r>
        <w:rPr>
          <w:bCs/>
          <w:sz w:val="24"/>
        </w:rPr>
        <w:t>3</w:t>
      </w:r>
      <w:r>
        <w:rPr>
          <w:bCs/>
          <w:sz w:val="24"/>
        </w:rPr>
        <w:t>、《基金合同》生效后与基金相关的信息披露费用；</w:t>
      </w:r>
    </w:p>
    <w:p w:rsidR="00BA1358" w:rsidRDefault="00BA1358" w:rsidP="00BA1358">
      <w:pPr>
        <w:spacing w:line="360" w:lineRule="auto"/>
        <w:ind w:firstLineChars="200" w:firstLine="480"/>
        <w:rPr>
          <w:bCs/>
          <w:sz w:val="24"/>
        </w:rPr>
      </w:pPr>
      <w:r>
        <w:rPr>
          <w:bCs/>
          <w:sz w:val="24"/>
        </w:rPr>
        <w:t>4</w:t>
      </w:r>
      <w:r>
        <w:rPr>
          <w:bCs/>
          <w:sz w:val="24"/>
        </w:rPr>
        <w:t>、《基金合同》生效后与基金相关的会计师费、律师费和诉讼费；</w:t>
      </w:r>
    </w:p>
    <w:p w:rsidR="00BA1358" w:rsidRDefault="00BA1358" w:rsidP="00BA1358">
      <w:pPr>
        <w:spacing w:line="360" w:lineRule="auto"/>
        <w:ind w:firstLineChars="200" w:firstLine="480"/>
        <w:rPr>
          <w:bCs/>
          <w:sz w:val="24"/>
        </w:rPr>
      </w:pPr>
      <w:r>
        <w:rPr>
          <w:bCs/>
          <w:sz w:val="24"/>
        </w:rPr>
        <w:t>5</w:t>
      </w:r>
      <w:r>
        <w:rPr>
          <w:bCs/>
          <w:sz w:val="24"/>
        </w:rPr>
        <w:t>、基金份额持有人大会费用；</w:t>
      </w:r>
    </w:p>
    <w:p w:rsidR="00BA1358" w:rsidRDefault="00BA1358" w:rsidP="00BA1358">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BA1358" w:rsidRDefault="00BA1358" w:rsidP="00BA1358">
      <w:pPr>
        <w:spacing w:line="360" w:lineRule="auto"/>
        <w:ind w:firstLineChars="200" w:firstLine="480"/>
        <w:rPr>
          <w:bCs/>
          <w:sz w:val="24"/>
        </w:rPr>
      </w:pPr>
      <w:r>
        <w:rPr>
          <w:bCs/>
          <w:sz w:val="24"/>
        </w:rPr>
        <w:t>7</w:t>
      </w:r>
      <w:r>
        <w:rPr>
          <w:bCs/>
          <w:sz w:val="24"/>
        </w:rPr>
        <w:t>、基金的银行汇划费用；</w:t>
      </w:r>
    </w:p>
    <w:p w:rsidR="00BA1358" w:rsidRDefault="00BA1358" w:rsidP="00BA1358">
      <w:pPr>
        <w:spacing w:line="360" w:lineRule="auto"/>
        <w:ind w:firstLineChars="200" w:firstLine="480"/>
        <w:rPr>
          <w:rFonts w:ascii="宋体" w:hAnsi="宋体"/>
          <w:sz w:val="24"/>
        </w:rPr>
      </w:pPr>
      <w:r>
        <w:rPr>
          <w:bCs/>
          <w:sz w:val="24"/>
        </w:rPr>
        <w:lastRenderedPageBreak/>
        <w:t>8</w:t>
      </w:r>
      <w:r>
        <w:rPr>
          <w:bCs/>
          <w:sz w:val="24"/>
        </w:rPr>
        <w:t>、</w:t>
      </w:r>
      <w:r>
        <w:rPr>
          <w:rFonts w:ascii="宋体" w:hAnsi="宋体" w:hint="eastAsia"/>
          <w:sz w:val="24"/>
        </w:rPr>
        <w:t>基金的开户费用、账户维护费用；</w:t>
      </w:r>
    </w:p>
    <w:p w:rsidR="00BA1358" w:rsidRDefault="00BA1358" w:rsidP="00BA1358">
      <w:pPr>
        <w:pStyle w:val="aa"/>
        <w:spacing w:after="78"/>
        <w:ind w:firstLine="480"/>
        <w:rPr>
          <w:rFonts w:hAnsi="宋体"/>
          <w:bCs/>
        </w:rPr>
      </w:pPr>
      <w:r>
        <w:rPr>
          <w:bCs/>
        </w:rPr>
        <w:t>9</w:t>
      </w:r>
      <w:r>
        <w:rPr>
          <w:bCs/>
        </w:rPr>
        <w:t>、按照国家有关规定和《基金合同》约定，可以在基金财产中列支的其他费用。</w:t>
      </w:r>
    </w:p>
    <w:p w:rsidR="00BA1358" w:rsidRDefault="00BA1358" w:rsidP="00BA1358">
      <w:pPr>
        <w:pStyle w:val="aa"/>
        <w:spacing w:after="78"/>
        <w:ind w:firstLine="480"/>
        <w:rPr>
          <w:rFonts w:hAnsi="宋体"/>
          <w:bCs/>
        </w:rPr>
      </w:pPr>
      <w:r>
        <w:rPr>
          <w:rFonts w:hAnsi="宋体" w:hint="eastAsia"/>
          <w:bCs/>
        </w:rPr>
        <w:t>（二）基金费用计提方法、计提标准和支付方式</w:t>
      </w:r>
    </w:p>
    <w:p w:rsidR="00BA1358" w:rsidRDefault="00BA1358" w:rsidP="00BA1358">
      <w:pPr>
        <w:spacing w:line="360" w:lineRule="auto"/>
        <w:ind w:firstLineChars="200" w:firstLine="480"/>
        <w:rPr>
          <w:bCs/>
          <w:sz w:val="24"/>
        </w:rPr>
      </w:pPr>
      <w:r>
        <w:rPr>
          <w:bCs/>
          <w:sz w:val="24"/>
        </w:rPr>
        <w:t>1</w:t>
      </w:r>
      <w:r>
        <w:rPr>
          <w:bCs/>
          <w:sz w:val="24"/>
        </w:rPr>
        <w:t>、基金管理人的管理费</w:t>
      </w:r>
      <w:r>
        <w:rPr>
          <w:bCs/>
          <w:sz w:val="24"/>
        </w:rPr>
        <w:t xml:space="preserve"> </w:t>
      </w:r>
    </w:p>
    <w:p w:rsidR="00BA1358" w:rsidRDefault="00BA1358" w:rsidP="00BA1358">
      <w:pPr>
        <w:spacing w:line="360" w:lineRule="auto"/>
        <w:ind w:firstLineChars="200" w:firstLine="480"/>
        <w:rPr>
          <w:bCs/>
          <w:sz w:val="24"/>
        </w:rPr>
      </w:pPr>
      <w:r>
        <w:rPr>
          <w:bCs/>
          <w:sz w:val="24"/>
        </w:rPr>
        <w:t>本基金的管理费按前一日基金资产净值的</w:t>
      </w:r>
      <w:r>
        <w:rPr>
          <w:bCs/>
          <w:sz w:val="24"/>
        </w:rPr>
        <w:t>1.0%</w:t>
      </w:r>
      <w:r>
        <w:rPr>
          <w:bCs/>
          <w:sz w:val="24"/>
        </w:rPr>
        <w:t>年费率计提。管理费的计算方法如下：</w:t>
      </w:r>
    </w:p>
    <w:p w:rsidR="00BA1358" w:rsidRDefault="00BA1358" w:rsidP="00BA1358">
      <w:pPr>
        <w:spacing w:line="360" w:lineRule="auto"/>
        <w:ind w:firstLineChars="200" w:firstLine="480"/>
        <w:rPr>
          <w:bCs/>
          <w:sz w:val="24"/>
        </w:rPr>
      </w:pPr>
      <w:r>
        <w:rPr>
          <w:bCs/>
          <w:sz w:val="24"/>
        </w:rPr>
        <w:t>H</w:t>
      </w:r>
      <w:r>
        <w:rPr>
          <w:bCs/>
          <w:sz w:val="24"/>
        </w:rPr>
        <w:t>＝</w:t>
      </w:r>
      <w:r>
        <w:rPr>
          <w:bCs/>
          <w:sz w:val="24"/>
        </w:rPr>
        <w:t>E×1.0%÷</w:t>
      </w:r>
      <w:r>
        <w:rPr>
          <w:bCs/>
          <w:sz w:val="24"/>
        </w:rPr>
        <w:t>当年天数</w:t>
      </w:r>
    </w:p>
    <w:p w:rsidR="00BA1358" w:rsidRDefault="00BA1358" w:rsidP="00BA1358">
      <w:pPr>
        <w:spacing w:line="360" w:lineRule="auto"/>
        <w:ind w:firstLineChars="200" w:firstLine="480"/>
        <w:rPr>
          <w:bCs/>
          <w:sz w:val="24"/>
        </w:rPr>
      </w:pPr>
      <w:r>
        <w:rPr>
          <w:bCs/>
          <w:sz w:val="24"/>
        </w:rPr>
        <w:t>H</w:t>
      </w:r>
      <w:r>
        <w:rPr>
          <w:bCs/>
          <w:sz w:val="24"/>
        </w:rPr>
        <w:t>为每日应计提的基金管理费</w:t>
      </w:r>
    </w:p>
    <w:p w:rsidR="00BA1358" w:rsidRDefault="00BA1358" w:rsidP="00BA1358">
      <w:pPr>
        <w:spacing w:line="360" w:lineRule="auto"/>
        <w:ind w:firstLineChars="200" w:firstLine="480"/>
        <w:rPr>
          <w:bCs/>
          <w:sz w:val="24"/>
        </w:rPr>
      </w:pPr>
      <w:r>
        <w:rPr>
          <w:bCs/>
          <w:sz w:val="24"/>
        </w:rPr>
        <w:t>E</w:t>
      </w:r>
      <w:r>
        <w:rPr>
          <w:bCs/>
          <w:sz w:val="24"/>
        </w:rPr>
        <w:t>为前一日的基金资产净值</w:t>
      </w:r>
    </w:p>
    <w:p w:rsidR="00BA1358" w:rsidRDefault="00BA1358" w:rsidP="00BA1358">
      <w:pPr>
        <w:spacing w:line="360" w:lineRule="auto"/>
        <w:ind w:firstLineChars="200" w:firstLine="480"/>
        <w:rPr>
          <w:bCs/>
          <w:sz w:val="24"/>
        </w:rPr>
      </w:pPr>
      <w:r>
        <w:rPr>
          <w:rFonts w:hint="eastAsia"/>
          <w:bCs/>
          <w:sz w:val="24"/>
        </w:rPr>
        <w:t>基金管理费每日计提，按月支付。由基金管理人于次月首日起</w:t>
      </w:r>
      <w:r>
        <w:rPr>
          <w:rFonts w:hint="eastAsia"/>
          <w:bCs/>
          <w:sz w:val="24"/>
        </w:rPr>
        <w:t>3</w:t>
      </w:r>
      <w:r>
        <w:rPr>
          <w:rFonts w:hint="eastAsia"/>
          <w:bCs/>
          <w:sz w:val="24"/>
        </w:rPr>
        <w:t>个工作日内向基金托管人发送基金管理费划付指令，经基金托管人复核后于</w:t>
      </w:r>
      <w:r>
        <w:rPr>
          <w:rFonts w:hint="eastAsia"/>
          <w:bCs/>
          <w:sz w:val="24"/>
        </w:rPr>
        <w:t>3</w:t>
      </w:r>
      <w:r>
        <w:rPr>
          <w:rFonts w:hint="eastAsia"/>
          <w:bCs/>
          <w:sz w:val="24"/>
        </w:rPr>
        <w:t>个工作日内从基金财产中一次性支付给基金管理人。若遇法定节假日、休息日或不可抗力致使无法按时支付的，顺延至最近可支付日支付。</w:t>
      </w:r>
    </w:p>
    <w:p w:rsidR="00BA1358" w:rsidRDefault="00BA1358" w:rsidP="00BA1358">
      <w:pPr>
        <w:spacing w:line="360" w:lineRule="auto"/>
        <w:ind w:firstLineChars="200" w:firstLine="480"/>
        <w:rPr>
          <w:bCs/>
          <w:sz w:val="24"/>
        </w:rPr>
      </w:pPr>
      <w:r>
        <w:rPr>
          <w:bCs/>
          <w:sz w:val="24"/>
        </w:rPr>
        <w:t>2</w:t>
      </w:r>
      <w:r>
        <w:rPr>
          <w:bCs/>
          <w:sz w:val="24"/>
        </w:rPr>
        <w:t>、基金托管人的托管费</w:t>
      </w:r>
    </w:p>
    <w:p w:rsidR="00BA1358" w:rsidRDefault="00BA1358" w:rsidP="00BA1358">
      <w:pPr>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w:t>
      </w:r>
      <w:r>
        <w:rPr>
          <w:bCs/>
          <w:sz w:val="24"/>
        </w:rPr>
        <w:t>的年费率计提。托管费的计算方法如下：</w:t>
      </w:r>
    </w:p>
    <w:p w:rsidR="00BA1358" w:rsidRDefault="00BA1358" w:rsidP="00BA1358">
      <w:pPr>
        <w:spacing w:line="360" w:lineRule="auto"/>
        <w:ind w:firstLineChars="200" w:firstLine="480"/>
        <w:rPr>
          <w:bCs/>
          <w:sz w:val="24"/>
        </w:rPr>
      </w:pPr>
      <w:r>
        <w:rPr>
          <w:bCs/>
          <w:sz w:val="24"/>
        </w:rPr>
        <w:t>H</w:t>
      </w:r>
      <w:r>
        <w:rPr>
          <w:bCs/>
          <w:sz w:val="24"/>
        </w:rPr>
        <w:t>＝</w:t>
      </w:r>
      <w:r>
        <w:rPr>
          <w:bCs/>
          <w:sz w:val="24"/>
        </w:rPr>
        <w:t>E×</w:t>
      </w:r>
      <w:r>
        <w:rPr>
          <w:rFonts w:hint="eastAsia"/>
          <w:bCs/>
          <w:sz w:val="24"/>
        </w:rPr>
        <w:t>0.2</w:t>
      </w:r>
      <w:r>
        <w:rPr>
          <w:bCs/>
          <w:sz w:val="24"/>
        </w:rPr>
        <w:t>%÷</w:t>
      </w:r>
      <w:r>
        <w:rPr>
          <w:bCs/>
          <w:sz w:val="24"/>
        </w:rPr>
        <w:t>当年天数</w:t>
      </w:r>
    </w:p>
    <w:p w:rsidR="00BA1358" w:rsidRDefault="00BA1358" w:rsidP="00BA1358">
      <w:pPr>
        <w:spacing w:line="360" w:lineRule="auto"/>
        <w:ind w:firstLineChars="200" w:firstLine="480"/>
        <w:rPr>
          <w:bCs/>
          <w:sz w:val="24"/>
        </w:rPr>
      </w:pPr>
      <w:r>
        <w:rPr>
          <w:bCs/>
          <w:sz w:val="24"/>
        </w:rPr>
        <w:t>H</w:t>
      </w:r>
      <w:r>
        <w:rPr>
          <w:bCs/>
          <w:sz w:val="24"/>
        </w:rPr>
        <w:t>为每日应计提的基金托管费</w:t>
      </w:r>
    </w:p>
    <w:p w:rsidR="00BA1358" w:rsidRDefault="00BA1358" w:rsidP="00BA1358">
      <w:pPr>
        <w:spacing w:line="360" w:lineRule="auto"/>
        <w:ind w:firstLineChars="200" w:firstLine="480"/>
        <w:rPr>
          <w:bCs/>
          <w:sz w:val="24"/>
        </w:rPr>
      </w:pPr>
      <w:r>
        <w:rPr>
          <w:bCs/>
          <w:sz w:val="24"/>
        </w:rPr>
        <w:t>E</w:t>
      </w:r>
      <w:r>
        <w:rPr>
          <w:bCs/>
          <w:sz w:val="24"/>
        </w:rPr>
        <w:t>为前一日的基金资产净值</w:t>
      </w:r>
    </w:p>
    <w:p w:rsidR="00BA1358" w:rsidRDefault="00BA1358" w:rsidP="00BA1358">
      <w:pPr>
        <w:spacing w:line="360" w:lineRule="auto"/>
        <w:ind w:firstLineChars="200" w:firstLine="480"/>
        <w:rPr>
          <w:bCs/>
          <w:sz w:val="24"/>
        </w:rPr>
      </w:pPr>
      <w:r>
        <w:rPr>
          <w:rFonts w:ascii="宋体" w:hAnsi="宋体" w:cs="Arial" w:hint="eastAsia"/>
          <w:sz w:val="24"/>
        </w:rPr>
        <w:t>基金托管费每日计提，按月支付。由基金管理人</w:t>
      </w:r>
      <w:r>
        <w:rPr>
          <w:rFonts w:ascii="宋体" w:hAnsi="宋体" w:hint="eastAsia"/>
          <w:sz w:val="24"/>
        </w:rPr>
        <w:t>于次月首日起3个工作日内</w:t>
      </w:r>
      <w:r>
        <w:rPr>
          <w:rFonts w:hint="eastAsia"/>
          <w:bCs/>
          <w:sz w:val="24"/>
        </w:rPr>
        <w:t>向基金托管人发送基金托管费划付指令，经基金托管人复核后于</w:t>
      </w:r>
      <w:r>
        <w:rPr>
          <w:rFonts w:hint="eastAsia"/>
          <w:bCs/>
          <w:sz w:val="24"/>
        </w:rPr>
        <w:t>3</w:t>
      </w:r>
      <w:r>
        <w:rPr>
          <w:rFonts w:hint="eastAsia"/>
          <w:bCs/>
          <w:sz w:val="24"/>
        </w:rPr>
        <w:t>个工作日内从基金财产中一次性支付给基金托管人。若遇法定节假日、休息日或不可抗力致使无法按时支付的，顺延至最近可支付日支付。</w:t>
      </w:r>
    </w:p>
    <w:p w:rsidR="00BA1358" w:rsidRDefault="00BA1358" w:rsidP="00BA1358">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bCs/>
          <w:sz w:val="24"/>
        </w:rPr>
        <w:t>－</w:t>
      </w:r>
      <w:r>
        <w:rPr>
          <w:rFonts w:hint="eastAsia"/>
          <w:bCs/>
          <w:sz w:val="24"/>
        </w:rPr>
        <w:t>9</w:t>
      </w:r>
      <w:r>
        <w:rPr>
          <w:bCs/>
          <w:sz w:val="24"/>
        </w:rPr>
        <w:t>项费用，根据有关</w:t>
      </w:r>
      <w:r>
        <w:rPr>
          <w:rFonts w:hint="eastAsia"/>
          <w:bCs/>
          <w:sz w:val="24"/>
        </w:rPr>
        <w:t>法律</w:t>
      </w:r>
      <w:r>
        <w:rPr>
          <w:bCs/>
          <w:sz w:val="24"/>
        </w:rPr>
        <w:t>法规及相应协议规定，按费用实际支出金额列入当期费用，由基金托管人从基金财产中支付。</w:t>
      </w:r>
    </w:p>
    <w:p w:rsidR="00BA1358" w:rsidRDefault="00BA1358" w:rsidP="00BA1358">
      <w:pPr>
        <w:pStyle w:val="aa"/>
        <w:spacing w:after="78"/>
        <w:ind w:firstLine="480"/>
        <w:rPr>
          <w:rFonts w:hAnsi="宋体"/>
          <w:bCs/>
        </w:rPr>
      </w:pPr>
      <w:r>
        <w:rPr>
          <w:rFonts w:hAnsi="宋体" w:hint="eastAsia"/>
          <w:bCs/>
        </w:rPr>
        <w:t>（三）不列入基金费用的项目</w:t>
      </w:r>
    </w:p>
    <w:p w:rsidR="00BA1358" w:rsidRDefault="00BA1358" w:rsidP="00BA1358">
      <w:pPr>
        <w:spacing w:line="360" w:lineRule="auto"/>
        <w:ind w:firstLineChars="200" w:firstLine="480"/>
        <w:rPr>
          <w:bCs/>
          <w:sz w:val="24"/>
        </w:rPr>
      </w:pPr>
      <w:r>
        <w:rPr>
          <w:bCs/>
          <w:sz w:val="24"/>
        </w:rPr>
        <w:t>下列费用不列入基金费用：</w:t>
      </w:r>
    </w:p>
    <w:p w:rsidR="00BA1358" w:rsidRDefault="00BA1358" w:rsidP="00BA1358">
      <w:pPr>
        <w:spacing w:line="360" w:lineRule="auto"/>
        <w:ind w:firstLineChars="200" w:firstLine="480"/>
        <w:rPr>
          <w:bCs/>
          <w:sz w:val="24"/>
        </w:rPr>
      </w:pPr>
      <w:r>
        <w:rPr>
          <w:bCs/>
          <w:sz w:val="24"/>
        </w:rPr>
        <w:lastRenderedPageBreak/>
        <w:t>1</w:t>
      </w:r>
      <w:r>
        <w:rPr>
          <w:bCs/>
          <w:sz w:val="24"/>
        </w:rPr>
        <w:t>、基金管理人和基金托管人因未履行或未完全履行义务导致的费用支出或基金财产的损失；</w:t>
      </w:r>
    </w:p>
    <w:p w:rsidR="00BA1358" w:rsidRDefault="00BA1358" w:rsidP="00BA1358">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BA1358" w:rsidRDefault="00BA1358" w:rsidP="00BA1358">
      <w:pPr>
        <w:spacing w:line="360" w:lineRule="auto"/>
        <w:ind w:firstLineChars="200" w:firstLine="480"/>
        <w:rPr>
          <w:bCs/>
          <w:sz w:val="24"/>
        </w:rPr>
      </w:pPr>
      <w:r>
        <w:rPr>
          <w:bCs/>
          <w:sz w:val="24"/>
        </w:rPr>
        <w:t>3</w:t>
      </w:r>
      <w:r>
        <w:rPr>
          <w:bCs/>
          <w:sz w:val="24"/>
        </w:rPr>
        <w:t>、</w:t>
      </w:r>
      <w:r>
        <w:rPr>
          <w:rFonts w:hint="eastAsia"/>
          <w:bCs/>
          <w:sz w:val="24"/>
        </w:rPr>
        <w:t>《交银施罗德荣鑫保本混合型证券投资基金基金合同》生效前的相关费用</w:t>
      </w:r>
      <w:r>
        <w:rPr>
          <w:bCs/>
          <w:sz w:val="24"/>
        </w:rPr>
        <w:t>；</w:t>
      </w:r>
    </w:p>
    <w:p w:rsidR="00BA1358" w:rsidRDefault="00BA1358" w:rsidP="00BA1358">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BA1358" w:rsidRDefault="00BA1358" w:rsidP="00BA1358">
      <w:pPr>
        <w:spacing w:line="360" w:lineRule="auto"/>
        <w:ind w:firstLineChars="200" w:firstLine="480"/>
        <w:rPr>
          <w:bCs/>
          <w:sz w:val="24"/>
        </w:rPr>
      </w:pPr>
      <w:r>
        <w:rPr>
          <w:rFonts w:hint="eastAsia"/>
          <w:bCs/>
          <w:sz w:val="24"/>
        </w:rPr>
        <w:t>（四）《交银施罗德荣鑫灵活配置混合型证券投资基金基金合同》生效前的相关费用按当时有效的《交银施罗德荣鑫保本混合型</w:t>
      </w:r>
      <w:r>
        <w:rPr>
          <w:bCs/>
          <w:sz w:val="24"/>
        </w:rPr>
        <w:t>证券投资基金</w:t>
      </w:r>
      <w:r>
        <w:rPr>
          <w:rFonts w:hint="eastAsia"/>
          <w:bCs/>
          <w:sz w:val="24"/>
        </w:rPr>
        <w:t>基金合同》的约定支付。</w:t>
      </w:r>
    </w:p>
    <w:p w:rsidR="00BA1358" w:rsidRDefault="00BA1358" w:rsidP="00BA1358">
      <w:pPr>
        <w:pStyle w:val="aa"/>
        <w:spacing w:after="78"/>
        <w:ind w:firstLine="480"/>
        <w:rPr>
          <w:rFonts w:hAnsi="宋体"/>
          <w:bCs/>
        </w:rPr>
      </w:pPr>
      <w:r>
        <w:rPr>
          <w:rFonts w:hAnsi="宋体" w:hint="eastAsia"/>
          <w:bCs/>
        </w:rPr>
        <w:t>（五）</w:t>
      </w:r>
      <w:r>
        <w:rPr>
          <w:rFonts w:ascii="宋体" w:hAnsi="宋体" w:hint="eastAsia"/>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BA1358" w:rsidRDefault="00BA1358" w:rsidP="00BA1358">
      <w:pPr>
        <w:pStyle w:val="aa"/>
        <w:spacing w:after="78"/>
        <w:ind w:firstLine="480"/>
        <w:rPr>
          <w:rFonts w:hAnsi="宋体"/>
          <w:bCs/>
        </w:rPr>
      </w:pPr>
      <w:r>
        <w:rPr>
          <w:rFonts w:hAnsi="宋体" w:hint="eastAsia"/>
          <w:bCs/>
        </w:rPr>
        <w:t>（六）基金税收</w:t>
      </w:r>
    </w:p>
    <w:p w:rsidR="00BA1358" w:rsidRDefault="00BA1358" w:rsidP="00BA1358">
      <w:pPr>
        <w:pStyle w:val="aa"/>
        <w:spacing w:after="78"/>
        <w:ind w:firstLine="480"/>
        <w:rPr>
          <w:bCs/>
        </w:rPr>
      </w:pPr>
      <w:r>
        <w:rPr>
          <w:bCs/>
        </w:rPr>
        <w:t>本基金运作过程中涉及的各纳税主体，其纳税义务按国家税收法律、法规执行</w:t>
      </w:r>
      <w:r>
        <w:rPr>
          <w:rFonts w:hint="eastAsia"/>
          <w:bCs/>
        </w:rPr>
        <w:t>。</w:t>
      </w:r>
    </w:p>
    <w:p w:rsidR="00BA1358" w:rsidRDefault="00BA1358" w:rsidP="00BA1358">
      <w:pPr>
        <w:pStyle w:val="aa"/>
        <w:spacing w:after="78"/>
        <w:ind w:firstLine="482"/>
        <w:rPr>
          <w:rFonts w:hAnsi="宋体"/>
          <w:b/>
        </w:rPr>
      </w:pPr>
    </w:p>
    <w:p w:rsidR="00BA1358" w:rsidRDefault="00BA1358" w:rsidP="00BA1358">
      <w:pPr>
        <w:pStyle w:val="aa"/>
        <w:spacing w:after="78"/>
        <w:ind w:firstLine="482"/>
        <w:rPr>
          <w:rFonts w:hAnsi="宋体" w:hint="eastAsia"/>
          <w:b/>
        </w:rPr>
      </w:pPr>
      <w:r>
        <w:rPr>
          <w:rFonts w:hAnsi="宋体"/>
          <w:b/>
        </w:rPr>
        <w:t>五、基金财产的投资方向和投资限制</w:t>
      </w:r>
    </w:p>
    <w:p w:rsidR="00BA1358" w:rsidRDefault="00BA1358" w:rsidP="00BA1358">
      <w:pPr>
        <w:spacing w:line="360" w:lineRule="auto"/>
        <w:ind w:firstLineChars="200" w:firstLine="480"/>
        <w:rPr>
          <w:rFonts w:hAnsi="宋体" w:hint="eastAsia"/>
          <w:sz w:val="24"/>
          <w:szCs w:val="24"/>
        </w:rPr>
      </w:pPr>
      <w:r>
        <w:rPr>
          <w:rFonts w:hAnsi="宋体" w:hint="eastAsia"/>
          <w:sz w:val="24"/>
          <w:szCs w:val="24"/>
        </w:rPr>
        <w:t>（一）投资目标</w:t>
      </w:r>
    </w:p>
    <w:p w:rsidR="00BA1358" w:rsidRDefault="00BA1358" w:rsidP="00BA1358">
      <w:pPr>
        <w:spacing w:line="360" w:lineRule="auto"/>
        <w:ind w:firstLineChars="200" w:firstLine="480"/>
        <w:rPr>
          <w:rFonts w:hAnsi="宋体" w:hint="eastAsia"/>
          <w:sz w:val="24"/>
          <w:szCs w:val="24"/>
        </w:rPr>
      </w:pPr>
      <w:r>
        <w:rPr>
          <w:rFonts w:hAnsi="宋体" w:hint="eastAsia"/>
          <w:sz w:val="24"/>
          <w:szCs w:val="24"/>
        </w:rPr>
        <w:t>在严格控制投资风险和保持资产流动性的基础上，力争实现基金资产的长期稳定增值。</w:t>
      </w:r>
    </w:p>
    <w:p w:rsidR="00BA1358" w:rsidRDefault="00BA1358" w:rsidP="00BA1358">
      <w:pPr>
        <w:spacing w:line="360" w:lineRule="auto"/>
        <w:ind w:firstLineChars="200" w:firstLine="480"/>
        <w:rPr>
          <w:rFonts w:hAnsi="宋体" w:hint="eastAsia"/>
          <w:sz w:val="24"/>
          <w:szCs w:val="24"/>
        </w:rPr>
      </w:pPr>
      <w:r>
        <w:rPr>
          <w:rFonts w:hAnsi="宋体" w:hint="eastAsia"/>
          <w:sz w:val="24"/>
          <w:szCs w:val="24"/>
        </w:rPr>
        <w:t>（二）投资范围</w:t>
      </w:r>
    </w:p>
    <w:p w:rsidR="00BA1358" w:rsidRDefault="00BA1358" w:rsidP="00BA1358">
      <w:pPr>
        <w:spacing w:line="360" w:lineRule="auto"/>
        <w:ind w:firstLineChars="200" w:firstLine="480"/>
        <w:rPr>
          <w:rFonts w:hAnsi="宋体" w:hint="eastAsia"/>
          <w:sz w:val="24"/>
          <w:szCs w:val="24"/>
        </w:rPr>
      </w:pPr>
      <w:r w:rsidRPr="00A82533">
        <w:rPr>
          <w:rFonts w:hint="eastAsia"/>
          <w:bCs/>
          <w:sz w:val="24"/>
          <w:szCs w:val="24"/>
        </w:rPr>
        <w:t>本</w:t>
      </w:r>
      <w:r>
        <w:rPr>
          <w:rFonts w:hAnsi="宋体" w:hint="eastAsia"/>
          <w:sz w:val="24"/>
          <w:szCs w:val="24"/>
        </w:rPr>
        <w:t>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rsidR="00BA1358" w:rsidRDefault="00BA1358" w:rsidP="00BA1358">
      <w:pPr>
        <w:spacing w:line="360" w:lineRule="auto"/>
        <w:ind w:firstLineChars="200" w:firstLine="480"/>
        <w:rPr>
          <w:rFonts w:hAnsi="宋体" w:hint="eastAsia"/>
          <w:sz w:val="24"/>
          <w:szCs w:val="24"/>
        </w:rPr>
      </w:pPr>
      <w:r>
        <w:rPr>
          <w:rFonts w:hAnsi="宋体" w:hint="eastAsia"/>
          <w:sz w:val="24"/>
          <w:szCs w:val="24"/>
        </w:rPr>
        <w:t>如法律法规或监管机构以后允许基金投资其他品种，基金管理人在履行适当程序后，可以将其纳入投资范围。</w:t>
      </w:r>
    </w:p>
    <w:p w:rsidR="00BA1358" w:rsidRDefault="00BA1358" w:rsidP="00BA1358">
      <w:pPr>
        <w:spacing w:line="360" w:lineRule="auto"/>
        <w:ind w:firstLineChars="200" w:firstLine="480"/>
        <w:rPr>
          <w:rFonts w:hAnsi="宋体" w:hint="eastAsia"/>
          <w:sz w:val="24"/>
          <w:szCs w:val="24"/>
        </w:rPr>
      </w:pPr>
      <w:r>
        <w:rPr>
          <w:rFonts w:hAnsi="宋体" w:hint="eastAsia"/>
          <w:sz w:val="24"/>
          <w:szCs w:val="24"/>
        </w:rPr>
        <w:t>基金的投资组合比例为：</w:t>
      </w:r>
      <w:r>
        <w:rPr>
          <w:rFonts w:hAnsi="宋体"/>
          <w:sz w:val="24"/>
          <w:szCs w:val="24"/>
        </w:rPr>
        <w:t>股票资产占基金资产的</w:t>
      </w:r>
      <w:r>
        <w:rPr>
          <w:rFonts w:hAnsi="宋体"/>
          <w:sz w:val="24"/>
          <w:szCs w:val="24"/>
        </w:rPr>
        <w:t>0%-95%</w:t>
      </w:r>
      <w:r>
        <w:rPr>
          <w:rFonts w:hAnsi="宋体"/>
          <w:sz w:val="24"/>
          <w:szCs w:val="24"/>
        </w:rPr>
        <w:t>，股票资产按照基</w:t>
      </w:r>
      <w:r>
        <w:rPr>
          <w:rFonts w:hAnsi="宋体"/>
          <w:sz w:val="24"/>
          <w:szCs w:val="24"/>
        </w:rPr>
        <w:lastRenderedPageBreak/>
        <w:t>金所持有的股票市值以及买入、卖出股指期货合约价值合计（轧差计算</w:t>
      </w:r>
      <w:r>
        <w:rPr>
          <w:rFonts w:hAnsi="宋体"/>
          <w:sz w:val="24"/>
          <w:szCs w:val="24"/>
        </w:rPr>
        <w:t>)</w:t>
      </w:r>
      <w:r>
        <w:rPr>
          <w:rFonts w:hAnsi="宋体"/>
          <w:sz w:val="24"/>
          <w:szCs w:val="24"/>
        </w:rPr>
        <w:t>；权证的投资比例不超过基金资产净值的</w:t>
      </w:r>
      <w:r>
        <w:rPr>
          <w:rFonts w:hAnsi="宋体"/>
          <w:sz w:val="24"/>
          <w:szCs w:val="24"/>
        </w:rPr>
        <w:t>3%</w:t>
      </w:r>
      <w:r>
        <w:rPr>
          <w:rFonts w:hAnsi="宋体"/>
          <w:sz w:val="24"/>
          <w:szCs w:val="24"/>
        </w:rPr>
        <w:t>；基金保留的现金或者投资于到期日在一年以内的政府债券的比例合计不低于基金资产净值的</w:t>
      </w:r>
      <w:r>
        <w:rPr>
          <w:rFonts w:hAnsi="宋体"/>
          <w:sz w:val="24"/>
          <w:szCs w:val="24"/>
        </w:rPr>
        <w:t>5%</w:t>
      </w:r>
      <w:r>
        <w:rPr>
          <w:rFonts w:hAnsi="宋体" w:hint="eastAsia"/>
          <w:sz w:val="24"/>
          <w:szCs w:val="24"/>
        </w:rPr>
        <w:t>，其中现金不包括结算备付金、存出保证金和应收申购款等</w:t>
      </w:r>
      <w:r>
        <w:rPr>
          <w:rFonts w:hAnsi="宋体"/>
          <w:sz w:val="24"/>
          <w:szCs w:val="24"/>
        </w:rPr>
        <w:t>；基金在任何交易日日终，持有的买入股指期货合约价值，不得超过基金资产净值的</w:t>
      </w:r>
      <w:r>
        <w:rPr>
          <w:rFonts w:hAnsi="宋体"/>
          <w:sz w:val="24"/>
          <w:szCs w:val="24"/>
        </w:rPr>
        <w:t>10%</w:t>
      </w:r>
      <w:r>
        <w:rPr>
          <w:rFonts w:hAnsi="宋体"/>
          <w:sz w:val="24"/>
          <w:szCs w:val="24"/>
        </w:rPr>
        <w:t>；基金在任何交易日日终，持有的卖出期货合约价值不得超过基金持有的股票总市值的</w:t>
      </w:r>
      <w:r>
        <w:rPr>
          <w:rFonts w:hAnsi="宋体"/>
          <w:sz w:val="24"/>
          <w:szCs w:val="24"/>
        </w:rPr>
        <w:t>20%</w:t>
      </w:r>
      <w:r>
        <w:rPr>
          <w:rFonts w:hAnsi="宋体"/>
          <w:sz w:val="24"/>
          <w:szCs w:val="24"/>
        </w:rPr>
        <w:t>。</w:t>
      </w:r>
    </w:p>
    <w:p w:rsidR="00BA1358" w:rsidRDefault="00BA1358" w:rsidP="00BA1358">
      <w:pPr>
        <w:pStyle w:val="aa"/>
        <w:spacing w:after="78"/>
        <w:ind w:firstLine="480"/>
        <w:rPr>
          <w:rFonts w:hAnsi="宋体" w:hint="eastAsia"/>
          <w:szCs w:val="24"/>
        </w:rPr>
      </w:pPr>
      <w:r>
        <w:rPr>
          <w:rFonts w:hAnsi="宋体" w:hint="eastAsia"/>
          <w:szCs w:val="24"/>
        </w:rPr>
        <w:t>如果法律法规或中国证监会变更投资品种的投资比例限制，基金管理人在履行适当程序后，可以调整上述投资品种的投资比例。</w:t>
      </w:r>
    </w:p>
    <w:p w:rsidR="00BA1358" w:rsidRDefault="00BA1358" w:rsidP="00BA1358">
      <w:pPr>
        <w:pStyle w:val="aa"/>
        <w:spacing w:after="78"/>
        <w:ind w:firstLine="480"/>
        <w:rPr>
          <w:rFonts w:hAnsi="宋体" w:hint="eastAsia"/>
        </w:rPr>
      </w:pPr>
      <w:r>
        <w:rPr>
          <w:rFonts w:hAnsi="宋体" w:hint="eastAsia"/>
        </w:rPr>
        <w:t>（三）投资策略</w:t>
      </w:r>
    </w:p>
    <w:p w:rsidR="00BA1358" w:rsidRDefault="00BA1358" w:rsidP="00BA1358">
      <w:pPr>
        <w:spacing w:line="360" w:lineRule="auto"/>
        <w:ind w:firstLine="480"/>
        <w:rPr>
          <w:bCs/>
          <w:sz w:val="24"/>
        </w:rPr>
      </w:pPr>
      <w:r w:rsidRPr="00A82533">
        <w:rPr>
          <w:rFonts w:hAnsi="宋体" w:hint="eastAsia"/>
          <w:bCs/>
          <w:sz w:val="24"/>
          <w:szCs w:val="24"/>
        </w:rPr>
        <w:t>本</w:t>
      </w:r>
      <w:r>
        <w:rPr>
          <w:bCs/>
          <w:sz w:val="24"/>
        </w:rPr>
        <w:t>基金将结合宏观经济环境、政策形势、证券市场走势的综合分析，</w:t>
      </w:r>
      <w:r>
        <w:rPr>
          <w:rFonts w:hint="eastAsia"/>
          <w:bCs/>
          <w:sz w:val="24"/>
        </w:rPr>
        <w:t>自上而下灵活配置大类资产，精选投资标的</w:t>
      </w:r>
      <w:r>
        <w:rPr>
          <w:bCs/>
          <w:sz w:val="24"/>
        </w:rPr>
        <w:t>，合理确定基金在股票、债券等各类资产类别上的投资比例，</w:t>
      </w:r>
      <w:r>
        <w:rPr>
          <w:rFonts w:hint="eastAsia"/>
          <w:bCs/>
          <w:sz w:val="24"/>
        </w:rPr>
        <w:t>同时进行高效的流动性管理，获得稳健投资</w:t>
      </w:r>
      <w:r>
        <w:rPr>
          <w:bCs/>
          <w:sz w:val="24"/>
        </w:rPr>
        <w:t>收益。</w:t>
      </w:r>
    </w:p>
    <w:p w:rsidR="00BA1358" w:rsidRDefault="00BA1358" w:rsidP="00BA1358">
      <w:pPr>
        <w:pStyle w:val="aa"/>
        <w:spacing w:after="78"/>
        <w:ind w:firstLine="480"/>
        <w:rPr>
          <w:rFonts w:hAnsi="宋体" w:hint="eastAsia"/>
        </w:rPr>
      </w:pPr>
      <w:r>
        <w:rPr>
          <w:rFonts w:hAnsi="宋体" w:hint="eastAsia"/>
        </w:rPr>
        <w:t>1</w:t>
      </w:r>
      <w:r>
        <w:rPr>
          <w:rFonts w:hAnsi="宋体" w:hint="eastAsia"/>
        </w:rPr>
        <w:t>、资产配置策略</w:t>
      </w:r>
    </w:p>
    <w:p w:rsidR="00BA1358" w:rsidRDefault="00BA1358" w:rsidP="00BA1358">
      <w:pPr>
        <w:pStyle w:val="aa"/>
        <w:spacing w:after="78"/>
        <w:ind w:firstLine="480"/>
        <w:rPr>
          <w:rFonts w:hAnsi="宋体" w:hint="eastAsia"/>
        </w:rPr>
      </w:pPr>
      <w:r>
        <w:rPr>
          <w:rFonts w:hint="eastAsia"/>
          <w:bCs/>
          <w:szCs w:val="24"/>
        </w:rPr>
        <w:t>本</w:t>
      </w:r>
      <w:r>
        <w:rPr>
          <w:rFonts w:hAnsi="宋体" w:hint="eastAsia"/>
        </w:rPr>
        <w:t>基金在分析和判断国内外宏观经济形势的基础上，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R="00BA1358" w:rsidRDefault="00BA1358" w:rsidP="00BA1358">
      <w:pPr>
        <w:spacing w:line="360" w:lineRule="auto"/>
        <w:ind w:firstLineChars="200" w:firstLine="480"/>
        <w:rPr>
          <w:rFonts w:hAnsi="宋体"/>
          <w:sz w:val="24"/>
          <w:szCs w:val="24"/>
        </w:rPr>
      </w:pPr>
      <w:r>
        <w:rPr>
          <w:rFonts w:hAnsi="宋体" w:hint="eastAsia"/>
          <w:sz w:val="24"/>
          <w:szCs w:val="24"/>
        </w:rPr>
        <w:t>2</w:t>
      </w:r>
      <w:r>
        <w:rPr>
          <w:rFonts w:hAnsi="宋体" w:hint="eastAsia"/>
          <w:sz w:val="24"/>
          <w:szCs w:val="24"/>
        </w:rPr>
        <w:t>、股票投资策略</w:t>
      </w:r>
    </w:p>
    <w:p w:rsidR="00BA1358" w:rsidRDefault="00BA1358" w:rsidP="00BA1358">
      <w:pPr>
        <w:spacing w:line="360" w:lineRule="auto"/>
        <w:ind w:firstLineChars="200" w:firstLine="480"/>
        <w:rPr>
          <w:rFonts w:hAnsi="宋体"/>
          <w:sz w:val="24"/>
          <w:szCs w:val="24"/>
        </w:rPr>
      </w:pPr>
      <w:r>
        <w:rPr>
          <w:rFonts w:hAnsi="宋体"/>
          <w:sz w:val="24"/>
          <w:szCs w:val="24"/>
        </w:rPr>
        <w:t>在自上而下的投资分析框架下，结合对行业和企业</w:t>
      </w:r>
      <w:r>
        <w:rPr>
          <w:rFonts w:hAnsi="宋体" w:hint="eastAsia"/>
          <w:sz w:val="24"/>
          <w:szCs w:val="24"/>
        </w:rPr>
        <w:t>成长性</w:t>
      </w:r>
      <w:r>
        <w:rPr>
          <w:rFonts w:hAnsi="宋体"/>
          <w:sz w:val="24"/>
          <w:szCs w:val="24"/>
        </w:rPr>
        <w:t>的基本面研究，把握经济发展和变更中的个股投资机会；</w:t>
      </w:r>
      <w:r>
        <w:rPr>
          <w:rFonts w:hAnsi="宋体" w:hint="eastAsia"/>
          <w:sz w:val="24"/>
          <w:szCs w:val="24"/>
        </w:rPr>
        <w:t>同时</w:t>
      </w:r>
      <w:r>
        <w:rPr>
          <w:rFonts w:hAnsi="宋体"/>
          <w:sz w:val="24"/>
          <w:szCs w:val="24"/>
        </w:rPr>
        <w:t>还将通过对市场氛围和个股价格走势分析，把握组合买卖时机和调整节奏。</w:t>
      </w:r>
    </w:p>
    <w:p w:rsidR="00BA1358" w:rsidRDefault="00BA1358" w:rsidP="00BA1358">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）行业选择和配置</w:t>
      </w:r>
    </w:p>
    <w:p w:rsidR="00BA1358" w:rsidRDefault="00BA1358" w:rsidP="00BA1358">
      <w:pPr>
        <w:spacing w:line="360" w:lineRule="auto"/>
        <w:ind w:firstLineChars="200" w:firstLine="480"/>
        <w:rPr>
          <w:rFonts w:hAnsi="宋体"/>
          <w:bCs/>
          <w:sz w:val="24"/>
          <w:szCs w:val="24"/>
        </w:rPr>
      </w:pPr>
      <w:r>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BA1358" w:rsidRDefault="00BA1358" w:rsidP="00BA1358">
      <w:pPr>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）个股精选</w:t>
      </w:r>
    </w:p>
    <w:p w:rsidR="00BA1358" w:rsidRDefault="00BA1358" w:rsidP="00BA1358">
      <w:pPr>
        <w:spacing w:line="360" w:lineRule="auto"/>
        <w:ind w:firstLineChars="200" w:firstLine="480"/>
        <w:rPr>
          <w:rFonts w:hAnsi="宋体"/>
          <w:sz w:val="24"/>
          <w:szCs w:val="24"/>
        </w:rPr>
      </w:pPr>
      <w:r w:rsidRPr="00A82533">
        <w:rPr>
          <w:rFonts w:hAnsi="宋体" w:hint="eastAsia"/>
          <w:bCs/>
          <w:sz w:val="24"/>
          <w:szCs w:val="24"/>
        </w:rPr>
        <w:t>本</w:t>
      </w:r>
      <w:r>
        <w:rPr>
          <w:rFonts w:hAnsi="宋体" w:hint="eastAsia"/>
          <w:sz w:val="24"/>
          <w:szCs w:val="24"/>
        </w:rPr>
        <w:t>基金在前述行业优选的基础上，根据下述标准挑选出其中具有投资潜力的</w:t>
      </w:r>
      <w:r>
        <w:rPr>
          <w:rFonts w:hAnsi="宋体" w:hint="eastAsia"/>
          <w:sz w:val="24"/>
          <w:szCs w:val="24"/>
        </w:rPr>
        <w:lastRenderedPageBreak/>
        <w:t>上市公司构建股票池并从中精选个股，且需满足以下要求：</w:t>
      </w:r>
    </w:p>
    <w:p w:rsidR="00BA1358" w:rsidRDefault="00BA1358" w:rsidP="00BA1358">
      <w:pPr>
        <w:spacing w:line="360" w:lineRule="auto"/>
        <w:ind w:firstLineChars="200" w:firstLine="480"/>
        <w:rPr>
          <w:rFonts w:hAnsi="宋体"/>
          <w:sz w:val="24"/>
          <w:szCs w:val="24"/>
        </w:rPr>
      </w:pPr>
      <w:r>
        <w:rPr>
          <w:rFonts w:hAnsi="宋体" w:hint="eastAsia"/>
          <w:sz w:val="24"/>
          <w:szCs w:val="24"/>
        </w:rPr>
        <w:t xml:space="preserve">1) </w:t>
      </w:r>
      <w:r>
        <w:rPr>
          <w:rFonts w:hAnsi="宋体" w:hint="eastAsia"/>
          <w:sz w:val="24"/>
          <w:szCs w:val="24"/>
        </w:rPr>
        <w:t>公司未来预期销售收入、主营业务收入、息税前利润等成长性财务指标处于行业前列或高于市场平均水平；</w:t>
      </w:r>
    </w:p>
    <w:p w:rsidR="00BA1358" w:rsidRDefault="00BA1358" w:rsidP="00BA1358">
      <w:pPr>
        <w:spacing w:line="360" w:lineRule="auto"/>
        <w:ind w:firstLineChars="200" w:firstLine="480"/>
        <w:rPr>
          <w:rFonts w:hAnsi="宋体"/>
          <w:sz w:val="24"/>
          <w:szCs w:val="24"/>
        </w:rPr>
      </w:pPr>
      <w:r>
        <w:rPr>
          <w:rFonts w:hAnsi="宋体" w:hint="eastAsia"/>
          <w:sz w:val="24"/>
          <w:szCs w:val="24"/>
        </w:rPr>
        <w:t xml:space="preserve">2) </w:t>
      </w:r>
      <w:r>
        <w:rPr>
          <w:rFonts w:hAnsi="宋体" w:hint="eastAsia"/>
          <w:sz w:val="24"/>
          <w:szCs w:val="24"/>
        </w:rPr>
        <w:t>公司的市场占有率高于行业平均水平；</w:t>
      </w:r>
    </w:p>
    <w:p w:rsidR="00BA1358" w:rsidRDefault="00BA1358" w:rsidP="00BA1358">
      <w:pPr>
        <w:spacing w:line="360" w:lineRule="auto"/>
        <w:ind w:firstLineChars="200" w:firstLine="480"/>
        <w:rPr>
          <w:rFonts w:hAnsi="宋体"/>
          <w:sz w:val="24"/>
          <w:szCs w:val="24"/>
        </w:rPr>
      </w:pPr>
      <w:r>
        <w:rPr>
          <w:rFonts w:hAnsi="宋体" w:hint="eastAsia"/>
          <w:sz w:val="24"/>
          <w:szCs w:val="24"/>
        </w:rPr>
        <w:t xml:space="preserve">3) </w:t>
      </w:r>
      <w:r>
        <w:rPr>
          <w:rFonts w:hAnsi="宋体" w:hint="eastAsia"/>
          <w:sz w:val="24"/>
          <w:szCs w:val="24"/>
        </w:rPr>
        <w:t>公司拥有难以为竞争对手模仿的竞争优势，如在资源、技术、人才、资金、经营许可证、销售网络等方面的优势；</w:t>
      </w:r>
    </w:p>
    <w:p w:rsidR="00BA1358" w:rsidRDefault="00BA1358" w:rsidP="00BA1358">
      <w:pPr>
        <w:spacing w:line="360" w:lineRule="auto"/>
        <w:ind w:firstLineChars="200" w:firstLine="480"/>
        <w:rPr>
          <w:rFonts w:hAnsi="宋体"/>
          <w:sz w:val="24"/>
          <w:szCs w:val="24"/>
        </w:rPr>
      </w:pPr>
      <w:r>
        <w:rPr>
          <w:rFonts w:hAnsi="宋体" w:hint="eastAsia"/>
          <w:sz w:val="24"/>
          <w:szCs w:val="24"/>
        </w:rPr>
        <w:t xml:space="preserve">4) </w:t>
      </w:r>
      <w:r>
        <w:rPr>
          <w:rFonts w:hAnsi="宋体" w:hint="eastAsia"/>
          <w:sz w:val="24"/>
          <w:szCs w:val="24"/>
        </w:rPr>
        <w:t>公司在技术上或商业模式上具有突出的创新，代表行业发展的方向，或直接受益于经济转型；</w:t>
      </w:r>
    </w:p>
    <w:p w:rsidR="00BA1358" w:rsidRDefault="00BA1358" w:rsidP="00BA1358">
      <w:pPr>
        <w:spacing w:line="360" w:lineRule="auto"/>
        <w:ind w:firstLineChars="200" w:firstLine="480"/>
        <w:rPr>
          <w:rFonts w:hAnsi="宋体"/>
          <w:sz w:val="24"/>
          <w:szCs w:val="24"/>
        </w:rPr>
      </w:pPr>
      <w:r>
        <w:rPr>
          <w:rFonts w:hAnsi="宋体" w:hint="eastAsia"/>
          <w:sz w:val="24"/>
          <w:szCs w:val="24"/>
        </w:rPr>
        <w:t xml:space="preserve">5) </w:t>
      </w:r>
      <w:r>
        <w:rPr>
          <w:rFonts w:hAnsi="宋体" w:hint="eastAsia"/>
          <w:sz w:val="24"/>
          <w:szCs w:val="24"/>
        </w:rPr>
        <w:t>公司治理结构完善、拥有良好管理团队，具备清晰的公司发展战略，企业经营具备持续成长潜力；</w:t>
      </w:r>
    </w:p>
    <w:p w:rsidR="00BA1358" w:rsidRDefault="00BA1358" w:rsidP="00BA1358">
      <w:pPr>
        <w:pStyle w:val="aa"/>
        <w:spacing w:after="78"/>
        <w:ind w:firstLine="480"/>
        <w:rPr>
          <w:rFonts w:hAnsi="宋体" w:hint="eastAsia"/>
        </w:rPr>
      </w:pPr>
      <w:r>
        <w:rPr>
          <w:rFonts w:hAnsi="宋体"/>
          <w:szCs w:val="24"/>
        </w:rPr>
        <w:t>对上述重点上市公司进行内在价值的评估和成长性跟踪研究，在明确的价值评估基础上精选优秀质地的投资标的构建股票组合。</w:t>
      </w:r>
    </w:p>
    <w:p w:rsidR="00BA1358" w:rsidRDefault="00BA1358" w:rsidP="00BA1358">
      <w:pPr>
        <w:pStyle w:val="aa"/>
        <w:spacing w:after="78"/>
        <w:ind w:firstLine="480"/>
        <w:rPr>
          <w:rFonts w:hAnsi="宋体" w:hint="eastAsia"/>
        </w:rPr>
      </w:pPr>
      <w:r>
        <w:rPr>
          <w:rFonts w:hAnsi="宋体" w:hint="eastAsia"/>
        </w:rPr>
        <w:t>3</w:t>
      </w:r>
      <w:r>
        <w:rPr>
          <w:rFonts w:hAnsi="宋体" w:hint="eastAsia"/>
        </w:rPr>
        <w:t>、债券投资策略</w:t>
      </w:r>
    </w:p>
    <w:p w:rsidR="00BA1358" w:rsidRDefault="00BA1358" w:rsidP="00BA1358">
      <w:pPr>
        <w:pStyle w:val="aa"/>
        <w:spacing w:after="78"/>
        <w:ind w:firstLine="480"/>
        <w:rPr>
          <w:rFonts w:hAnsi="宋体" w:hint="eastAsia"/>
        </w:rPr>
      </w:pPr>
      <w:r>
        <w:rPr>
          <w:rFonts w:hint="eastAsia"/>
          <w:bCs/>
          <w:szCs w:val="24"/>
        </w:rPr>
        <w:t>本</w:t>
      </w:r>
      <w:r>
        <w:rPr>
          <w:rFonts w:hAnsi="宋体" w:hint="eastAsia"/>
        </w:rPr>
        <w:t>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BA1358" w:rsidRDefault="00BA1358" w:rsidP="00BA1358">
      <w:pPr>
        <w:pStyle w:val="aa"/>
        <w:spacing w:after="78"/>
        <w:ind w:firstLine="480"/>
        <w:rPr>
          <w:rFonts w:hAnsi="宋体" w:hint="eastAsia"/>
        </w:rPr>
      </w:pPr>
      <w:r>
        <w:rPr>
          <w:rFonts w:hAnsi="宋体" w:hint="eastAsia"/>
        </w:rPr>
        <w:t>4</w:t>
      </w:r>
      <w:r>
        <w:rPr>
          <w:rFonts w:hAnsi="宋体" w:hint="eastAsia"/>
        </w:rPr>
        <w:t>、权证投资策略</w:t>
      </w:r>
    </w:p>
    <w:p w:rsidR="00BA1358" w:rsidRDefault="00BA1358" w:rsidP="00BA1358">
      <w:pPr>
        <w:adjustRightInd w:val="0"/>
        <w:snapToGrid w:val="0"/>
        <w:spacing w:line="360" w:lineRule="auto"/>
        <w:ind w:firstLineChars="200" w:firstLine="480"/>
        <w:rPr>
          <w:rFonts w:hAnsi="宋体" w:hint="eastAsia"/>
          <w:bCs/>
          <w:sz w:val="24"/>
          <w:szCs w:val="24"/>
        </w:rPr>
      </w:pPr>
      <w:r w:rsidRPr="00A82533">
        <w:rPr>
          <w:rFonts w:hint="eastAsia"/>
          <w:bCs/>
          <w:sz w:val="24"/>
          <w:szCs w:val="24"/>
        </w:rPr>
        <w:t>本</w:t>
      </w:r>
      <w:r>
        <w:rPr>
          <w:rFonts w:hAnsi="宋体" w:hint="eastAsia"/>
          <w:bCs/>
          <w:sz w:val="24"/>
          <w:szCs w:val="24"/>
        </w:rPr>
        <w:t>基金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rsidR="00BA1358" w:rsidRDefault="00BA1358" w:rsidP="00BA1358">
      <w:pPr>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bCs/>
          <w:sz w:val="24"/>
          <w:szCs w:val="24"/>
        </w:rPr>
        <w:t>、资产支持证券投资</w:t>
      </w:r>
    </w:p>
    <w:p w:rsidR="00BA1358" w:rsidRDefault="00BA1358" w:rsidP="00BA1358">
      <w:pPr>
        <w:adjustRightInd w:val="0"/>
        <w:snapToGrid w:val="0"/>
        <w:spacing w:line="360" w:lineRule="auto"/>
        <w:ind w:firstLineChars="200" w:firstLine="480"/>
        <w:rPr>
          <w:rFonts w:hAnsi="宋体"/>
          <w:bCs/>
          <w:sz w:val="24"/>
          <w:szCs w:val="24"/>
        </w:rPr>
      </w:pPr>
      <w:r w:rsidRPr="00A82533">
        <w:rPr>
          <w:rFonts w:hint="eastAsia"/>
          <w:bCs/>
          <w:sz w:val="24"/>
          <w:szCs w:val="24"/>
        </w:rPr>
        <w:t>本</w:t>
      </w:r>
      <w:r>
        <w:rPr>
          <w:rFonts w:hAnsi="宋体"/>
          <w:bCs/>
          <w:sz w:val="24"/>
          <w:szCs w:val="24"/>
        </w:rPr>
        <w:t>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BA1358" w:rsidRDefault="00BA1358" w:rsidP="00BA1358">
      <w:pPr>
        <w:adjustRightInd w:val="0"/>
        <w:snapToGrid w:val="0"/>
        <w:spacing w:line="360" w:lineRule="auto"/>
        <w:ind w:firstLineChars="200" w:firstLine="480"/>
        <w:rPr>
          <w:rFonts w:hAnsi="宋体"/>
          <w:bCs/>
          <w:sz w:val="24"/>
          <w:szCs w:val="24"/>
        </w:rPr>
      </w:pPr>
      <w:r>
        <w:rPr>
          <w:rFonts w:hAnsi="宋体" w:hint="eastAsia"/>
          <w:bCs/>
          <w:sz w:val="24"/>
          <w:szCs w:val="24"/>
        </w:rPr>
        <w:t>6</w:t>
      </w:r>
      <w:r>
        <w:rPr>
          <w:rFonts w:hAnsi="宋体"/>
          <w:bCs/>
          <w:sz w:val="24"/>
          <w:szCs w:val="24"/>
        </w:rPr>
        <w:t>、股指期货投资</w:t>
      </w:r>
    </w:p>
    <w:p w:rsidR="00BA1358" w:rsidRDefault="00BA1358" w:rsidP="00BA1358">
      <w:pPr>
        <w:adjustRightInd w:val="0"/>
        <w:snapToGrid w:val="0"/>
        <w:spacing w:line="360" w:lineRule="auto"/>
        <w:ind w:firstLineChars="200" w:firstLine="480"/>
        <w:rPr>
          <w:rFonts w:hAnsi="宋体" w:hint="eastAsia"/>
          <w:bCs/>
          <w:sz w:val="24"/>
          <w:szCs w:val="24"/>
        </w:rPr>
      </w:pPr>
      <w:r w:rsidRPr="00A82533">
        <w:rPr>
          <w:rFonts w:hAnsi="宋体" w:hint="eastAsia"/>
          <w:bCs/>
          <w:sz w:val="24"/>
          <w:szCs w:val="24"/>
        </w:rPr>
        <w:t>本</w:t>
      </w:r>
      <w:r>
        <w:rPr>
          <w:rFonts w:hAnsi="宋体"/>
          <w:bCs/>
          <w:sz w:val="24"/>
          <w:szCs w:val="24"/>
        </w:rPr>
        <w:t>基金参与股指期货投资将根据风险管理的原则，以套期保值为主要目的。</w:t>
      </w:r>
      <w:r w:rsidRPr="00A82533">
        <w:rPr>
          <w:rFonts w:hAnsi="宋体" w:hint="eastAsia"/>
          <w:bCs/>
          <w:sz w:val="24"/>
          <w:szCs w:val="24"/>
        </w:rPr>
        <w:t>本</w:t>
      </w:r>
      <w:r>
        <w:rPr>
          <w:rFonts w:hAnsi="宋体"/>
          <w:bCs/>
          <w:sz w:val="24"/>
          <w:szCs w:val="24"/>
        </w:rPr>
        <w:t>基金将在风险可控的前提下，本着谨慎原则，参与股指期货的投资，以管理投</w:t>
      </w:r>
      <w:r>
        <w:rPr>
          <w:rFonts w:hAnsi="宋体"/>
          <w:bCs/>
          <w:sz w:val="24"/>
          <w:szCs w:val="24"/>
        </w:rPr>
        <w:lastRenderedPageBreak/>
        <w:t>资组合的系统性风险，改善组合的风险收益特性。套期保值将主要采用流动性好、交易活跃的期货合约。</w:t>
      </w:r>
      <w:r w:rsidRPr="00A82533">
        <w:rPr>
          <w:rFonts w:hAnsi="宋体" w:hint="eastAsia"/>
          <w:bCs/>
          <w:sz w:val="24"/>
          <w:szCs w:val="24"/>
        </w:rPr>
        <w:t>本</w:t>
      </w:r>
      <w:r>
        <w:rPr>
          <w:rFonts w:hAnsi="宋体"/>
          <w:bCs/>
          <w:sz w:val="24"/>
          <w:szCs w:val="24"/>
        </w:rPr>
        <w:t>基金在进行股指期货投资时，将通过对证券市场和期货市场运行趋势的研究，并结合股指期货的定价模型寻求其合理的估值水平。</w:t>
      </w:r>
      <w:r>
        <w:rPr>
          <w:rFonts w:hAnsi="宋体"/>
          <w:bCs/>
          <w:sz w:val="24"/>
          <w:szCs w:val="24"/>
        </w:rPr>
        <w:t xml:space="preserve"> </w:t>
      </w:r>
    </w:p>
    <w:p w:rsidR="00BA1358" w:rsidRDefault="00BA1358" w:rsidP="00BA1358">
      <w:pPr>
        <w:adjustRightInd w:val="0"/>
        <w:snapToGrid w:val="0"/>
        <w:spacing w:line="360" w:lineRule="auto"/>
        <w:ind w:firstLineChars="200" w:firstLine="480"/>
        <w:rPr>
          <w:rFonts w:hAnsi="宋体" w:hint="eastAsia"/>
          <w:bCs/>
          <w:sz w:val="24"/>
          <w:szCs w:val="24"/>
        </w:rPr>
      </w:pPr>
      <w:r>
        <w:rPr>
          <w:rFonts w:hAnsi="宋体"/>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Pr>
          <w:rFonts w:hAnsi="宋体" w:hint="eastAsia"/>
          <w:bCs/>
          <w:sz w:val="24"/>
          <w:szCs w:val="24"/>
        </w:rPr>
        <w:t>。</w:t>
      </w:r>
    </w:p>
    <w:p w:rsidR="00BA1358" w:rsidRDefault="00BA1358" w:rsidP="00BA1358">
      <w:pPr>
        <w:adjustRightInd w:val="0"/>
        <w:snapToGrid w:val="0"/>
        <w:spacing w:line="360" w:lineRule="auto"/>
        <w:ind w:firstLineChars="200" w:firstLine="480"/>
        <w:rPr>
          <w:rFonts w:hAnsi="宋体" w:hint="eastAsia"/>
          <w:bCs/>
          <w:sz w:val="24"/>
          <w:szCs w:val="24"/>
        </w:rPr>
      </w:pPr>
      <w:r>
        <w:rPr>
          <w:rFonts w:hAnsi="宋体" w:hint="eastAsia"/>
          <w:bCs/>
          <w:sz w:val="24"/>
          <w:szCs w:val="24"/>
        </w:rPr>
        <w:t>（四）投资限制</w:t>
      </w:r>
    </w:p>
    <w:p w:rsidR="00BA1358" w:rsidRDefault="00BA1358" w:rsidP="00BA1358">
      <w:pPr>
        <w:adjustRightInd w:val="0"/>
        <w:snapToGrid w:val="0"/>
        <w:spacing w:line="360" w:lineRule="auto"/>
        <w:ind w:firstLineChars="200" w:firstLine="480"/>
        <w:rPr>
          <w:rFonts w:hAnsi="宋体" w:hint="eastAsia"/>
          <w:bCs/>
          <w:sz w:val="24"/>
          <w:szCs w:val="24"/>
        </w:rPr>
      </w:pPr>
      <w:r>
        <w:rPr>
          <w:rFonts w:hAnsi="宋体" w:hint="eastAsia"/>
          <w:bCs/>
          <w:sz w:val="24"/>
          <w:szCs w:val="24"/>
        </w:rPr>
        <w:t>1</w:t>
      </w:r>
      <w:r>
        <w:rPr>
          <w:rFonts w:hAnsi="宋体" w:hint="eastAsia"/>
          <w:bCs/>
          <w:sz w:val="24"/>
          <w:szCs w:val="24"/>
        </w:rPr>
        <w:t>、组合限制</w:t>
      </w:r>
    </w:p>
    <w:p w:rsidR="00BA1358" w:rsidRDefault="00BA1358" w:rsidP="00BA1358">
      <w:pPr>
        <w:adjustRightInd w:val="0"/>
        <w:snapToGrid w:val="0"/>
        <w:spacing w:line="360" w:lineRule="auto"/>
        <w:ind w:firstLineChars="200" w:firstLine="480"/>
        <w:rPr>
          <w:rFonts w:hAnsi="宋体" w:hint="eastAsia"/>
          <w:bCs/>
          <w:sz w:val="24"/>
          <w:szCs w:val="24"/>
        </w:rPr>
      </w:pPr>
      <w:r>
        <w:rPr>
          <w:rFonts w:hAnsi="宋体" w:hint="eastAsia"/>
          <w:bCs/>
          <w:sz w:val="24"/>
          <w:szCs w:val="24"/>
        </w:rPr>
        <w:t>基金的投资组合应遵循以下限制：</w:t>
      </w:r>
    </w:p>
    <w:p w:rsidR="00BA1358" w:rsidRDefault="00BA1358" w:rsidP="00BA1358">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w:t>
      </w:r>
      <w:r>
        <w:rPr>
          <w:rFonts w:hAnsi="宋体" w:hint="eastAsia"/>
          <w:bCs/>
          <w:sz w:val="24"/>
          <w:szCs w:val="24"/>
        </w:rPr>
        <w:t>）股票资产占基金资产的</w:t>
      </w:r>
      <w:r>
        <w:rPr>
          <w:rFonts w:hAnsi="宋体"/>
          <w:bCs/>
          <w:sz w:val="24"/>
          <w:szCs w:val="24"/>
        </w:rPr>
        <w:t>0%-95%</w:t>
      </w:r>
      <w:r>
        <w:rPr>
          <w:rFonts w:hAnsi="宋体" w:hint="eastAsia"/>
          <w:bCs/>
          <w:sz w:val="24"/>
          <w:szCs w:val="24"/>
        </w:rPr>
        <w:t>，</w:t>
      </w:r>
      <w:r>
        <w:rPr>
          <w:rFonts w:hAnsi="宋体"/>
          <w:bCs/>
          <w:sz w:val="24"/>
          <w:szCs w:val="24"/>
        </w:rPr>
        <w:t>股票资产按照基金所持有的股票市值以及买入、卖出股指期货合约价值合计（轧差计算</w:t>
      </w:r>
      <w:r>
        <w:rPr>
          <w:rFonts w:hAnsi="宋体"/>
          <w:bCs/>
          <w:sz w:val="24"/>
          <w:szCs w:val="24"/>
        </w:rPr>
        <w:t>)</w:t>
      </w:r>
      <w:r>
        <w:rPr>
          <w:rFonts w:hAnsi="宋体" w:hint="eastAsia"/>
          <w:bCs/>
          <w:sz w:val="24"/>
          <w:szCs w:val="24"/>
        </w:rPr>
        <w:t>；</w:t>
      </w:r>
    </w:p>
    <w:p w:rsidR="00BA1358" w:rsidRDefault="00BA1358" w:rsidP="00BA1358">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2</w:t>
      </w:r>
      <w:r>
        <w:rPr>
          <w:rFonts w:hAnsi="宋体" w:hint="eastAsia"/>
          <w:bCs/>
          <w:sz w:val="24"/>
          <w:szCs w:val="24"/>
        </w:rPr>
        <w:t>）保持不低于基金资产净值</w:t>
      </w:r>
      <w:r>
        <w:rPr>
          <w:rFonts w:hAnsi="宋体" w:hint="eastAsia"/>
          <w:bCs/>
          <w:sz w:val="24"/>
          <w:szCs w:val="24"/>
        </w:rPr>
        <w:t>5</w:t>
      </w:r>
      <w:r>
        <w:rPr>
          <w:rFonts w:hAnsi="宋体" w:hint="eastAsia"/>
          <w:bCs/>
          <w:sz w:val="24"/>
          <w:szCs w:val="24"/>
        </w:rPr>
        <w:t>％的现金或者到期日在一年以内的政府债券，其中现金不包括结算备付金、存出保证金和应收申购款等；</w:t>
      </w:r>
    </w:p>
    <w:p w:rsidR="00BA1358" w:rsidRDefault="00BA1358" w:rsidP="00BA1358">
      <w:pPr>
        <w:adjustRightInd w:val="0"/>
        <w:snapToGrid w:val="0"/>
        <w:spacing w:line="360" w:lineRule="auto"/>
        <w:ind w:firstLineChars="200" w:firstLine="480"/>
        <w:rPr>
          <w:rFonts w:hAnsi="宋体" w:hint="eastAsia"/>
          <w:bCs/>
          <w:sz w:val="24"/>
          <w:szCs w:val="24"/>
        </w:rPr>
      </w:pPr>
      <w:r>
        <w:rPr>
          <w:rFonts w:hAnsi="宋体" w:hint="eastAsia"/>
          <w:bCs/>
          <w:sz w:val="24"/>
          <w:szCs w:val="24"/>
        </w:rPr>
        <w:t>（</w:t>
      </w:r>
      <w:r>
        <w:rPr>
          <w:rFonts w:hAnsi="宋体" w:hint="eastAsia"/>
          <w:bCs/>
          <w:sz w:val="24"/>
          <w:szCs w:val="24"/>
        </w:rPr>
        <w:t>3</w:t>
      </w:r>
      <w:r>
        <w:rPr>
          <w:rFonts w:hAnsi="宋体" w:hint="eastAsia"/>
          <w:bCs/>
          <w:sz w:val="24"/>
          <w:szCs w:val="24"/>
        </w:rPr>
        <w:t>）本基金持有一家公司发行的证券，其市值不超过基金资产净值的</w:t>
      </w:r>
      <w:r>
        <w:rPr>
          <w:rFonts w:hAnsi="宋体" w:hint="eastAsia"/>
          <w:bCs/>
          <w:sz w:val="24"/>
          <w:szCs w:val="24"/>
        </w:rPr>
        <w:t>10%</w:t>
      </w:r>
      <w:r>
        <w:rPr>
          <w:rFonts w:hAnsi="宋体" w:hint="eastAsia"/>
          <w:bCs/>
          <w:sz w:val="24"/>
          <w:szCs w:val="24"/>
        </w:rPr>
        <w:t>；</w:t>
      </w:r>
    </w:p>
    <w:p w:rsidR="00BA1358" w:rsidRDefault="00BA1358" w:rsidP="00BA1358">
      <w:pPr>
        <w:adjustRightInd w:val="0"/>
        <w:snapToGrid w:val="0"/>
        <w:spacing w:line="360" w:lineRule="auto"/>
        <w:ind w:firstLineChars="200" w:firstLine="480"/>
        <w:rPr>
          <w:rFonts w:hAnsi="宋体" w:hint="eastAsia"/>
          <w:bCs/>
          <w:sz w:val="24"/>
          <w:szCs w:val="24"/>
        </w:rPr>
      </w:pPr>
      <w:r>
        <w:rPr>
          <w:rFonts w:hAnsi="宋体" w:hint="eastAsia"/>
          <w:bCs/>
          <w:sz w:val="24"/>
          <w:szCs w:val="24"/>
        </w:rPr>
        <w:t>（</w:t>
      </w:r>
      <w:r>
        <w:rPr>
          <w:rFonts w:hAnsi="宋体" w:hint="eastAsia"/>
          <w:bCs/>
          <w:sz w:val="24"/>
          <w:szCs w:val="24"/>
        </w:rPr>
        <w:t>4</w:t>
      </w:r>
      <w:r>
        <w:rPr>
          <w:rFonts w:hAnsi="宋体" w:hint="eastAsia"/>
          <w:bCs/>
          <w:sz w:val="24"/>
          <w:szCs w:val="24"/>
        </w:rPr>
        <w:t>）本基金管理人管理的全部基金持有一家公司发行的证券，不超过该证券的</w:t>
      </w:r>
      <w:r>
        <w:rPr>
          <w:rFonts w:hAnsi="宋体" w:hint="eastAsia"/>
          <w:bCs/>
          <w:sz w:val="24"/>
          <w:szCs w:val="24"/>
        </w:rPr>
        <w:t>10%</w:t>
      </w:r>
      <w:r>
        <w:rPr>
          <w:rFonts w:hAnsi="宋体" w:hint="eastAsia"/>
          <w:bCs/>
          <w:sz w:val="24"/>
          <w:szCs w:val="24"/>
        </w:rPr>
        <w:t>；</w:t>
      </w:r>
    </w:p>
    <w:p w:rsidR="00BA1358" w:rsidRDefault="00BA1358" w:rsidP="00BA1358">
      <w:pPr>
        <w:adjustRightInd w:val="0"/>
        <w:snapToGrid w:val="0"/>
        <w:spacing w:line="360" w:lineRule="auto"/>
        <w:ind w:firstLineChars="200" w:firstLine="480"/>
        <w:rPr>
          <w:rFonts w:hAnsi="宋体" w:hint="eastAsia"/>
          <w:bCs/>
          <w:sz w:val="24"/>
          <w:szCs w:val="24"/>
        </w:rPr>
      </w:pPr>
      <w:r>
        <w:rPr>
          <w:rFonts w:hAnsi="宋体" w:hint="eastAsia"/>
          <w:bCs/>
          <w:sz w:val="24"/>
          <w:szCs w:val="24"/>
        </w:rPr>
        <w:t>（</w:t>
      </w:r>
      <w:r>
        <w:rPr>
          <w:rFonts w:hAnsi="宋体" w:hint="eastAsia"/>
          <w:bCs/>
          <w:sz w:val="24"/>
          <w:szCs w:val="24"/>
        </w:rPr>
        <w:t>5</w:t>
      </w:r>
      <w:r>
        <w:rPr>
          <w:rFonts w:hAnsi="宋体" w:hint="eastAsia"/>
          <w:bCs/>
          <w:sz w:val="24"/>
          <w:szCs w:val="24"/>
        </w:rPr>
        <w:t>）本基金持有的全部权证，其市值不得超过基金资产净值的</w:t>
      </w:r>
      <w:r>
        <w:rPr>
          <w:rFonts w:hAnsi="宋体" w:hint="eastAsia"/>
          <w:bCs/>
          <w:sz w:val="24"/>
          <w:szCs w:val="24"/>
        </w:rPr>
        <w:t>3%</w:t>
      </w:r>
      <w:r>
        <w:rPr>
          <w:rFonts w:hAnsi="宋体" w:hint="eastAsia"/>
          <w:bCs/>
          <w:sz w:val="24"/>
          <w:szCs w:val="24"/>
        </w:rPr>
        <w:t>；</w:t>
      </w:r>
    </w:p>
    <w:p w:rsidR="00BA1358" w:rsidRDefault="00BA1358" w:rsidP="00BA1358">
      <w:pPr>
        <w:adjustRightInd w:val="0"/>
        <w:snapToGrid w:val="0"/>
        <w:spacing w:line="360" w:lineRule="auto"/>
        <w:ind w:firstLineChars="200" w:firstLine="480"/>
        <w:rPr>
          <w:rFonts w:hAnsi="宋体" w:hint="eastAsia"/>
          <w:bCs/>
          <w:sz w:val="24"/>
          <w:szCs w:val="24"/>
        </w:rPr>
      </w:pPr>
      <w:r>
        <w:rPr>
          <w:rFonts w:hAnsi="宋体" w:hint="eastAsia"/>
          <w:bCs/>
          <w:sz w:val="24"/>
          <w:szCs w:val="24"/>
        </w:rPr>
        <w:t>（</w:t>
      </w:r>
      <w:r>
        <w:rPr>
          <w:rFonts w:hAnsi="宋体" w:hint="eastAsia"/>
          <w:bCs/>
          <w:sz w:val="24"/>
          <w:szCs w:val="24"/>
        </w:rPr>
        <w:t>6</w:t>
      </w:r>
      <w:r>
        <w:rPr>
          <w:rFonts w:hAnsi="宋体" w:hint="eastAsia"/>
          <w:bCs/>
          <w:sz w:val="24"/>
          <w:szCs w:val="24"/>
        </w:rPr>
        <w:t>）本基金管理人管理的全部基金持有的同一权证，不得超过该权证的</w:t>
      </w:r>
      <w:r>
        <w:rPr>
          <w:rFonts w:hAnsi="宋体" w:hint="eastAsia"/>
          <w:bCs/>
          <w:sz w:val="24"/>
          <w:szCs w:val="24"/>
        </w:rPr>
        <w:t xml:space="preserve">   10%</w:t>
      </w:r>
      <w:r>
        <w:rPr>
          <w:rFonts w:hAnsi="宋体" w:hint="eastAsia"/>
          <w:bCs/>
          <w:sz w:val="24"/>
          <w:szCs w:val="24"/>
        </w:rPr>
        <w:t>；</w:t>
      </w:r>
    </w:p>
    <w:p w:rsidR="00BA1358" w:rsidRDefault="00BA1358" w:rsidP="00BA1358">
      <w:pPr>
        <w:adjustRightInd w:val="0"/>
        <w:snapToGrid w:val="0"/>
        <w:spacing w:line="360" w:lineRule="auto"/>
        <w:ind w:firstLineChars="200" w:firstLine="480"/>
        <w:rPr>
          <w:rFonts w:hAnsi="宋体" w:hint="eastAsia"/>
          <w:bCs/>
          <w:sz w:val="24"/>
          <w:szCs w:val="24"/>
        </w:rPr>
      </w:pPr>
      <w:r>
        <w:rPr>
          <w:rFonts w:hAnsi="宋体" w:hint="eastAsia"/>
          <w:bCs/>
          <w:sz w:val="24"/>
          <w:szCs w:val="24"/>
        </w:rPr>
        <w:t>（</w:t>
      </w:r>
      <w:r>
        <w:rPr>
          <w:rFonts w:hAnsi="宋体" w:hint="eastAsia"/>
          <w:bCs/>
          <w:sz w:val="24"/>
          <w:szCs w:val="24"/>
        </w:rPr>
        <w:t>7</w:t>
      </w:r>
      <w:r>
        <w:rPr>
          <w:rFonts w:hAnsi="宋体" w:hint="eastAsia"/>
          <w:bCs/>
          <w:sz w:val="24"/>
          <w:szCs w:val="24"/>
        </w:rPr>
        <w:t>）本基金在任何交易日买入权证的总金额，不得超过上一交易日基金资产净值的</w:t>
      </w:r>
      <w:r>
        <w:rPr>
          <w:rFonts w:hAnsi="宋体" w:hint="eastAsia"/>
          <w:bCs/>
          <w:sz w:val="24"/>
          <w:szCs w:val="24"/>
        </w:rPr>
        <w:t>0.5%</w:t>
      </w:r>
      <w:r>
        <w:rPr>
          <w:rFonts w:hAnsi="宋体" w:hint="eastAsia"/>
          <w:bCs/>
          <w:sz w:val="24"/>
          <w:szCs w:val="24"/>
        </w:rPr>
        <w:t>；</w:t>
      </w:r>
    </w:p>
    <w:p w:rsidR="00BA1358" w:rsidRDefault="00BA1358" w:rsidP="00BA1358">
      <w:pPr>
        <w:adjustRightInd w:val="0"/>
        <w:snapToGrid w:val="0"/>
        <w:spacing w:line="360" w:lineRule="auto"/>
        <w:ind w:firstLineChars="200" w:firstLine="480"/>
        <w:rPr>
          <w:rFonts w:hAnsi="宋体" w:hint="eastAsia"/>
          <w:bCs/>
          <w:sz w:val="24"/>
          <w:szCs w:val="24"/>
        </w:rPr>
      </w:pPr>
      <w:r>
        <w:rPr>
          <w:rFonts w:hAnsi="宋体" w:hint="eastAsia"/>
          <w:bCs/>
          <w:sz w:val="24"/>
          <w:szCs w:val="24"/>
        </w:rPr>
        <w:t>（</w:t>
      </w:r>
      <w:r>
        <w:rPr>
          <w:rFonts w:hAnsi="宋体" w:hint="eastAsia"/>
          <w:bCs/>
          <w:sz w:val="24"/>
          <w:szCs w:val="24"/>
        </w:rPr>
        <w:t>8</w:t>
      </w:r>
      <w:r>
        <w:rPr>
          <w:rFonts w:hAnsi="宋体" w:hint="eastAsia"/>
          <w:bCs/>
          <w:sz w:val="24"/>
          <w:szCs w:val="24"/>
        </w:rPr>
        <w:t>）本基金投资于同一原始权益人的各类资产支持证券的比例，不得超过基金资产净值的</w:t>
      </w:r>
      <w:r>
        <w:rPr>
          <w:rFonts w:hAnsi="宋体" w:hint="eastAsia"/>
          <w:bCs/>
          <w:sz w:val="24"/>
          <w:szCs w:val="24"/>
        </w:rPr>
        <w:t>10%</w:t>
      </w:r>
      <w:r>
        <w:rPr>
          <w:rFonts w:hAnsi="宋体" w:hint="eastAsia"/>
          <w:bCs/>
          <w:sz w:val="24"/>
          <w:szCs w:val="24"/>
        </w:rPr>
        <w:t>；</w:t>
      </w:r>
    </w:p>
    <w:p w:rsidR="00BA1358" w:rsidRDefault="00BA1358" w:rsidP="00BA1358">
      <w:pPr>
        <w:adjustRightInd w:val="0"/>
        <w:snapToGrid w:val="0"/>
        <w:spacing w:line="360" w:lineRule="auto"/>
        <w:ind w:firstLineChars="200" w:firstLine="480"/>
        <w:rPr>
          <w:rFonts w:hAnsi="宋体" w:hint="eastAsia"/>
          <w:bCs/>
          <w:sz w:val="24"/>
          <w:szCs w:val="24"/>
        </w:rPr>
      </w:pPr>
      <w:r>
        <w:rPr>
          <w:rFonts w:hAnsi="宋体" w:hint="eastAsia"/>
          <w:bCs/>
          <w:sz w:val="24"/>
          <w:szCs w:val="24"/>
        </w:rPr>
        <w:t>（</w:t>
      </w:r>
      <w:r>
        <w:rPr>
          <w:rFonts w:hAnsi="宋体" w:hint="eastAsia"/>
          <w:bCs/>
          <w:sz w:val="24"/>
          <w:szCs w:val="24"/>
        </w:rPr>
        <w:t>9</w:t>
      </w:r>
      <w:r>
        <w:rPr>
          <w:rFonts w:hAnsi="宋体" w:hint="eastAsia"/>
          <w:bCs/>
          <w:sz w:val="24"/>
          <w:szCs w:val="24"/>
        </w:rPr>
        <w:t>）本基金持有的全部资产支持证券，其市值不得超过基金资产净值的</w:t>
      </w:r>
      <w:r>
        <w:rPr>
          <w:rFonts w:hAnsi="宋体" w:hint="eastAsia"/>
          <w:bCs/>
          <w:sz w:val="24"/>
          <w:szCs w:val="24"/>
        </w:rPr>
        <w:t>20%</w:t>
      </w:r>
      <w:r>
        <w:rPr>
          <w:rFonts w:hAnsi="宋体" w:hint="eastAsia"/>
          <w:bCs/>
          <w:sz w:val="24"/>
          <w:szCs w:val="24"/>
        </w:rPr>
        <w:t>；</w:t>
      </w:r>
    </w:p>
    <w:p w:rsidR="00BA1358" w:rsidRDefault="00BA1358" w:rsidP="00BA1358">
      <w:pPr>
        <w:adjustRightInd w:val="0"/>
        <w:snapToGrid w:val="0"/>
        <w:spacing w:line="360" w:lineRule="auto"/>
        <w:ind w:firstLineChars="200" w:firstLine="480"/>
        <w:rPr>
          <w:rFonts w:hAnsi="宋体" w:hint="eastAsia"/>
          <w:bCs/>
          <w:sz w:val="24"/>
          <w:szCs w:val="24"/>
        </w:rPr>
      </w:pPr>
      <w:r>
        <w:rPr>
          <w:rFonts w:hAnsi="宋体" w:hint="eastAsia"/>
          <w:bCs/>
          <w:sz w:val="24"/>
          <w:szCs w:val="24"/>
        </w:rPr>
        <w:t>（</w:t>
      </w:r>
      <w:r>
        <w:rPr>
          <w:rFonts w:hAnsi="宋体" w:hint="eastAsia"/>
          <w:bCs/>
          <w:sz w:val="24"/>
          <w:szCs w:val="24"/>
        </w:rPr>
        <w:t>10</w:t>
      </w:r>
      <w:r>
        <w:rPr>
          <w:rFonts w:hAnsi="宋体" w:hint="eastAsia"/>
          <w:bCs/>
          <w:sz w:val="24"/>
          <w:szCs w:val="24"/>
        </w:rPr>
        <w:t>）本基金持有的同一</w:t>
      </w:r>
      <w:r>
        <w:rPr>
          <w:rFonts w:hAnsi="宋体" w:hint="eastAsia"/>
          <w:bCs/>
          <w:sz w:val="24"/>
          <w:szCs w:val="24"/>
        </w:rPr>
        <w:t>(</w:t>
      </w:r>
      <w:r>
        <w:rPr>
          <w:rFonts w:hAnsi="宋体" w:hint="eastAsia"/>
          <w:bCs/>
          <w:sz w:val="24"/>
          <w:szCs w:val="24"/>
        </w:rPr>
        <w:t>指同一信用级别</w:t>
      </w:r>
      <w:r>
        <w:rPr>
          <w:rFonts w:hAnsi="宋体" w:hint="eastAsia"/>
          <w:bCs/>
          <w:sz w:val="24"/>
          <w:szCs w:val="24"/>
        </w:rPr>
        <w:t>)</w:t>
      </w:r>
      <w:r>
        <w:rPr>
          <w:rFonts w:hAnsi="宋体" w:hint="eastAsia"/>
          <w:bCs/>
          <w:sz w:val="24"/>
          <w:szCs w:val="24"/>
        </w:rPr>
        <w:t>资产支持证券的比例，不得超过该资产支持证券规模的</w:t>
      </w:r>
      <w:r>
        <w:rPr>
          <w:rFonts w:hAnsi="宋体" w:hint="eastAsia"/>
          <w:bCs/>
          <w:sz w:val="24"/>
          <w:szCs w:val="24"/>
        </w:rPr>
        <w:t>10%</w:t>
      </w:r>
      <w:r>
        <w:rPr>
          <w:rFonts w:hAnsi="宋体" w:hint="eastAsia"/>
          <w:bCs/>
          <w:sz w:val="24"/>
          <w:szCs w:val="24"/>
        </w:rPr>
        <w:t>；</w:t>
      </w:r>
    </w:p>
    <w:p w:rsidR="00BA1358" w:rsidRDefault="00BA1358" w:rsidP="00BA1358">
      <w:pPr>
        <w:pStyle w:val="aa"/>
        <w:spacing w:after="78"/>
        <w:ind w:firstLine="480"/>
        <w:rPr>
          <w:rFonts w:hAnsi="宋体" w:hint="eastAsia"/>
          <w:szCs w:val="24"/>
        </w:rPr>
      </w:pPr>
      <w:r>
        <w:rPr>
          <w:rFonts w:hAnsi="宋体" w:hint="eastAsia"/>
          <w:szCs w:val="24"/>
        </w:rPr>
        <w:t>（</w:t>
      </w:r>
      <w:r>
        <w:rPr>
          <w:rFonts w:hAnsi="宋体" w:hint="eastAsia"/>
          <w:szCs w:val="24"/>
        </w:rPr>
        <w:t>11</w:t>
      </w:r>
      <w:r>
        <w:rPr>
          <w:rFonts w:hAnsi="宋体" w:hint="eastAsia"/>
          <w:szCs w:val="24"/>
        </w:rPr>
        <w:t>）</w:t>
      </w:r>
      <w:r>
        <w:rPr>
          <w:rFonts w:hAnsi="宋体" w:hint="eastAsia"/>
          <w:bCs/>
          <w:szCs w:val="24"/>
        </w:rPr>
        <w:t>本</w:t>
      </w:r>
      <w:r>
        <w:rPr>
          <w:rFonts w:hAnsi="宋体" w:hint="eastAsia"/>
          <w:szCs w:val="24"/>
        </w:rPr>
        <w:t>基金管理人管理的全部基金投资于同一原始权益人的各类资产支持证券，不得超过其各类资产支持证券合计规模的</w:t>
      </w:r>
      <w:r>
        <w:rPr>
          <w:rFonts w:hAnsi="宋体" w:hint="eastAsia"/>
          <w:szCs w:val="24"/>
        </w:rPr>
        <w:t>10%</w:t>
      </w:r>
      <w:r>
        <w:rPr>
          <w:rFonts w:hAnsi="宋体" w:hint="eastAsia"/>
          <w:szCs w:val="24"/>
        </w:rPr>
        <w:t>；</w:t>
      </w:r>
    </w:p>
    <w:p w:rsidR="00BA1358" w:rsidRDefault="00BA1358" w:rsidP="00BA1358">
      <w:pPr>
        <w:pStyle w:val="aa"/>
        <w:spacing w:after="78"/>
        <w:ind w:firstLine="480"/>
        <w:rPr>
          <w:rFonts w:hAnsi="宋体" w:hint="eastAsia"/>
        </w:rPr>
      </w:pPr>
      <w:r>
        <w:rPr>
          <w:rFonts w:hAnsi="宋体" w:hint="eastAsia"/>
        </w:rPr>
        <w:lastRenderedPageBreak/>
        <w:t>（</w:t>
      </w:r>
      <w:r>
        <w:rPr>
          <w:rFonts w:hAnsi="宋体" w:hint="eastAsia"/>
        </w:rPr>
        <w:t>12</w:t>
      </w:r>
      <w:r>
        <w:rPr>
          <w:rFonts w:hAnsi="宋体" w:hint="eastAsia"/>
        </w:rPr>
        <w:t>）</w:t>
      </w:r>
      <w:r>
        <w:rPr>
          <w:rFonts w:hAnsi="宋体" w:hint="eastAsia"/>
          <w:bCs/>
          <w:szCs w:val="24"/>
        </w:rPr>
        <w:t>本</w:t>
      </w:r>
      <w:r>
        <w:rPr>
          <w:rFonts w:hAnsi="宋体" w:hint="eastAsia"/>
        </w:rPr>
        <w:t>基金应投资于信用级别评级为</w:t>
      </w:r>
      <w:r>
        <w:rPr>
          <w:rFonts w:hAnsi="宋体" w:hint="eastAsia"/>
        </w:rPr>
        <w:t>BBB</w:t>
      </w:r>
      <w:r>
        <w:rPr>
          <w:rFonts w:hAnsi="宋体" w:hint="eastAsia"/>
        </w:rPr>
        <w:t>以上</w:t>
      </w:r>
      <w:r>
        <w:rPr>
          <w:rFonts w:hAnsi="宋体" w:hint="eastAsia"/>
        </w:rPr>
        <w:t>(</w:t>
      </w:r>
      <w:r>
        <w:rPr>
          <w:rFonts w:hAnsi="宋体" w:hint="eastAsia"/>
        </w:rPr>
        <w:t>含</w:t>
      </w:r>
      <w:r>
        <w:rPr>
          <w:rFonts w:hAnsi="宋体" w:hint="eastAsia"/>
        </w:rPr>
        <w:t>BBB)</w:t>
      </w:r>
      <w:r>
        <w:rPr>
          <w:rFonts w:hAnsi="宋体" w:hint="eastAsia"/>
        </w:rPr>
        <w:t>的资产支持证券。基金持有资产支持证券期间，如果其信用等级下降、不再符合投资标准，应在评级报告发布之日起</w:t>
      </w:r>
      <w:r>
        <w:rPr>
          <w:rFonts w:hAnsi="宋体" w:hint="eastAsia"/>
        </w:rPr>
        <w:t>3</w:t>
      </w:r>
      <w:r>
        <w:rPr>
          <w:rFonts w:hAnsi="宋体" w:hint="eastAsia"/>
        </w:rPr>
        <w:t>个月内予以全部卖出；</w:t>
      </w:r>
    </w:p>
    <w:p w:rsidR="00BA1358" w:rsidRDefault="00BA1358" w:rsidP="00BA1358">
      <w:pPr>
        <w:pStyle w:val="aa"/>
        <w:spacing w:after="78"/>
        <w:ind w:firstLine="480"/>
        <w:rPr>
          <w:rFonts w:hAnsi="宋体" w:hint="eastAsia"/>
        </w:rPr>
      </w:pPr>
      <w:r>
        <w:rPr>
          <w:rFonts w:hAnsi="宋体" w:hint="eastAsia"/>
        </w:rPr>
        <w:t>（</w:t>
      </w:r>
      <w:r>
        <w:rPr>
          <w:rFonts w:hAnsi="宋体" w:hint="eastAsia"/>
        </w:rPr>
        <w:t>13</w:t>
      </w:r>
      <w:r>
        <w:rPr>
          <w:rFonts w:hAnsi="宋体" w:hint="eastAsia"/>
        </w:rPr>
        <w:t>）基金财产参与股票发行申购，</w:t>
      </w:r>
      <w:r>
        <w:rPr>
          <w:rFonts w:hint="eastAsia"/>
          <w:bCs/>
          <w:szCs w:val="24"/>
        </w:rPr>
        <w:t>本</w:t>
      </w:r>
      <w:r>
        <w:rPr>
          <w:rFonts w:hAnsi="宋体" w:hint="eastAsia"/>
        </w:rPr>
        <w:t>基金所申报的金额不超过</w:t>
      </w:r>
      <w:r>
        <w:rPr>
          <w:rFonts w:hint="eastAsia"/>
          <w:bCs/>
          <w:szCs w:val="24"/>
        </w:rPr>
        <w:t>本</w:t>
      </w:r>
      <w:r>
        <w:rPr>
          <w:rFonts w:hAnsi="宋体" w:hint="eastAsia"/>
        </w:rPr>
        <w:t>基金的总资产，</w:t>
      </w:r>
      <w:r>
        <w:rPr>
          <w:rFonts w:hint="eastAsia"/>
          <w:bCs/>
          <w:szCs w:val="24"/>
        </w:rPr>
        <w:t>本</w:t>
      </w:r>
      <w:r>
        <w:rPr>
          <w:rFonts w:hAnsi="宋体" w:hint="eastAsia"/>
        </w:rPr>
        <w:t>基金所申报的股票数量不超过拟发行股票公司本次发行股票的总量；</w:t>
      </w:r>
    </w:p>
    <w:p w:rsidR="00BA1358" w:rsidRDefault="00BA1358" w:rsidP="00BA1358">
      <w:pPr>
        <w:pStyle w:val="aa"/>
        <w:spacing w:after="78"/>
        <w:ind w:firstLine="480"/>
        <w:rPr>
          <w:rFonts w:hAnsi="宋体" w:hint="eastAsia"/>
        </w:rPr>
      </w:pPr>
      <w:r>
        <w:rPr>
          <w:rFonts w:hAnsi="宋体" w:hint="eastAsia"/>
        </w:rPr>
        <w:t>（</w:t>
      </w:r>
      <w:r>
        <w:rPr>
          <w:rFonts w:hAnsi="宋体" w:hint="eastAsia"/>
        </w:rPr>
        <w:t>14</w:t>
      </w:r>
      <w:r>
        <w:rPr>
          <w:rFonts w:hAnsi="宋体" w:hint="eastAsia"/>
        </w:rPr>
        <w:t>）</w:t>
      </w:r>
      <w:r>
        <w:rPr>
          <w:rFonts w:hint="eastAsia"/>
          <w:bCs/>
          <w:szCs w:val="24"/>
        </w:rPr>
        <w:t>本</w:t>
      </w:r>
      <w:r>
        <w:rPr>
          <w:rFonts w:hAnsi="宋体" w:hint="eastAsia"/>
        </w:rPr>
        <w:t>基金进入全国银行间同业市场进行债券回购的资金余额不得超过基金资产净值的</w:t>
      </w:r>
      <w:r>
        <w:rPr>
          <w:rFonts w:hAnsi="宋体" w:hint="eastAsia"/>
        </w:rPr>
        <w:t>40%</w:t>
      </w:r>
      <w:r>
        <w:rPr>
          <w:rFonts w:hAnsi="宋体" w:hint="eastAsia"/>
        </w:rPr>
        <w:t>；债券回购最长期限为</w:t>
      </w:r>
      <w:r>
        <w:rPr>
          <w:rFonts w:hAnsi="宋体" w:hint="eastAsia"/>
        </w:rPr>
        <w:t>1</w:t>
      </w:r>
      <w:r>
        <w:rPr>
          <w:rFonts w:hAnsi="宋体" w:hint="eastAsia"/>
        </w:rPr>
        <w:t>年，债券回购到期后不得展期；</w:t>
      </w:r>
      <w:r>
        <w:rPr>
          <w:rFonts w:hAnsi="宋体" w:hint="eastAsia"/>
        </w:rPr>
        <w:t xml:space="preserve"> </w:t>
      </w:r>
    </w:p>
    <w:p w:rsidR="00BA1358" w:rsidRDefault="00BA1358" w:rsidP="00BA1358">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Pr>
          <w:rFonts w:hAnsi="宋体" w:hint="eastAsia"/>
          <w:bCs/>
          <w:sz w:val="24"/>
          <w:szCs w:val="24"/>
        </w:rPr>
        <w:t>本</w:t>
      </w:r>
      <w:r>
        <w:rPr>
          <w:rFonts w:hint="eastAsia"/>
          <w:bCs/>
          <w:sz w:val="24"/>
        </w:rPr>
        <w:t>基金若投资股指期货，则：</w:t>
      </w:r>
    </w:p>
    <w:p w:rsidR="00BA1358" w:rsidRDefault="00BA1358" w:rsidP="00BA1358">
      <w:pPr>
        <w:spacing w:line="360" w:lineRule="auto"/>
        <w:ind w:firstLineChars="200" w:firstLine="480"/>
        <w:rPr>
          <w:bCs/>
          <w:sz w:val="24"/>
        </w:rPr>
      </w:pPr>
      <w:r>
        <w:rPr>
          <w:rFonts w:hint="eastAsia"/>
          <w:bCs/>
          <w:sz w:val="24"/>
        </w:rPr>
        <w:t>1</w:t>
      </w:r>
      <w:r>
        <w:rPr>
          <w:bCs/>
          <w:sz w:val="24"/>
        </w:rPr>
        <w:t>）</w:t>
      </w:r>
      <w:r>
        <w:rPr>
          <w:rFonts w:hAnsi="宋体" w:hint="eastAsia"/>
          <w:bCs/>
          <w:sz w:val="24"/>
          <w:szCs w:val="24"/>
        </w:rPr>
        <w:t>本</w:t>
      </w:r>
      <w:r>
        <w:rPr>
          <w:rFonts w:hint="eastAsia"/>
          <w:bCs/>
          <w:sz w:val="24"/>
        </w:rPr>
        <w:t>基金在任何交易日日终，持有的买入股指期货合约价值，不得超过基金资产净值的</w:t>
      </w:r>
      <w:r>
        <w:rPr>
          <w:bCs/>
          <w:sz w:val="24"/>
        </w:rPr>
        <w:t>10%</w:t>
      </w:r>
      <w:r>
        <w:rPr>
          <w:rFonts w:hint="eastAsia"/>
          <w:bCs/>
          <w:sz w:val="24"/>
        </w:rPr>
        <w:t>；</w:t>
      </w:r>
    </w:p>
    <w:p w:rsidR="00BA1358" w:rsidRDefault="00BA1358" w:rsidP="00BA1358">
      <w:pPr>
        <w:spacing w:line="360" w:lineRule="auto"/>
        <w:ind w:firstLineChars="200" w:firstLine="480"/>
        <w:rPr>
          <w:bCs/>
          <w:sz w:val="24"/>
        </w:rPr>
      </w:pPr>
      <w:r>
        <w:rPr>
          <w:rFonts w:hint="eastAsia"/>
          <w:bCs/>
          <w:sz w:val="24"/>
        </w:rPr>
        <w:t>2</w:t>
      </w:r>
      <w:r>
        <w:rPr>
          <w:bCs/>
          <w:sz w:val="24"/>
        </w:rPr>
        <w:t>）</w:t>
      </w:r>
      <w:r>
        <w:rPr>
          <w:rFonts w:hAnsi="宋体" w:hint="eastAsia"/>
          <w:bCs/>
          <w:sz w:val="24"/>
          <w:szCs w:val="24"/>
        </w:rPr>
        <w:t>本</w:t>
      </w:r>
      <w:r>
        <w:rPr>
          <w:rFonts w:hint="eastAsia"/>
          <w:bCs/>
          <w:sz w:val="24"/>
        </w:rPr>
        <w:t>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rsidR="00BA1358" w:rsidRDefault="00BA1358" w:rsidP="00BA1358">
      <w:pPr>
        <w:spacing w:line="360" w:lineRule="auto"/>
        <w:ind w:firstLineChars="200" w:firstLine="480"/>
        <w:rPr>
          <w:bCs/>
          <w:sz w:val="24"/>
        </w:rPr>
      </w:pPr>
      <w:r>
        <w:rPr>
          <w:rFonts w:hint="eastAsia"/>
          <w:bCs/>
          <w:sz w:val="24"/>
        </w:rPr>
        <w:t>3</w:t>
      </w:r>
      <w:r>
        <w:rPr>
          <w:bCs/>
          <w:sz w:val="24"/>
        </w:rPr>
        <w:t>）</w:t>
      </w:r>
      <w:r>
        <w:rPr>
          <w:rFonts w:hAnsi="宋体" w:hint="eastAsia"/>
          <w:bCs/>
          <w:sz w:val="24"/>
          <w:szCs w:val="24"/>
        </w:rPr>
        <w:t>本</w:t>
      </w:r>
      <w:r>
        <w:rPr>
          <w:rFonts w:hint="eastAsia"/>
          <w:bCs/>
          <w:sz w:val="24"/>
        </w:rPr>
        <w:t>基金在任何交易日日终，持有的卖出期货合约价值不得超过基金持有的股票总市值的</w:t>
      </w:r>
      <w:r>
        <w:rPr>
          <w:bCs/>
          <w:sz w:val="24"/>
        </w:rPr>
        <w:t>20%</w:t>
      </w:r>
      <w:r>
        <w:rPr>
          <w:rFonts w:hint="eastAsia"/>
          <w:bCs/>
          <w:sz w:val="24"/>
        </w:rPr>
        <w:t>；</w:t>
      </w:r>
    </w:p>
    <w:p w:rsidR="00BA1358" w:rsidRDefault="00BA1358" w:rsidP="00BA1358">
      <w:pPr>
        <w:spacing w:line="360" w:lineRule="auto"/>
        <w:ind w:firstLineChars="200" w:firstLine="480"/>
        <w:rPr>
          <w:bCs/>
          <w:sz w:val="24"/>
        </w:rPr>
      </w:pPr>
      <w:r>
        <w:rPr>
          <w:rFonts w:hint="eastAsia"/>
          <w:bCs/>
          <w:sz w:val="24"/>
        </w:rPr>
        <w:t>4</w:t>
      </w:r>
      <w:r>
        <w:rPr>
          <w:bCs/>
          <w:sz w:val="24"/>
        </w:rPr>
        <w:t>）</w:t>
      </w:r>
      <w:r>
        <w:rPr>
          <w:rFonts w:hAnsi="宋体" w:hint="eastAsia"/>
          <w:bCs/>
          <w:sz w:val="24"/>
          <w:szCs w:val="24"/>
        </w:rPr>
        <w:t>本</w:t>
      </w:r>
      <w:r>
        <w:rPr>
          <w:rFonts w:hint="eastAsia"/>
          <w:bCs/>
          <w:sz w:val="24"/>
        </w:rPr>
        <w:t>基金所持有的股票市值和买入、卖出股指期货合约价值，合计（轧差计算）应当符合基金合同关于股票投资比例的有关约定，即占基金资产的</w:t>
      </w:r>
      <w:r>
        <w:rPr>
          <w:rFonts w:hint="eastAsia"/>
          <w:bCs/>
          <w:sz w:val="24"/>
        </w:rPr>
        <w:t>0</w:t>
      </w:r>
      <w:r>
        <w:rPr>
          <w:bCs/>
          <w:sz w:val="24"/>
        </w:rPr>
        <w:t>%-95%</w:t>
      </w:r>
      <w:r>
        <w:rPr>
          <w:rFonts w:hint="eastAsia"/>
          <w:bCs/>
          <w:sz w:val="24"/>
        </w:rPr>
        <w:t>；</w:t>
      </w:r>
    </w:p>
    <w:p w:rsidR="00BA1358" w:rsidRDefault="00BA1358" w:rsidP="00BA1358">
      <w:pPr>
        <w:spacing w:line="360" w:lineRule="auto"/>
        <w:ind w:firstLineChars="200" w:firstLine="480"/>
        <w:rPr>
          <w:bCs/>
          <w:sz w:val="24"/>
        </w:rPr>
      </w:pPr>
      <w:r>
        <w:rPr>
          <w:rFonts w:hint="eastAsia"/>
          <w:bCs/>
          <w:sz w:val="24"/>
        </w:rPr>
        <w:t>5</w:t>
      </w:r>
      <w:r>
        <w:rPr>
          <w:bCs/>
          <w:sz w:val="24"/>
        </w:rPr>
        <w:t>）</w:t>
      </w:r>
      <w:r>
        <w:rPr>
          <w:rFonts w:hAnsi="宋体" w:hint="eastAsia"/>
          <w:bCs/>
          <w:sz w:val="24"/>
          <w:szCs w:val="24"/>
        </w:rPr>
        <w:t>本</w:t>
      </w:r>
      <w:r>
        <w:rPr>
          <w:rFonts w:hint="eastAsia"/>
          <w:bCs/>
          <w:sz w:val="24"/>
        </w:rPr>
        <w:t>基金在任何交易日内交易（不包括平仓）的股指期货合约的成交金额不得超过上一交易日基金资产净值的</w:t>
      </w:r>
      <w:r>
        <w:rPr>
          <w:bCs/>
          <w:sz w:val="24"/>
        </w:rPr>
        <w:t>20%</w:t>
      </w:r>
      <w:r>
        <w:rPr>
          <w:rFonts w:hint="eastAsia"/>
          <w:bCs/>
          <w:sz w:val="24"/>
        </w:rPr>
        <w:t>；</w:t>
      </w:r>
    </w:p>
    <w:p w:rsidR="00BA1358" w:rsidRDefault="00BA1358" w:rsidP="00BA1358">
      <w:pPr>
        <w:spacing w:line="360" w:lineRule="auto"/>
        <w:ind w:firstLineChars="200" w:firstLine="480"/>
        <w:rPr>
          <w:bCs/>
          <w:sz w:val="24"/>
        </w:rPr>
      </w:pPr>
      <w:r>
        <w:rPr>
          <w:rFonts w:hint="eastAsia"/>
          <w:bCs/>
          <w:sz w:val="24"/>
        </w:rPr>
        <w:t>6</w:t>
      </w:r>
      <w:r>
        <w:rPr>
          <w:bCs/>
          <w:sz w:val="24"/>
        </w:rPr>
        <w:t>）</w:t>
      </w:r>
      <w:r>
        <w:rPr>
          <w:rFonts w:hAnsi="宋体" w:hint="eastAsia"/>
          <w:bCs/>
          <w:sz w:val="24"/>
          <w:szCs w:val="24"/>
        </w:rPr>
        <w:t>本</w:t>
      </w:r>
      <w:r>
        <w:rPr>
          <w:rFonts w:hint="eastAsia"/>
          <w:bCs/>
          <w:sz w:val="24"/>
        </w:rPr>
        <w:t>基金每个交易日日终在扣除股指期货合约需缴纳的交易保证金后，应当保持不低于基金资产净值</w:t>
      </w:r>
      <w:r>
        <w:rPr>
          <w:bCs/>
          <w:sz w:val="24"/>
        </w:rPr>
        <w:t>5%</w:t>
      </w:r>
      <w:r>
        <w:rPr>
          <w:rFonts w:hint="eastAsia"/>
          <w:bCs/>
          <w:sz w:val="24"/>
        </w:rPr>
        <w:t>的现金或到期日在一年以内的政府债券，其中现金不包括结算备付金、存出保证金和应收申购款等。</w:t>
      </w:r>
    </w:p>
    <w:p w:rsidR="00BA1358" w:rsidRDefault="00BA1358" w:rsidP="00BA1358">
      <w:pPr>
        <w:spacing w:line="360" w:lineRule="auto"/>
        <w:ind w:firstLineChars="200" w:firstLine="480"/>
        <w:rPr>
          <w:bCs/>
          <w:sz w:val="24"/>
        </w:rPr>
      </w:pPr>
      <w:r>
        <w:rPr>
          <w:rFonts w:hint="eastAsia"/>
          <w:bCs/>
          <w:sz w:val="24"/>
        </w:rPr>
        <w:t>（</w:t>
      </w:r>
      <w:r>
        <w:rPr>
          <w:bCs/>
          <w:sz w:val="24"/>
        </w:rPr>
        <w:t>16</w:t>
      </w:r>
      <w:r>
        <w:rPr>
          <w:rFonts w:hint="eastAsia"/>
          <w:bCs/>
          <w:sz w:val="24"/>
        </w:rPr>
        <w:t>）本基金持有其他证券投资基金（不含货币市场基金），其市值不得超过基金资产净值的</w:t>
      </w:r>
      <w:r>
        <w:rPr>
          <w:bCs/>
          <w:sz w:val="24"/>
        </w:rPr>
        <w:t>10%</w:t>
      </w:r>
      <w:r>
        <w:rPr>
          <w:rFonts w:hint="eastAsia"/>
          <w:bCs/>
          <w:sz w:val="24"/>
        </w:rPr>
        <w:t>；</w:t>
      </w:r>
    </w:p>
    <w:p w:rsidR="00BA1358" w:rsidRDefault="00BA1358" w:rsidP="00BA1358">
      <w:pPr>
        <w:pStyle w:val="aa"/>
        <w:spacing w:after="78"/>
        <w:ind w:firstLine="480"/>
        <w:rPr>
          <w:rFonts w:hAnsi="宋体" w:hint="eastAsia"/>
        </w:rPr>
      </w:pPr>
      <w:r>
        <w:rPr>
          <w:rFonts w:hAnsi="宋体" w:hint="eastAsia"/>
        </w:rPr>
        <w:t>（</w:t>
      </w:r>
      <w:r>
        <w:rPr>
          <w:rFonts w:hAnsi="宋体" w:hint="eastAsia"/>
        </w:rPr>
        <w:t>17</w:t>
      </w:r>
      <w:r>
        <w:rPr>
          <w:rFonts w:hAnsi="宋体" w:hint="eastAsia"/>
        </w:rPr>
        <w:t>）</w:t>
      </w:r>
      <w:r>
        <w:rPr>
          <w:rFonts w:hAnsi="宋体" w:hint="eastAsia"/>
          <w:bCs/>
          <w:szCs w:val="24"/>
        </w:rPr>
        <w:t>本</w:t>
      </w:r>
      <w:r>
        <w:rPr>
          <w:rFonts w:hAnsi="宋体" w:hint="eastAsia"/>
        </w:rPr>
        <w:t>基金的基金资产总值不得超过基金资产净值的</w:t>
      </w:r>
      <w:r>
        <w:rPr>
          <w:rFonts w:hAnsi="宋体" w:hint="eastAsia"/>
        </w:rPr>
        <w:t>140%</w:t>
      </w:r>
      <w:r>
        <w:rPr>
          <w:rFonts w:hAnsi="宋体" w:hint="eastAsia"/>
        </w:rPr>
        <w:t>；</w:t>
      </w:r>
    </w:p>
    <w:p w:rsidR="00BA1358" w:rsidRDefault="00BA1358" w:rsidP="00BA1358">
      <w:pPr>
        <w:pStyle w:val="aa"/>
        <w:spacing w:after="78"/>
        <w:ind w:firstLine="480"/>
        <w:rPr>
          <w:rFonts w:hAnsi="宋体" w:hint="eastAsia"/>
        </w:rPr>
      </w:pPr>
      <w:r>
        <w:rPr>
          <w:rFonts w:hAnsi="宋体" w:hint="eastAsia"/>
        </w:rPr>
        <w:t>（</w:t>
      </w:r>
      <w:r>
        <w:rPr>
          <w:rFonts w:hAnsi="宋体" w:hint="eastAsia"/>
        </w:rPr>
        <w:t>18</w:t>
      </w:r>
      <w:r>
        <w:rPr>
          <w:rFonts w:hAnsi="宋体" w:hint="eastAsia"/>
        </w:rPr>
        <w:t>）基金投资流通受限证券，基金管理人应事先根据中国证监会相关规定，与基金托管人</w:t>
      </w:r>
      <w:r>
        <w:rPr>
          <w:rFonts w:hint="eastAsia"/>
          <w:szCs w:val="24"/>
        </w:rPr>
        <w:t>在基金托管协议中明确基金投资流通受限证券的比例，根据比例进行投资</w:t>
      </w:r>
      <w:r>
        <w:rPr>
          <w:rFonts w:hAnsi="宋体" w:hint="eastAsia"/>
        </w:rPr>
        <w:t>。基金管理人应制订严格的投资决策流程和风险控制制度，防范流动性风</w:t>
      </w:r>
      <w:r>
        <w:rPr>
          <w:rFonts w:hAnsi="宋体" w:hint="eastAsia"/>
        </w:rPr>
        <w:lastRenderedPageBreak/>
        <w:t>险、法律风险和操作风险等各种风险；</w:t>
      </w:r>
    </w:p>
    <w:p w:rsidR="00BA1358" w:rsidRDefault="00BA1358" w:rsidP="00BA1358">
      <w:pPr>
        <w:pStyle w:val="aa"/>
        <w:spacing w:after="78"/>
        <w:ind w:firstLine="480"/>
        <w:rPr>
          <w:rFonts w:hAnsi="宋体" w:hint="eastAsia"/>
          <w:bCs/>
        </w:rPr>
      </w:pPr>
      <w:r>
        <w:rPr>
          <w:rFonts w:hAnsi="宋体" w:hint="eastAsia"/>
        </w:rPr>
        <w:t>（</w:t>
      </w:r>
      <w:r>
        <w:rPr>
          <w:rFonts w:hAnsi="宋体" w:hint="eastAsia"/>
        </w:rPr>
        <w:t>19</w:t>
      </w:r>
      <w:r>
        <w:rPr>
          <w:rFonts w:hAnsi="宋体" w:hint="eastAsia"/>
        </w:rPr>
        <w:t>）</w:t>
      </w:r>
      <w:r>
        <w:rPr>
          <w:rFonts w:hint="eastAsia"/>
          <w:bCs/>
          <w:szCs w:val="24"/>
        </w:rPr>
        <w:t>本</w:t>
      </w:r>
      <w:r>
        <w:rPr>
          <w:rFonts w:hAnsi="宋体" w:hint="eastAsia"/>
          <w:bCs/>
        </w:rPr>
        <w:t>基金管理人管理的全部开放式基金（包括开放式基金以及处于开放期的定期开放基金）持有一家上市公司发行的可流通股票，不得超过该上市公司可流通股票的</w:t>
      </w:r>
      <w:r>
        <w:rPr>
          <w:rFonts w:hAnsi="宋体" w:hint="eastAsia"/>
          <w:bCs/>
        </w:rPr>
        <w:t>15%</w:t>
      </w:r>
      <w:r>
        <w:rPr>
          <w:rFonts w:hAnsi="宋体" w:hint="eastAsia"/>
          <w:bCs/>
        </w:rPr>
        <w:t>；</w:t>
      </w:r>
      <w:r>
        <w:rPr>
          <w:rFonts w:hint="eastAsia"/>
          <w:bCs/>
          <w:szCs w:val="24"/>
        </w:rPr>
        <w:t>本</w:t>
      </w:r>
      <w:r>
        <w:rPr>
          <w:rFonts w:hAnsi="宋体" w:hint="eastAsia"/>
          <w:bCs/>
        </w:rPr>
        <w:t>基金管理人管理的全部投资组合持有一家上市公司发行的可流通股票，不得超过该上市公司可流通股票的</w:t>
      </w:r>
      <w:r>
        <w:rPr>
          <w:rFonts w:hAnsi="宋体" w:hint="eastAsia"/>
          <w:bCs/>
        </w:rPr>
        <w:t>30%</w:t>
      </w:r>
      <w:r>
        <w:rPr>
          <w:rFonts w:hAnsi="宋体" w:hint="eastAsia"/>
          <w:bCs/>
        </w:rPr>
        <w:t>；</w:t>
      </w:r>
    </w:p>
    <w:p w:rsidR="00BA1358" w:rsidRDefault="00BA1358" w:rsidP="00BA1358">
      <w:pPr>
        <w:pStyle w:val="aa"/>
        <w:spacing w:after="78"/>
        <w:ind w:firstLine="480"/>
        <w:rPr>
          <w:rFonts w:hAnsi="宋体" w:hint="eastAsia"/>
          <w:bCs/>
        </w:rPr>
      </w:pPr>
      <w:r>
        <w:rPr>
          <w:rFonts w:hAnsi="宋体" w:hint="eastAsia"/>
          <w:bCs/>
        </w:rPr>
        <w:t>（</w:t>
      </w:r>
      <w:r>
        <w:rPr>
          <w:rFonts w:hAnsi="宋体" w:hint="eastAsia"/>
          <w:bCs/>
        </w:rPr>
        <w:t>20</w:t>
      </w:r>
      <w:r>
        <w:rPr>
          <w:rFonts w:hAnsi="宋体" w:hint="eastAsia"/>
          <w:bCs/>
        </w:rPr>
        <w:t>）</w:t>
      </w:r>
      <w:r>
        <w:rPr>
          <w:rFonts w:hint="eastAsia"/>
          <w:bCs/>
          <w:szCs w:val="24"/>
        </w:rPr>
        <w:t>本</w:t>
      </w:r>
      <w:r>
        <w:rPr>
          <w:rFonts w:hAnsi="宋体" w:hint="eastAsia"/>
          <w:bCs/>
        </w:rPr>
        <w:t>基金主动投资于流动性受限资产的市值合计不得超过基金资产净值的</w:t>
      </w:r>
      <w:r>
        <w:rPr>
          <w:rFonts w:hAnsi="宋体" w:hint="eastAsia"/>
          <w:bCs/>
        </w:rPr>
        <w:t>15%</w:t>
      </w:r>
      <w:r>
        <w:rPr>
          <w:rFonts w:hAnsi="宋体" w:hint="eastAsia"/>
          <w:bCs/>
        </w:rPr>
        <w:t>；因证券市场波动、上市公司股票停牌、基金规模变动等基金管理人之外的因素致使基金不符合该比例限制的，基金管理人不得主动新增流动性受限资产的投资；</w:t>
      </w:r>
    </w:p>
    <w:p w:rsidR="00BA1358" w:rsidRDefault="00BA1358" w:rsidP="00BA1358">
      <w:pPr>
        <w:pStyle w:val="aa"/>
        <w:spacing w:after="78"/>
        <w:ind w:firstLine="480"/>
        <w:rPr>
          <w:rFonts w:hAnsi="宋体" w:hint="eastAsia"/>
          <w:bCs/>
        </w:rPr>
      </w:pPr>
      <w:r>
        <w:rPr>
          <w:rFonts w:hAnsi="宋体" w:hint="eastAsia"/>
          <w:bCs/>
        </w:rPr>
        <w:t>（</w:t>
      </w:r>
      <w:r>
        <w:rPr>
          <w:rFonts w:hAnsi="宋体" w:hint="eastAsia"/>
          <w:bCs/>
        </w:rPr>
        <w:t>21</w:t>
      </w:r>
      <w:r>
        <w:rPr>
          <w:rFonts w:hAnsi="宋体" w:hint="eastAsia"/>
          <w:bCs/>
        </w:rPr>
        <w:t>）</w:t>
      </w:r>
      <w:r>
        <w:rPr>
          <w:rFonts w:hint="eastAsia"/>
          <w:bCs/>
          <w:szCs w:val="24"/>
        </w:rPr>
        <w:t>本</w:t>
      </w:r>
      <w:r>
        <w:rPr>
          <w:rFonts w:hAnsi="宋体" w:hint="eastAsia"/>
          <w:bCs/>
        </w:rPr>
        <w:t>基金与私募类证券资管产品及中国证监会认定的其他主体为交易对手开展逆回购交易的，可接受质押品的资质要求应当与基金合同约定的投资范围保持一致；</w:t>
      </w:r>
    </w:p>
    <w:p w:rsidR="00BA1358" w:rsidRDefault="00BA1358" w:rsidP="00BA1358">
      <w:pPr>
        <w:pStyle w:val="aa"/>
        <w:spacing w:after="78"/>
        <w:ind w:firstLine="480"/>
        <w:rPr>
          <w:rFonts w:hAnsi="宋体" w:hint="eastAsia"/>
        </w:rPr>
      </w:pPr>
      <w:r>
        <w:rPr>
          <w:rFonts w:hAnsi="宋体" w:hint="eastAsia"/>
          <w:bCs/>
        </w:rPr>
        <w:t>（</w:t>
      </w:r>
      <w:r>
        <w:rPr>
          <w:rFonts w:hAnsi="宋体" w:hint="eastAsia"/>
          <w:bCs/>
        </w:rPr>
        <w:t>22</w:t>
      </w:r>
      <w:r>
        <w:rPr>
          <w:rFonts w:hAnsi="宋体" w:hint="eastAsia"/>
          <w:bCs/>
        </w:rPr>
        <w:t>）</w:t>
      </w:r>
      <w:r>
        <w:rPr>
          <w:rFonts w:hAnsi="宋体" w:hint="eastAsia"/>
        </w:rPr>
        <w:t>法律法规及中国证监会规定的和《基金合同》约定的其他投资限制。</w:t>
      </w:r>
    </w:p>
    <w:p w:rsidR="00BA1358" w:rsidRDefault="00BA1358" w:rsidP="00BA1358">
      <w:pPr>
        <w:pStyle w:val="aa"/>
        <w:spacing w:after="78"/>
        <w:ind w:firstLine="480"/>
        <w:rPr>
          <w:rFonts w:hAnsi="宋体" w:hint="eastAsia"/>
        </w:rPr>
      </w:pPr>
      <w:r>
        <w:rPr>
          <w:rFonts w:hAnsi="宋体" w:hint="eastAsia"/>
        </w:rPr>
        <w:t>本基金自变更之日起不超过</w:t>
      </w:r>
      <w:r>
        <w:rPr>
          <w:rFonts w:hAnsi="宋体" w:hint="eastAsia"/>
        </w:rPr>
        <w:t>3</w:t>
      </w:r>
      <w:r>
        <w:rPr>
          <w:rFonts w:hAnsi="宋体" w:hint="eastAsia"/>
        </w:rPr>
        <w:t>个月的时间区间内为其投资转型期，投资转型期的具体起止日期由基金管理人确定并届时公告。基金管理人应当自投资转型期结束日起次个工作日使</w:t>
      </w:r>
      <w:r>
        <w:rPr>
          <w:rFonts w:hAnsi="宋体" w:hint="eastAsia"/>
          <w:bCs/>
          <w:szCs w:val="24"/>
        </w:rPr>
        <w:t>本</w:t>
      </w:r>
      <w:r>
        <w:rPr>
          <w:rFonts w:hAnsi="宋体" w:hint="eastAsia"/>
        </w:rPr>
        <w:t>基金的投资组合比例符合基金合同的有关约定。</w:t>
      </w:r>
    </w:p>
    <w:p w:rsidR="00BA1358" w:rsidRDefault="00BA1358" w:rsidP="00BA1358">
      <w:pPr>
        <w:spacing w:line="360" w:lineRule="auto"/>
        <w:ind w:firstLineChars="200" w:firstLine="480"/>
        <w:rPr>
          <w:rFonts w:hint="eastAsia"/>
          <w:bCs/>
          <w:sz w:val="24"/>
        </w:rPr>
      </w:pPr>
      <w:r>
        <w:rPr>
          <w:rFonts w:hint="eastAsia"/>
          <w:bCs/>
          <w:sz w:val="24"/>
        </w:rPr>
        <w:t>除上述第（</w:t>
      </w:r>
      <w:r>
        <w:rPr>
          <w:rFonts w:hint="eastAsia"/>
          <w:bCs/>
          <w:sz w:val="24"/>
        </w:rPr>
        <w:t>2</w:t>
      </w:r>
      <w:r>
        <w:rPr>
          <w:rFonts w:hint="eastAsia"/>
          <w:bCs/>
          <w:sz w:val="24"/>
        </w:rPr>
        <w:t>）、（</w:t>
      </w:r>
      <w:r>
        <w:rPr>
          <w:rFonts w:hint="eastAsia"/>
          <w:bCs/>
          <w:sz w:val="24"/>
        </w:rPr>
        <w:t>12</w:t>
      </w:r>
      <w:r>
        <w:rPr>
          <w:rFonts w:hint="eastAsia"/>
          <w:bCs/>
          <w:sz w:val="24"/>
        </w:rPr>
        <w:t>）、（</w:t>
      </w:r>
      <w:r>
        <w:rPr>
          <w:rFonts w:hint="eastAsia"/>
          <w:bCs/>
          <w:sz w:val="24"/>
        </w:rPr>
        <w:t>15</w:t>
      </w:r>
      <w:r>
        <w:rPr>
          <w:rFonts w:hint="eastAsia"/>
          <w:bCs/>
          <w:sz w:val="24"/>
        </w:rPr>
        <w:t>）项第</w:t>
      </w:r>
      <w:r>
        <w:rPr>
          <w:rFonts w:hint="eastAsia"/>
          <w:bCs/>
          <w:sz w:val="24"/>
        </w:rPr>
        <w:t>6</w:t>
      </w:r>
      <w:r>
        <w:rPr>
          <w:rFonts w:hint="eastAsia"/>
          <w:bCs/>
          <w:sz w:val="24"/>
        </w:rPr>
        <w:t>）目、（</w:t>
      </w:r>
      <w:r>
        <w:rPr>
          <w:rFonts w:hint="eastAsia"/>
          <w:bCs/>
          <w:sz w:val="24"/>
        </w:rPr>
        <w:t>20</w:t>
      </w:r>
      <w:r>
        <w:rPr>
          <w:rFonts w:hint="eastAsia"/>
          <w:bCs/>
          <w:sz w:val="24"/>
        </w:rPr>
        <w:t>）、（</w:t>
      </w:r>
      <w:r>
        <w:rPr>
          <w:rFonts w:hint="eastAsia"/>
          <w:bCs/>
          <w:sz w:val="24"/>
        </w:rPr>
        <w:t>21</w:t>
      </w:r>
      <w:r>
        <w:rPr>
          <w:rFonts w:hint="eastAsia"/>
          <w:bCs/>
          <w:sz w:val="24"/>
        </w:rPr>
        <w:t>）项以外，因证券、期货市场波动、证券发行人合并、基金规模变动、股权分置改革中支付对价等基金管理人之外的因素致使基金投资比例不符合上述规定投资比例的，基金管理人应当在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BA1358" w:rsidRDefault="00BA1358" w:rsidP="00BA1358">
      <w:pPr>
        <w:spacing w:line="360" w:lineRule="auto"/>
        <w:ind w:firstLineChars="200" w:firstLine="480"/>
        <w:rPr>
          <w:rFonts w:hint="eastAsia"/>
          <w:bCs/>
          <w:sz w:val="24"/>
        </w:rPr>
      </w:pPr>
      <w:r>
        <w:rPr>
          <w:rFonts w:hint="eastAsia"/>
          <w:bCs/>
          <w:sz w:val="24"/>
        </w:rPr>
        <w:t>法律法规对上述投资组合比例限制进行变更的，以变更后的规定为准。法律法规或监管部门取消上述限制，如适用于</w:t>
      </w:r>
      <w:r>
        <w:rPr>
          <w:rFonts w:hAnsi="宋体" w:hint="eastAsia"/>
          <w:bCs/>
          <w:sz w:val="24"/>
          <w:szCs w:val="24"/>
        </w:rPr>
        <w:t>本</w:t>
      </w:r>
      <w:r>
        <w:rPr>
          <w:rFonts w:hint="eastAsia"/>
          <w:bCs/>
          <w:sz w:val="24"/>
        </w:rPr>
        <w:t>基金，基金管理人在履行适当程序后，则</w:t>
      </w:r>
      <w:r>
        <w:rPr>
          <w:rFonts w:hAnsi="宋体" w:hint="eastAsia"/>
          <w:bCs/>
          <w:sz w:val="24"/>
          <w:szCs w:val="24"/>
        </w:rPr>
        <w:t>本</w:t>
      </w:r>
      <w:r>
        <w:rPr>
          <w:rFonts w:hint="eastAsia"/>
          <w:bCs/>
          <w:sz w:val="24"/>
        </w:rPr>
        <w:t>基金投资不再受相关限制。</w:t>
      </w:r>
    </w:p>
    <w:p w:rsidR="00BA1358" w:rsidRDefault="00BA1358" w:rsidP="00BA1358">
      <w:pPr>
        <w:spacing w:line="360" w:lineRule="auto"/>
        <w:ind w:firstLineChars="200" w:firstLine="480"/>
        <w:rPr>
          <w:rFonts w:hint="eastAsia"/>
          <w:bCs/>
          <w:sz w:val="24"/>
        </w:rPr>
      </w:pPr>
      <w:r>
        <w:rPr>
          <w:rFonts w:hint="eastAsia"/>
          <w:bCs/>
          <w:sz w:val="24"/>
        </w:rPr>
        <w:t>2</w:t>
      </w:r>
      <w:r>
        <w:rPr>
          <w:rFonts w:hint="eastAsia"/>
          <w:bCs/>
          <w:sz w:val="24"/>
        </w:rPr>
        <w:t>、禁止行为</w:t>
      </w:r>
    </w:p>
    <w:p w:rsidR="00BA1358" w:rsidRDefault="00BA1358" w:rsidP="00BA1358">
      <w:pPr>
        <w:spacing w:line="360" w:lineRule="auto"/>
        <w:ind w:firstLineChars="200" w:firstLine="480"/>
        <w:rPr>
          <w:rFonts w:hint="eastAsia"/>
          <w:bCs/>
          <w:sz w:val="24"/>
        </w:rPr>
      </w:pPr>
      <w:r>
        <w:rPr>
          <w:rFonts w:hint="eastAsia"/>
          <w:bCs/>
          <w:sz w:val="24"/>
        </w:rPr>
        <w:t>为维护基金份额持有人的合法权益，基金财产不得用于下列投资或者活动：</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）承销证券；</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）违反规定向他人贷款或者提供担保；</w:t>
      </w:r>
    </w:p>
    <w:p w:rsidR="00BA1358" w:rsidRDefault="00BA1358" w:rsidP="00BA1358">
      <w:pPr>
        <w:spacing w:line="360" w:lineRule="auto"/>
        <w:ind w:firstLineChars="200" w:firstLine="480"/>
        <w:rPr>
          <w:rFonts w:hint="eastAsia"/>
          <w:bCs/>
          <w:sz w:val="24"/>
        </w:rPr>
      </w:pPr>
      <w:r>
        <w:rPr>
          <w:rFonts w:hint="eastAsia"/>
          <w:bCs/>
          <w:sz w:val="24"/>
        </w:rPr>
        <w:lastRenderedPageBreak/>
        <w:t>（</w:t>
      </w:r>
      <w:r>
        <w:rPr>
          <w:rFonts w:hint="eastAsia"/>
          <w:bCs/>
          <w:sz w:val="24"/>
        </w:rPr>
        <w:t>3</w:t>
      </w:r>
      <w:r>
        <w:rPr>
          <w:rFonts w:hint="eastAsia"/>
          <w:bCs/>
          <w:sz w:val="24"/>
        </w:rPr>
        <w:t>）从事承担无限责任的投资；</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）向其基金管理人、基金托管人出资；</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BA1358" w:rsidRDefault="00BA1358" w:rsidP="00BA1358">
      <w:pPr>
        <w:spacing w:line="360" w:lineRule="auto"/>
        <w:ind w:firstLineChars="200" w:firstLine="480"/>
        <w:rPr>
          <w:rFonts w:hint="eastAsia"/>
          <w:bCs/>
          <w:sz w:val="24"/>
        </w:rPr>
      </w:pPr>
      <w:r>
        <w:rPr>
          <w:rFonts w:hint="eastAsia"/>
          <w:bCs/>
          <w:sz w:val="24"/>
        </w:rPr>
        <w:t>如法律、行政法规或监管部门取消上述禁止性规定，如适用于</w:t>
      </w:r>
      <w:r>
        <w:rPr>
          <w:rFonts w:hint="eastAsia"/>
          <w:bCs/>
          <w:szCs w:val="24"/>
        </w:rPr>
        <w:t>本</w:t>
      </w:r>
      <w:r>
        <w:rPr>
          <w:rFonts w:hint="eastAsia"/>
          <w:bCs/>
          <w:sz w:val="24"/>
        </w:rPr>
        <w:t>基金，则履行适当程序后</w:t>
      </w:r>
      <w:r>
        <w:rPr>
          <w:rFonts w:hAnsi="宋体" w:hint="eastAsia"/>
          <w:bCs/>
          <w:sz w:val="24"/>
          <w:szCs w:val="24"/>
        </w:rPr>
        <w:t>本</w:t>
      </w:r>
      <w:r>
        <w:rPr>
          <w:rFonts w:hint="eastAsia"/>
          <w:bCs/>
          <w:sz w:val="24"/>
        </w:rPr>
        <w:t>基金投资不再受相关限制。</w:t>
      </w:r>
    </w:p>
    <w:p w:rsidR="00BA1358" w:rsidRDefault="00BA1358" w:rsidP="00BA1358">
      <w:pPr>
        <w:spacing w:line="360" w:lineRule="auto"/>
        <w:ind w:firstLineChars="200" w:firstLine="480"/>
        <w:rPr>
          <w:rFonts w:hint="eastAsia"/>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A1358" w:rsidRDefault="00BA1358" w:rsidP="00BA1358">
      <w:pPr>
        <w:spacing w:line="360" w:lineRule="auto"/>
        <w:ind w:firstLineChars="200" w:firstLine="480"/>
        <w:rPr>
          <w:rFonts w:hint="eastAsia"/>
          <w:bCs/>
          <w:sz w:val="24"/>
        </w:rPr>
      </w:pPr>
      <w:r>
        <w:rPr>
          <w:rFonts w:hint="eastAsia"/>
          <w:bCs/>
          <w:sz w:val="24"/>
        </w:rPr>
        <w:t>（五）业绩比较基准</w:t>
      </w:r>
    </w:p>
    <w:p w:rsidR="00BA1358" w:rsidRDefault="00BA1358" w:rsidP="00BA1358">
      <w:pPr>
        <w:spacing w:line="360" w:lineRule="auto"/>
        <w:ind w:firstLineChars="200" w:firstLine="480"/>
        <w:rPr>
          <w:bCs/>
          <w:sz w:val="24"/>
        </w:rPr>
      </w:pPr>
      <w:r>
        <w:rPr>
          <w:bCs/>
          <w:sz w:val="24"/>
        </w:rPr>
        <w:t>沪深</w:t>
      </w:r>
      <w:r>
        <w:rPr>
          <w:bCs/>
          <w:sz w:val="24"/>
        </w:rPr>
        <w:t>300</w:t>
      </w:r>
      <w:r>
        <w:rPr>
          <w:bCs/>
          <w:sz w:val="24"/>
        </w:rPr>
        <w:t>指数收益率</w:t>
      </w:r>
      <w:r>
        <w:rPr>
          <w:bCs/>
          <w:sz w:val="24"/>
        </w:rPr>
        <w:t>×50%+</w:t>
      </w:r>
      <w:r>
        <w:rPr>
          <w:bCs/>
          <w:sz w:val="24"/>
        </w:rPr>
        <w:t>中债综合全价指数收益率</w:t>
      </w:r>
      <w:r>
        <w:rPr>
          <w:bCs/>
          <w:sz w:val="24"/>
        </w:rPr>
        <w:t>×50%</w:t>
      </w:r>
    </w:p>
    <w:p w:rsidR="00BA1358" w:rsidRDefault="00BA1358" w:rsidP="00BA1358">
      <w:pPr>
        <w:spacing w:line="360" w:lineRule="auto"/>
        <w:ind w:firstLineChars="200" w:firstLine="480"/>
        <w:rPr>
          <w:bCs/>
          <w:sz w:val="24"/>
        </w:rPr>
      </w:pPr>
      <w:r>
        <w:rPr>
          <w:bCs/>
          <w:sz w:val="24"/>
        </w:rPr>
        <w:t>1</w:t>
      </w:r>
      <w:r>
        <w:rPr>
          <w:bCs/>
          <w:sz w:val="24"/>
        </w:rPr>
        <w:t>、沪深</w:t>
      </w:r>
      <w:r>
        <w:rPr>
          <w:bCs/>
          <w:sz w:val="24"/>
        </w:rPr>
        <w:t>300</w:t>
      </w:r>
      <w:r>
        <w:rPr>
          <w:bCs/>
          <w:sz w:val="24"/>
        </w:rPr>
        <w:t>指数是沪深证券交易所第一次联合发布的反映</w:t>
      </w:r>
      <w:r>
        <w:rPr>
          <w:bCs/>
          <w:sz w:val="24"/>
        </w:rPr>
        <w:t>A</w:t>
      </w:r>
      <w:r>
        <w:rPr>
          <w:bCs/>
          <w:sz w:val="24"/>
        </w:rPr>
        <w:t>股市场整体走势的指数，由中证指数</w:t>
      </w:r>
      <w:r>
        <w:rPr>
          <w:rFonts w:hint="eastAsia"/>
          <w:bCs/>
          <w:sz w:val="24"/>
        </w:rPr>
        <w:t>有限</w:t>
      </w:r>
      <w:r>
        <w:rPr>
          <w:bCs/>
          <w:sz w:val="24"/>
        </w:rPr>
        <w:t>公司编制和维护，是在上海和深圳证券市场中选取</w:t>
      </w:r>
      <w:r>
        <w:rPr>
          <w:bCs/>
          <w:sz w:val="24"/>
        </w:rPr>
        <w:t>300</w:t>
      </w:r>
      <w:r>
        <w:rPr>
          <w:bCs/>
          <w:sz w:val="24"/>
        </w:rPr>
        <w:t>只</w:t>
      </w:r>
      <w:r>
        <w:rPr>
          <w:bCs/>
          <w:sz w:val="24"/>
        </w:rPr>
        <w:t>A</w:t>
      </w:r>
      <w:r>
        <w:rPr>
          <w:bCs/>
          <w:sz w:val="24"/>
        </w:rPr>
        <w:t>股作为样本编制而成。该指数样本对沪深市场的覆盖度高，具有良好的市场代表性，投资者可以方便地从报纸、互联网等财经媒体中获取。沪深</w:t>
      </w:r>
      <w:r>
        <w:rPr>
          <w:bCs/>
          <w:sz w:val="24"/>
        </w:rPr>
        <w:t>300</w:t>
      </w:r>
      <w:r>
        <w:rPr>
          <w:bCs/>
          <w:sz w:val="24"/>
        </w:rPr>
        <w:t>指数引进国际指数编制和管理的经验，编制方法清晰透明，具有独立性和良好的市场流动性；与市场整体表现具有较高的相关度，且指数历史表现强于市场平均收益水平，适合作为</w:t>
      </w:r>
      <w:r>
        <w:rPr>
          <w:rFonts w:hAnsi="宋体" w:hint="eastAsia"/>
          <w:bCs/>
          <w:sz w:val="24"/>
          <w:szCs w:val="24"/>
        </w:rPr>
        <w:t>本</w:t>
      </w:r>
      <w:r>
        <w:rPr>
          <w:bCs/>
          <w:sz w:val="24"/>
        </w:rPr>
        <w:t>基金权益类资产投资的业绩比较基准；</w:t>
      </w:r>
    </w:p>
    <w:p w:rsidR="00BA1358" w:rsidRDefault="00BA1358" w:rsidP="00BA1358">
      <w:pPr>
        <w:spacing w:line="360" w:lineRule="auto"/>
        <w:ind w:firstLineChars="200" w:firstLine="480"/>
        <w:rPr>
          <w:rFonts w:hint="eastAsia"/>
          <w:bCs/>
          <w:sz w:val="24"/>
        </w:rPr>
      </w:pPr>
      <w:r>
        <w:rPr>
          <w:rFonts w:hint="eastAsia"/>
          <w:bCs/>
          <w:sz w:val="24"/>
        </w:rPr>
        <w:t>2</w:t>
      </w:r>
      <w:r>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w:t>
      </w:r>
      <w:r>
        <w:rPr>
          <w:bCs/>
          <w:sz w:val="24"/>
        </w:rPr>
        <w:t>适合</w:t>
      </w:r>
      <w:r>
        <w:rPr>
          <w:rFonts w:hint="eastAsia"/>
          <w:bCs/>
          <w:sz w:val="24"/>
        </w:rPr>
        <w:t>作为</w:t>
      </w:r>
      <w:r>
        <w:rPr>
          <w:rFonts w:hAnsi="宋体" w:hint="eastAsia"/>
          <w:bCs/>
          <w:sz w:val="24"/>
          <w:szCs w:val="24"/>
        </w:rPr>
        <w:t>本</w:t>
      </w:r>
      <w:r>
        <w:rPr>
          <w:rFonts w:hint="eastAsia"/>
          <w:bCs/>
          <w:sz w:val="24"/>
        </w:rPr>
        <w:t>基金</w:t>
      </w:r>
      <w:r>
        <w:rPr>
          <w:bCs/>
          <w:sz w:val="24"/>
        </w:rPr>
        <w:t>固定收益类资产投资的业绩</w:t>
      </w:r>
      <w:r>
        <w:rPr>
          <w:rFonts w:hint="eastAsia"/>
          <w:bCs/>
          <w:sz w:val="24"/>
        </w:rPr>
        <w:t>比较</w:t>
      </w:r>
      <w:r>
        <w:rPr>
          <w:rFonts w:hint="eastAsia"/>
          <w:bCs/>
          <w:sz w:val="24"/>
        </w:rPr>
        <w:lastRenderedPageBreak/>
        <w:t>基准。</w:t>
      </w:r>
    </w:p>
    <w:p w:rsidR="00BA1358" w:rsidRDefault="00BA1358" w:rsidP="00BA1358">
      <w:pPr>
        <w:spacing w:line="360" w:lineRule="auto"/>
        <w:ind w:firstLineChars="200" w:firstLine="480"/>
        <w:rPr>
          <w:rFonts w:hint="eastAsia"/>
          <w:bCs/>
          <w:sz w:val="24"/>
        </w:rPr>
      </w:pPr>
      <w:r>
        <w:rPr>
          <w:bCs/>
          <w:sz w:val="24"/>
        </w:rPr>
        <w:t>根据</w:t>
      </w:r>
      <w:r>
        <w:rPr>
          <w:rFonts w:hAnsi="宋体" w:hint="eastAsia"/>
          <w:bCs/>
          <w:sz w:val="24"/>
          <w:szCs w:val="24"/>
        </w:rPr>
        <w:t>本</w:t>
      </w:r>
      <w:r>
        <w:rPr>
          <w:bCs/>
          <w:sz w:val="24"/>
        </w:rPr>
        <w:t>基金的投资范围和投资比例，选用上述业绩比较基准能够客观、合理地反映</w:t>
      </w:r>
      <w:r>
        <w:rPr>
          <w:rFonts w:hAnsi="宋体" w:hint="eastAsia"/>
          <w:bCs/>
          <w:sz w:val="24"/>
          <w:szCs w:val="24"/>
        </w:rPr>
        <w:t>本</w:t>
      </w:r>
      <w:r>
        <w:rPr>
          <w:bCs/>
          <w:sz w:val="24"/>
        </w:rPr>
        <w:t>基金的风险收益特征</w:t>
      </w:r>
      <w:r>
        <w:rPr>
          <w:rFonts w:hint="eastAsia"/>
          <w:bCs/>
          <w:sz w:val="24"/>
        </w:rPr>
        <w:t>。</w:t>
      </w:r>
    </w:p>
    <w:p w:rsidR="00BA1358" w:rsidRDefault="00BA1358" w:rsidP="00BA1358">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w:t>
      </w:r>
      <w:r>
        <w:rPr>
          <w:rFonts w:hAnsi="宋体" w:hint="eastAsia"/>
          <w:bCs/>
          <w:sz w:val="24"/>
          <w:szCs w:val="24"/>
        </w:rPr>
        <w:t>本</w:t>
      </w:r>
      <w:r>
        <w:rPr>
          <w:rFonts w:hint="eastAsia"/>
          <w:bCs/>
          <w:sz w:val="24"/>
        </w:rPr>
        <w:t>基金风险收益特征的指数，则基金管理人可与基金托管人协商一致后，调整或变更</w:t>
      </w:r>
      <w:r>
        <w:rPr>
          <w:rFonts w:hAnsi="宋体" w:hint="eastAsia"/>
          <w:bCs/>
          <w:sz w:val="24"/>
          <w:szCs w:val="24"/>
        </w:rPr>
        <w:t>本</w:t>
      </w:r>
      <w:r>
        <w:rPr>
          <w:rFonts w:hint="eastAsia"/>
          <w:bCs/>
          <w:sz w:val="24"/>
        </w:rPr>
        <w:t>基金的业绩比较基准并及时公告，而无需召开基金份额持有人大会。</w:t>
      </w:r>
    </w:p>
    <w:p w:rsidR="00BA1358" w:rsidRDefault="00BA1358" w:rsidP="00BA1358">
      <w:pPr>
        <w:pStyle w:val="aa"/>
        <w:spacing w:after="78"/>
        <w:ind w:firstLine="480"/>
        <w:rPr>
          <w:rFonts w:hAnsi="宋体" w:hint="eastAsia"/>
        </w:rPr>
      </w:pPr>
    </w:p>
    <w:p w:rsidR="00BA1358" w:rsidRDefault="00BA1358" w:rsidP="00BA1358">
      <w:pPr>
        <w:pStyle w:val="aa"/>
        <w:spacing w:after="78"/>
        <w:ind w:firstLine="482"/>
        <w:rPr>
          <w:b/>
        </w:rPr>
      </w:pPr>
      <w:r>
        <w:rPr>
          <w:rFonts w:hAnsi="宋体"/>
          <w:b/>
        </w:rPr>
        <w:t>六、基金资产净值的计算方法和公告方式</w:t>
      </w:r>
    </w:p>
    <w:p w:rsidR="00BA1358" w:rsidRDefault="00BA1358" w:rsidP="00BA1358">
      <w:pPr>
        <w:pStyle w:val="aa"/>
        <w:spacing w:after="78"/>
        <w:ind w:firstLine="480"/>
      </w:pPr>
      <w:r>
        <w:rPr>
          <w:rFonts w:hAnsi="宋体"/>
          <w:bCs/>
        </w:rPr>
        <w:t>（一）估值方法</w:t>
      </w:r>
    </w:p>
    <w:p w:rsidR="00BA1358" w:rsidRDefault="00BA1358" w:rsidP="00BA1358">
      <w:pPr>
        <w:spacing w:line="360" w:lineRule="auto"/>
        <w:ind w:firstLineChars="200" w:firstLine="480"/>
        <w:rPr>
          <w:rFonts w:hint="eastAsia"/>
          <w:bCs/>
          <w:sz w:val="24"/>
        </w:rPr>
      </w:pPr>
      <w:r>
        <w:rPr>
          <w:rFonts w:hint="eastAsia"/>
          <w:bCs/>
          <w:sz w:val="24"/>
        </w:rPr>
        <w:t>1</w:t>
      </w:r>
      <w:r>
        <w:rPr>
          <w:rFonts w:hint="eastAsia"/>
          <w:bCs/>
          <w:sz w:val="24"/>
        </w:rPr>
        <w:t>、证券交易所上市的有价证券的估值</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rsidR="00BA1358" w:rsidRDefault="00BA1358" w:rsidP="00BA1358">
      <w:pPr>
        <w:spacing w:line="360" w:lineRule="auto"/>
        <w:ind w:firstLineChars="200" w:firstLine="480"/>
        <w:rPr>
          <w:rFonts w:hint="eastAsia"/>
          <w:bCs/>
          <w:sz w:val="24"/>
        </w:rPr>
      </w:pPr>
      <w:r>
        <w:rPr>
          <w:rFonts w:hint="eastAsia"/>
          <w:bCs/>
          <w:sz w:val="24"/>
        </w:rPr>
        <w:t>2</w:t>
      </w:r>
      <w:r>
        <w:rPr>
          <w:rFonts w:hint="eastAsia"/>
          <w:bCs/>
          <w:sz w:val="24"/>
        </w:rPr>
        <w:t>、证券交易所发行未上市期间的有价证券应区分如下情况处理：</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w:t>
      </w:r>
      <w:r>
        <w:rPr>
          <w:rFonts w:hint="eastAsia"/>
          <w:bCs/>
          <w:sz w:val="24"/>
        </w:rPr>
        <w:lastRenderedPageBreak/>
        <w:t>机构或行业协会有关规定确定公允价值。</w:t>
      </w:r>
    </w:p>
    <w:p w:rsidR="00BA1358" w:rsidRDefault="00BA1358" w:rsidP="00BA1358">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rsidR="00BA1358" w:rsidRDefault="00BA1358" w:rsidP="00BA1358">
      <w:pPr>
        <w:spacing w:line="360" w:lineRule="auto"/>
        <w:ind w:firstLineChars="200" w:firstLine="480"/>
        <w:rPr>
          <w:rFonts w:hint="eastAsia"/>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BA1358" w:rsidRDefault="00BA1358" w:rsidP="00BA1358">
      <w:pPr>
        <w:spacing w:line="360" w:lineRule="auto"/>
        <w:ind w:firstLineChars="200" w:firstLine="480"/>
        <w:rPr>
          <w:rFonts w:hint="eastAsia"/>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BA1358" w:rsidRDefault="00BA1358" w:rsidP="00BA1358">
      <w:pPr>
        <w:spacing w:line="360" w:lineRule="auto"/>
        <w:ind w:firstLineChars="200" w:firstLine="480"/>
        <w:rPr>
          <w:rFonts w:hint="eastAsia"/>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rsidR="00BA1358" w:rsidRDefault="00BA1358" w:rsidP="00BA1358">
      <w:pPr>
        <w:spacing w:line="360" w:lineRule="auto"/>
        <w:ind w:firstLineChars="200" w:firstLine="480"/>
        <w:rPr>
          <w:rFonts w:hint="eastAsia"/>
          <w:bCs/>
          <w:sz w:val="24"/>
        </w:rPr>
      </w:pPr>
      <w:r>
        <w:rPr>
          <w:rFonts w:hint="eastAsia"/>
          <w:bCs/>
          <w:sz w:val="24"/>
        </w:rPr>
        <w:t>6</w:t>
      </w:r>
      <w:r>
        <w:rPr>
          <w:rFonts w:hint="eastAsia"/>
          <w:bCs/>
          <w:sz w:val="24"/>
        </w:rPr>
        <w:t>、相关法律法规以及监管部门有强制规定的，从其规定。如有新增事项，按法律法规以及监管部门最新规定估值。</w:t>
      </w:r>
    </w:p>
    <w:p w:rsidR="00BA1358" w:rsidRDefault="00BA1358" w:rsidP="00BA1358">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A1358" w:rsidRDefault="00BA1358" w:rsidP="00BA1358">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hint="eastAsia"/>
          <w:bCs/>
          <w:sz w:val="24"/>
        </w:rPr>
        <w:t>，由此给基金份额持有人和基金财产造成的损失，由基金管理人负责赔付</w:t>
      </w:r>
      <w:r>
        <w:rPr>
          <w:bCs/>
          <w:sz w:val="24"/>
        </w:rPr>
        <w:t>。</w:t>
      </w:r>
    </w:p>
    <w:p w:rsidR="00BA1358" w:rsidRDefault="00BA1358" w:rsidP="00BA1358">
      <w:pPr>
        <w:spacing w:line="360" w:lineRule="auto"/>
        <w:ind w:firstLineChars="200" w:firstLine="480"/>
        <w:rPr>
          <w:sz w:val="24"/>
        </w:rPr>
      </w:pPr>
      <w:r>
        <w:rPr>
          <w:rFonts w:hAnsi="宋体"/>
          <w:sz w:val="24"/>
        </w:rPr>
        <w:t>（二）估值程序</w:t>
      </w:r>
    </w:p>
    <w:p w:rsidR="00BA1358" w:rsidRDefault="00BA1358" w:rsidP="00BA1358">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0.001</w:t>
      </w:r>
      <w:r>
        <w:rPr>
          <w:bCs/>
          <w:sz w:val="24"/>
        </w:rPr>
        <w:t>元，小数点后第</w:t>
      </w:r>
      <w:r>
        <w:rPr>
          <w:rFonts w:hint="eastAsia"/>
          <w:bCs/>
          <w:sz w:val="24"/>
        </w:rPr>
        <w:t>四</w:t>
      </w:r>
      <w:r>
        <w:rPr>
          <w:bCs/>
          <w:sz w:val="24"/>
        </w:rPr>
        <w:t>位四舍五入。国家另有规定的，从其规定。</w:t>
      </w:r>
    </w:p>
    <w:p w:rsidR="00BA1358" w:rsidRDefault="00BA1358" w:rsidP="00BA1358">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rsidR="00BA1358" w:rsidRDefault="00BA1358" w:rsidP="00BA1358">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w:t>
      </w:r>
      <w:r>
        <w:rPr>
          <w:bCs/>
          <w:sz w:val="24"/>
        </w:rPr>
        <w:lastRenderedPageBreak/>
        <w:t>将基金份额净值结果发送基金托管人，经基金托管人复核无误后，由基金管理人</w:t>
      </w:r>
      <w:r>
        <w:rPr>
          <w:rFonts w:hint="eastAsia"/>
          <w:bCs/>
          <w:sz w:val="24"/>
        </w:rPr>
        <w:t>依据基金合同和相关法律法规的规定</w:t>
      </w:r>
      <w:r>
        <w:rPr>
          <w:bCs/>
          <w:sz w:val="24"/>
        </w:rPr>
        <w:t>对外公布。</w:t>
      </w:r>
    </w:p>
    <w:p w:rsidR="00BA1358" w:rsidRDefault="00BA1358" w:rsidP="00BA1358">
      <w:pPr>
        <w:spacing w:line="360" w:lineRule="auto"/>
        <w:ind w:firstLineChars="200" w:firstLine="480"/>
        <w:rPr>
          <w:sz w:val="24"/>
        </w:rPr>
      </w:pPr>
      <w:r>
        <w:rPr>
          <w:rFonts w:hAnsi="宋体"/>
          <w:sz w:val="24"/>
        </w:rPr>
        <w:t>（三）暂停估值的情形</w:t>
      </w:r>
    </w:p>
    <w:p w:rsidR="00BA1358" w:rsidRDefault="00BA1358" w:rsidP="00BA1358">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BA1358" w:rsidRDefault="00BA1358" w:rsidP="00BA1358">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BA1358" w:rsidRDefault="00BA1358" w:rsidP="00BA1358">
      <w:pPr>
        <w:spacing w:line="360" w:lineRule="auto"/>
        <w:ind w:firstLineChars="200" w:firstLine="480"/>
        <w:rPr>
          <w:rFonts w:hint="eastAsia"/>
          <w:bCs/>
          <w:sz w:val="24"/>
        </w:rPr>
      </w:pPr>
      <w:r>
        <w:rPr>
          <w:bCs/>
          <w:sz w:val="24"/>
        </w:rPr>
        <w:t>3</w:t>
      </w:r>
      <w:r>
        <w:rPr>
          <w:bCs/>
          <w:sz w:val="24"/>
        </w:rPr>
        <w:t>、</w:t>
      </w:r>
      <w:r>
        <w:rPr>
          <w:rFonts w:hint="eastAsia"/>
          <w:bCs/>
          <w:sz w:val="24"/>
        </w:rPr>
        <w:t>占基金相当比例的投资品种的估值出现重大转变，而基金管理人为保障基金份额持有人的利益，决定延迟估值；</w:t>
      </w:r>
    </w:p>
    <w:p w:rsidR="00BA1358" w:rsidRDefault="00BA1358" w:rsidP="00BA1358">
      <w:pPr>
        <w:spacing w:line="360" w:lineRule="auto"/>
        <w:ind w:firstLineChars="200" w:firstLine="480"/>
        <w:rPr>
          <w:bCs/>
          <w:sz w:val="24"/>
        </w:rPr>
      </w:pPr>
      <w:r>
        <w:rPr>
          <w:rFonts w:hint="eastAsia"/>
          <w:bCs/>
          <w:sz w:val="24"/>
        </w:rPr>
        <w:t>4</w:t>
      </w:r>
      <w:r>
        <w:rPr>
          <w:rFonts w:hint="eastAsia"/>
          <w:bCs/>
          <w:sz w:val="24"/>
        </w:rPr>
        <w:t>、出现基金管理人认为属于会导致基金管理人不能出售或评估基金资产的紧急事故的任何情况；</w:t>
      </w:r>
    </w:p>
    <w:p w:rsidR="00BA1358" w:rsidRDefault="00BA1358" w:rsidP="00BA1358">
      <w:pPr>
        <w:spacing w:line="360" w:lineRule="auto"/>
        <w:ind w:firstLineChars="200" w:firstLine="480"/>
        <w:rPr>
          <w:bCs/>
          <w:sz w:val="24"/>
        </w:rPr>
      </w:pPr>
      <w:r>
        <w:rPr>
          <w:rFonts w:hint="eastAsia"/>
          <w:bCs/>
          <w:sz w:val="24"/>
        </w:rPr>
        <w:t>5</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w:t>
      </w:r>
      <w:r>
        <w:rPr>
          <w:bCs/>
          <w:sz w:val="24"/>
        </w:rPr>
        <w:t>确认后</w:t>
      </w:r>
      <w:r>
        <w:rPr>
          <w:rFonts w:hint="eastAsia"/>
          <w:bCs/>
          <w:sz w:val="24"/>
        </w:rPr>
        <w:t>，基金管理人应当暂停估值；</w:t>
      </w:r>
    </w:p>
    <w:p w:rsidR="00BA1358" w:rsidRDefault="00BA1358" w:rsidP="00BA1358">
      <w:pPr>
        <w:spacing w:line="360" w:lineRule="auto"/>
        <w:ind w:firstLineChars="200" w:firstLine="480"/>
        <w:rPr>
          <w:bCs/>
          <w:sz w:val="24"/>
        </w:rPr>
      </w:pPr>
      <w:r>
        <w:rPr>
          <w:rFonts w:hint="eastAsia"/>
          <w:bCs/>
          <w:sz w:val="24"/>
        </w:rPr>
        <w:t>6</w:t>
      </w:r>
      <w:r>
        <w:rPr>
          <w:rFonts w:hint="eastAsia"/>
          <w:bCs/>
          <w:sz w:val="24"/>
        </w:rPr>
        <w:t>、</w:t>
      </w:r>
      <w:r>
        <w:rPr>
          <w:bCs/>
          <w:sz w:val="24"/>
        </w:rPr>
        <w:t>中国证监会和基金合同认定的其它情形。</w:t>
      </w:r>
    </w:p>
    <w:p w:rsidR="00BA1358" w:rsidRDefault="00BA1358" w:rsidP="00BA1358">
      <w:pPr>
        <w:spacing w:line="360" w:lineRule="auto"/>
        <w:ind w:firstLineChars="200" w:firstLine="480"/>
        <w:rPr>
          <w:bCs/>
          <w:sz w:val="24"/>
        </w:rPr>
      </w:pPr>
    </w:p>
    <w:p w:rsidR="00BA1358" w:rsidRDefault="00BA1358" w:rsidP="00BA1358">
      <w:pPr>
        <w:pStyle w:val="aa"/>
        <w:spacing w:after="78"/>
        <w:ind w:firstLine="482"/>
        <w:rPr>
          <w:b/>
        </w:rPr>
      </w:pPr>
      <w:r>
        <w:rPr>
          <w:rFonts w:hAnsi="宋体"/>
          <w:b/>
        </w:rPr>
        <w:t>七、基金合同</w:t>
      </w:r>
      <w:r>
        <w:rPr>
          <w:rFonts w:hAnsi="宋体" w:hint="eastAsia"/>
          <w:b/>
        </w:rPr>
        <w:t>变更、</w:t>
      </w:r>
      <w:r>
        <w:rPr>
          <w:rFonts w:hAnsi="宋体"/>
          <w:b/>
        </w:rPr>
        <w:t>解除和终止的事由、程序以及基金财产清算方式</w:t>
      </w:r>
    </w:p>
    <w:p w:rsidR="00BA1358" w:rsidRDefault="00BA1358" w:rsidP="00BA1358">
      <w:pPr>
        <w:spacing w:line="360" w:lineRule="auto"/>
        <w:ind w:firstLineChars="200" w:firstLine="480"/>
        <w:rPr>
          <w:rFonts w:hAnsi="宋体"/>
          <w:sz w:val="24"/>
        </w:rPr>
      </w:pPr>
      <w:r>
        <w:rPr>
          <w:rFonts w:hAnsi="宋体"/>
          <w:sz w:val="24"/>
        </w:rPr>
        <w:t>（一）</w:t>
      </w:r>
      <w:r>
        <w:rPr>
          <w:bCs/>
          <w:sz w:val="24"/>
        </w:rPr>
        <w:t>《基金合同》的变更</w:t>
      </w:r>
    </w:p>
    <w:p w:rsidR="00BA1358" w:rsidRDefault="00BA1358" w:rsidP="00BA1358">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A1358" w:rsidRDefault="00BA1358" w:rsidP="00BA1358">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自决议生效后</w:t>
      </w:r>
      <w:r>
        <w:rPr>
          <w:rFonts w:hint="eastAsia"/>
          <w:bCs/>
          <w:sz w:val="24"/>
        </w:rPr>
        <w:t>依照《信息披露办法》的规定</w:t>
      </w:r>
      <w:r>
        <w:rPr>
          <w:bCs/>
          <w:sz w:val="24"/>
        </w:rPr>
        <w:t>在指定媒介公告。</w:t>
      </w:r>
    </w:p>
    <w:p w:rsidR="00BA1358" w:rsidRDefault="00BA1358" w:rsidP="00BA1358">
      <w:pPr>
        <w:spacing w:line="360" w:lineRule="auto"/>
        <w:ind w:firstLineChars="200" w:firstLine="480"/>
        <w:rPr>
          <w:sz w:val="24"/>
        </w:rPr>
      </w:pPr>
      <w:r>
        <w:rPr>
          <w:rFonts w:hAnsi="宋体" w:hint="eastAsia"/>
          <w:sz w:val="24"/>
        </w:rPr>
        <w:t>（二）</w:t>
      </w:r>
      <w:r>
        <w:rPr>
          <w:bCs/>
          <w:sz w:val="24"/>
        </w:rPr>
        <w:t>《</w:t>
      </w:r>
      <w:r>
        <w:rPr>
          <w:rFonts w:hAnsi="宋体"/>
          <w:sz w:val="24"/>
        </w:rPr>
        <w:t>基金合同</w:t>
      </w:r>
      <w:r>
        <w:rPr>
          <w:bCs/>
          <w:sz w:val="24"/>
        </w:rPr>
        <w:t>》</w:t>
      </w:r>
      <w:r>
        <w:rPr>
          <w:rFonts w:hAnsi="宋体"/>
          <w:sz w:val="24"/>
        </w:rPr>
        <w:t>的终止</w:t>
      </w:r>
      <w:r>
        <w:rPr>
          <w:rFonts w:hAnsi="宋体"/>
          <w:bCs/>
          <w:sz w:val="24"/>
        </w:rPr>
        <w:t>事由</w:t>
      </w:r>
    </w:p>
    <w:p w:rsidR="00BA1358" w:rsidRDefault="00BA1358" w:rsidP="00BA1358">
      <w:pPr>
        <w:spacing w:line="360" w:lineRule="auto"/>
        <w:ind w:firstLineChars="200" w:firstLine="480"/>
        <w:rPr>
          <w:bCs/>
          <w:sz w:val="24"/>
        </w:rPr>
      </w:pPr>
      <w:r>
        <w:rPr>
          <w:bCs/>
          <w:sz w:val="24"/>
        </w:rPr>
        <w:t>有下列情形之一的，《基金合同》应当终止：</w:t>
      </w:r>
    </w:p>
    <w:p w:rsidR="00BA1358" w:rsidRDefault="00BA1358" w:rsidP="00BA1358">
      <w:pPr>
        <w:spacing w:line="360" w:lineRule="auto"/>
        <w:ind w:firstLineChars="200" w:firstLine="480"/>
        <w:rPr>
          <w:bCs/>
          <w:sz w:val="24"/>
        </w:rPr>
      </w:pPr>
      <w:r>
        <w:rPr>
          <w:bCs/>
          <w:sz w:val="24"/>
        </w:rPr>
        <w:t>1</w:t>
      </w:r>
      <w:r>
        <w:rPr>
          <w:bCs/>
          <w:sz w:val="24"/>
        </w:rPr>
        <w:t>、基金份额持有人大会决定终止的；</w:t>
      </w:r>
    </w:p>
    <w:p w:rsidR="00BA1358" w:rsidRDefault="00BA1358" w:rsidP="00BA1358">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BA1358" w:rsidRDefault="00BA1358" w:rsidP="00BA1358">
      <w:pPr>
        <w:spacing w:line="360" w:lineRule="auto"/>
        <w:ind w:firstLineChars="200" w:firstLine="480"/>
        <w:rPr>
          <w:bCs/>
          <w:sz w:val="24"/>
        </w:rPr>
      </w:pPr>
      <w:r>
        <w:rPr>
          <w:rFonts w:hint="eastAsia"/>
          <w:bCs/>
          <w:sz w:val="24"/>
        </w:rPr>
        <w:t>3</w:t>
      </w:r>
      <w:r>
        <w:rPr>
          <w:bCs/>
          <w:sz w:val="24"/>
        </w:rPr>
        <w:t>、《基金合同》约定的其他情形；</w:t>
      </w:r>
    </w:p>
    <w:p w:rsidR="00BA1358" w:rsidRDefault="00BA1358" w:rsidP="00BA1358">
      <w:pPr>
        <w:spacing w:line="360" w:lineRule="auto"/>
        <w:ind w:firstLineChars="200" w:firstLine="480"/>
        <w:rPr>
          <w:bCs/>
          <w:sz w:val="24"/>
        </w:rPr>
      </w:pPr>
      <w:r>
        <w:rPr>
          <w:rFonts w:hint="eastAsia"/>
          <w:bCs/>
          <w:sz w:val="24"/>
        </w:rPr>
        <w:lastRenderedPageBreak/>
        <w:t>4</w:t>
      </w:r>
      <w:r>
        <w:rPr>
          <w:bCs/>
          <w:sz w:val="24"/>
        </w:rPr>
        <w:t>、相关法律法规和中国证监会规定的其他情况。</w:t>
      </w:r>
    </w:p>
    <w:p w:rsidR="00BA1358" w:rsidRDefault="00BA1358" w:rsidP="00BA1358">
      <w:pPr>
        <w:spacing w:line="360" w:lineRule="auto"/>
        <w:ind w:firstLineChars="200" w:firstLine="480"/>
        <w:rPr>
          <w:sz w:val="24"/>
        </w:rPr>
      </w:pPr>
      <w:r>
        <w:rPr>
          <w:rFonts w:hAnsi="宋体"/>
          <w:sz w:val="24"/>
        </w:rPr>
        <w:t>（</w:t>
      </w:r>
      <w:r>
        <w:rPr>
          <w:rFonts w:hAnsi="宋体" w:hint="eastAsia"/>
          <w:sz w:val="24"/>
        </w:rPr>
        <w:t>三</w:t>
      </w:r>
      <w:r>
        <w:rPr>
          <w:rFonts w:hAnsi="宋体"/>
          <w:sz w:val="24"/>
        </w:rPr>
        <w:t>）基金财产的清算</w:t>
      </w:r>
    </w:p>
    <w:p w:rsidR="00BA1358" w:rsidRDefault="00BA1358" w:rsidP="00BA135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BA1358" w:rsidRDefault="00BA1358" w:rsidP="00BA1358">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BA1358" w:rsidRDefault="00BA1358" w:rsidP="00BA1358">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BA1358" w:rsidRDefault="00BA1358" w:rsidP="00BA1358">
      <w:pPr>
        <w:spacing w:line="360" w:lineRule="auto"/>
        <w:ind w:firstLineChars="200" w:firstLine="480"/>
        <w:rPr>
          <w:bCs/>
          <w:sz w:val="24"/>
        </w:rPr>
      </w:pPr>
      <w:r>
        <w:rPr>
          <w:bCs/>
          <w:sz w:val="24"/>
        </w:rPr>
        <w:t>4</w:t>
      </w:r>
      <w:r>
        <w:rPr>
          <w:bCs/>
          <w:sz w:val="24"/>
        </w:rPr>
        <w:t>、基金财产清算程序：</w:t>
      </w:r>
    </w:p>
    <w:p w:rsidR="00BA1358" w:rsidRDefault="00BA1358" w:rsidP="00BA135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rsidR="00BA1358" w:rsidRDefault="00BA1358" w:rsidP="00BA1358">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BA1358" w:rsidRDefault="00BA1358" w:rsidP="00BA1358">
      <w:pPr>
        <w:spacing w:line="360" w:lineRule="auto"/>
        <w:ind w:firstLineChars="200" w:firstLine="480"/>
        <w:rPr>
          <w:bCs/>
          <w:sz w:val="24"/>
        </w:rPr>
      </w:pPr>
      <w:r>
        <w:rPr>
          <w:bCs/>
          <w:sz w:val="24"/>
        </w:rPr>
        <w:t>（</w:t>
      </w:r>
      <w:r>
        <w:rPr>
          <w:bCs/>
          <w:sz w:val="24"/>
        </w:rPr>
        <w:t>3</w:t>
      </w:r>
      <w:r>
        <w:rPr>
          <w:bCs/>
          <w:sz w:val="24"/>
        </w:rPr>
        <w:t>）对基金财产进行估值和变现；</w:t>
      </w:r>
    </w:p>
    <w:p w:rsidR="00BA1358" w:rsidRDefault="00BA1358" w:rsidP="00BA1358">
      <w:pPr>
        <w:spacing w:line="360" w:lineRule="auto"/>
        <w:ind w:firstLineChars="200" w:firstLine="480"/>
        <w:rPr>
          <w:bCs/>
          <w:sz w:val="24"/>
        </w:rPr>
      </w:pPr>
      <w:r>
        <w:rPr>
          <w:bCs/>
          <w:sz w:val="24"/>
        </w:rPr>
        <w:t>（</w:t>
      </w:r>
      <w:r>
        <w:rPr>
          <w:bCs/>
          <w:sz w:val="24"/>
        </w:rPr>
        <w:t>4</w:t>
      </w:r>
      <w:r>
        <w:rPr>
          <w:bCs/>
          <w:sz w:val="24"/>
        </w:rPr>
        <w:t>）制作清算报告；</w:t>
      </w:r>
    </w:p>
    <w:p w:rsidR="00BA1358" w:rsidRDefault="00BA1358" w:rsidP="00BA135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BA1358" w:rsidRDefault="00BA1358" w:rsidP="00BA1358">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BA1358" w:rsidRDefault="00BA1358" w:rsidP="00BA135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BA1358" w:rsidRDefault="00BA1358" w:rsidP="00BA1358">
      <w:pPr>
        <w:pStyle w:val="aa"/>
        <w:spacing w:after="78"/>
        <w:ind w:firstLine="480"/>
        <w:rPr>
          <w:bCs/>
        </w:rPr>
      </w:pPr>
      <w:r>
        <w:rPr>
          <w:bCs/>
        </w:rPr>
        <w:t>5</w:t>
      </w:r>
      <w:r>
        <w:rPr>
          <w:bCs/>
        </w:rPr>
        <w:t>、基金财产清算的期限为</w:t>
      </w:r>
      <w:r>
        <w:rPr>
          <w:rFonts w:hint="eastAsia"/>
          <w:bCs/>
        </w:rPr>
        <w:t>6</w:t>
      </w:r>
      <w:r>
        <w:rPr>
          <w:bCs/>
        </w:rPr>
        <w:t>个月</w:t>
      </w:r>
      <w:r>
        <w:rPr>
          <w:rFonts w:hint="eastAsia"/>
          <w:bCs/>
        </w:rPr>
        <w:t>，若遇基金持有的有价证券出现长期休市、停牌或其他流通受限的情形除外</w:t>
      </w:r>
      <w:r>
        <w:rPr>
          <w:bCs/>
        </w:rPr>
        <w:t>。</w:t>
      </w:r>
    </w:p>
    <w:p w:rsidR="00BA1358" w:rsidRDefault="00BA1358" w:rsidP="00BA1358">
      <w:pPr>
        <w:pStyle w:val="aa"/>
        <w:spacing w:after="78"/>
        <w:ind w:firstLine="482"/>
        <w:rPr>
          <w:rFonts w:hAnsi="宋体"/>
          <w:b/>
        </w:rPr>
      </w:pPr>
    </w:p>
    <w:p w:rsidR="00BA1358" w:rsidRDefault="00BA1358" w:rsidP="00BA1358">
      <w:pPr>
        <w:pStyle w:val="aa"/>
        <w:spacing w:after="78"/>
        <w:ind w:firstLine="482"/>
        <w:rPr>
          <w:b/>
        </w:rPr>
      </w:pPr>
      <w:r>
        <w:rPr>
          <w:rFonts w:hAnsi="宋体"/>
          <w:b/>
        </w:rPr>
        <w:t>八、</w:t>
      </w:r>
      <w:r>
        <w:rPr>
          <w:rFonts w:hAnsi="宋体" w:hint="eastAsia"/>
          <w:b/>
        </w:rPr>
        <w:t>争议解决方式</w:t>
      </w:r>
    </w:p>
    <w:p w:rsidR="00BA1358" w:rsidRDefault="00BA1358" w:rsidP="00BA1358">
      <w:pPr>
        <w:spacing w:line="360" w:lineRule="auto"/>
        <w:ind w:firstLineChars="200" w:firstLine="480"/>
        <w:rPr>
          <w:rFonts w:ascii="宋体" w:hAnsi="宋体" w:hint="eastAsia"/>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Pr>
          <w:rFonts w:ascii="宋体" w:hAnsi="宋体"/>
          <w:sz w:val="24"/>
        </w:rPr>
        <w:t>、律师费</w:t>
      </w:r>
      <w:r>
        <w:rPr>
          <w:rFonts w:ascii="宋体" w:hAnsi="宋体" w:hint="eastAsia"/>
          <w:sz w:val="24"/>
        </w:rPr>
        <w:t>由败诉方承担。</w:t>
      </w:r>
    </w:p>
    <w:p w:rsidR="00BA1358" w:rsidRDefault="00BA1358" w:rsidP="00BA1358">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w:t>
      </w:r>
      <w:r>
        <w:rPr>
          <w:rFonts w:ascii="宋体" w:hAnsi="宋体" w:hint="eastAsia"/>
          <w:sz w:val="24"/>
        </w:rPr>
        <w:lastRenderedPageBreak/>
        <w:t>地履行基金合同规定的义务，维护基金份额持有人的合法权益。</w:t>
      </w:r>
    </w:p>
    <w:p w:rsidR="00BA1358" w:rsidRDefault="00BA1358" w:rsidP="00BA1358">
      <w:pPr>
        <w:spacing w:line="360" w:lineRule="auto"/>
        <w:ind w:firstLineChars="200" w:firstLine="480"/>
        <w:rPr>
          <w:bCs/>
          <w:sz w:val="24"/>
        </w:rPr>
      </w:pPr>
      <w:r>
        <w:rPr>
          <w:bCs/>
          <w:sz w:val="24"/>
        </w:rPr>
        <w:t>《基金合同》受中国法律管辖。</w:t>
      </w:r>
    </w:p>
    <w:p w:rsidR="00BA1358" w:rsidRDefault="00BA1358" w:rsidP="00BA1358">
      <w:pPr>
        <w:spacing w:line="360" w:lineRule="auto"/>
        <w:ind w:firstLineChars="200" w:firstLine="480"/>
        <w:rPr>
          <w:bCs/>
          <w:sz w:val="24"/>
        </w:rPr>
      </w:pPr>
    </w:p>
    <w:p w:rsidR="00BA1358" w:rsidRDefault="00BA1358" w:rsidP="00BA1358">
      <w:pPr>
        <w:pStyle w:val="aa"/>
        <w:spacing w:after="78"/>
        <w:ind w:firstLine="482"/>
      </w:pPr>
      <w:r>
        <w:rPr>
          <w:rFonts w:hAnsi="宋体"/>
          <w:b/>
        </w:rPr>
        <w:t>九、基金合同存放地和投资者取得基金合同的方式</w:t>
      </w:r>
    </w:p>
    <w:p w:rsidR="00BA1358" w:rsidRDefault="00BA1358" w:rsidP="00BA1358">
      <w:pPr>
        <w:spacing w:line="360" w:lineRule="auto"/>
        <w:ind w:firstLineChars="200" w:firstLine="480"/>
        <w:rPr>
          <w:bCs/>
          <w:sz w:val="24"/>
        </w:rPr>
      </w:pPr>
      <w:r>
        <w:rPr>
          <w:bCs/>
          <w:sz w:val="24"/>
        </w:rPr>
        <w:t>《基金合同》正本一式</w:t>
      </w:r>
      <w:r>
        <w:rPr>
          <w:rFonts w:hint="eastAsia"/>
          <w:bCs/>
          <w:sz w:val="24"/>
        </w:rPr>
        <w:t>三</w:t>
      </w:r>
      <w:r>
        <w:rPr>
          <w:bCs/>
          <w:sz w:val="24"/>
        </w:rPr>
        <w:t>份，除上报有关监管机构一式</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BA1358" w:rsidRDefault="00BA1358" w:rsidP="00BA1358">
      <w:pPr>
        <w:spacing w:line="360" w:lineRule="auto"/>
        <w:ind w:firstLineChars="200" w:firstLine="480"/>
        <w:rPr>
          <w:rFonts w:hAnsi="宋体"/>
          <w:b/>
          <w:sz w:val="24"/>
          <w:szCs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rsidR="00BA1358" w:rsidRDefault="00BA1358" w:rsidP="00AB4A4F">
      <w:pPr>
        <w:spacing w:line="360" w:lineRule="auto"/>
        <w:ind w:firstLineChars="200" w:firstLine="482"/>
        <w:rPr>
          <w:rFonts w:hAnsi="宋体"/>
          <w:b/>
          <w:sz w:val="24"/>
          <w:szCs w:val="24"/>
        </w:rPr>
      </w:pPr>
    </w:p>
    <w:p w:rsidR="00D67793" w:rsidRPr="00A33B26" w:rsidRDefault="00D67793" w:rsidP="00A11739">
      <w:pPr>
        <w:spacing w:line="360" w:lineRule="auto"/>
        <w:ind w:firstLineChars="200" w:firstLine="480"/>
        <w:rPr>
          <w:bCs/>
          <w:sz w:val="24"/>
        </w:rPr>
      </w:pPr>
    </w:p>
    <w:sectPr w:rsidR="00D67793" w:rsidRPr="00A33B2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D35" w:rsidRDefault="00435D35">
      <w:r>
        <w:separator/>
      </w:r>
    </w:p>
  </w:endnote>
  <w:endnote w:type="continuationSeparator" w:id="0">
    <w:p w:rsidR="00435D35" w:rsidRDefault="0043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BA1358" w:rsidRPr="00BA1358">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D35" w:rsidRDefault="00435D35">
      <w:r>
        <w:separator/>
      </w:r>
    </w:p>
  </w:footnote>
  <w:footnote w:type="continuationSeparator" w:id="0">
    <w:p w:rsidR="00435D35" w:rsidRDefault="00435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60288"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A11739" w:rsidRPr="00A11739">
      <w:rPr>
        <w:rFonts w:hint="eastAsia"/>
        <w:szCs w:val="18"/>
      </w:rPr>
      <w:t>交银施罗德</w:t>
    </w:r>
    <w:r w:rsidR="00BA1358">
      <w:rPr>
        <w:rFonts w:hint="eastAsia"/>
        <w:szCs w:val="18"/>
      </w:rPr>
      <w:t>荣鑫灵活</w:t>
    </w:r>
    <w:r w:rsidR="00BA1358">
      <w:rPr>
        <w:szCs w:val="18"/>
      </w:rPr>
      <w:t>配置</w:t>
    </w:r>
    <w:r w:rsidR="002C0C98">
      <w:rPr>
        <w:rFonts w:hint="eastAsia"/>
        <w:szCs w:val="18"/>
      </w:rPr>
      <w:t>混合型</w:t>
    </w:r>
    <w:r w:rsidR="002C0C98">
      <w:rPr>
        <w:szCs w:val="18"/>
      </w:rPr>
      <w:t>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1"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1"/>
  </w:num>
  <w:num w:numId="6">
    <w:abstractNumId w:val="13"/>
  </w:num>
  <w:num w:numId="7">
    <w:abstractNumId w:val="5"/>
  </w:num>
  <w:num w:numId="8">
    <w:abstractNumId w:val="7"/>
  </w:num>
  <w:num w:numId="9">
    <w:abstractNumId w:val="9"/>
  </w:num>
  <w:num w:numId="10">
    <w:abstractNumId w:val="8"/>
  </w:num>
  <w:num w:numId="11">
    <w:abstractNumId w:val="6"/>
  </w:num>
  <w:num w:numId="12">
    <w:abstractNumId w:val="12"/>
  </w:num>
  <w:num w:numId="13">
    <w:abstractNumId w:val="0"/>
  </w:num>
  <w:num w:numId="14">
    <w:abstractNumId w:val="10"/>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63DF15-F62C-4D89-A08C-1DDA09C1EBD0}">
  <ds:schemaRefs>
    <ds:schemaRef ds:uri="http://schemas.openxmlformats.org/officeDocument/2006/bibliography"/>
  </ds:schemaRefs>
</ds:datastoreItem>
</file>

<file path=customXml/itemProps2.xml><?xml version="1.0" encoding="utf-8"?>
<ds:datastoreItem xmlns:ds="http://schemas.openxmlformats.org/officeDocument/2006/customXml" ds:itemID="{F9BE7965-927C-4687-BBFF-C34B575F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3063</Words>
  <Characters>17462</Characters>
  <Application>Microsoft Office Word</Application>
  <DocSecurity>0</DocSecurity>
  <Lines>145</Lines>
  <Paragraphs>40</Paragraphs>
  <ScaleCrop>false</ScaleCrop>
  <Company>Sky123.Org</Company>
  <LinksUpToDate>false</LinksUpToDate>
  <CharactersWithSpaces>20485</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33</cp:revision>
  <dcterms:created xsi:type="dcterms:W3CDTF">2016-10-24T01:15:00Z</dcterms:created>
  <dcterms:modified xsi:type="dcterms:W3CDTF">2019-03-15T03:02:00Z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