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3C40F9FC" w14:textId="77777777" w:rsidR="00912E8C" w:rsidRDefault="00912E8C" w:rsidP="00912E8C">
      <w:pPr>
        <w:rPr>
          <w:rFonts w:ascii="宋体"/>
        </w:rPr>
      </w:pPr>
    </w:p>
    <w:p w14:paraId="2172FD86" w14:textId="77777777" w:rsidR="00912E8C" w:rsidRDefault="00912E8C" w:rsidP="00912E8C">
      <w:pPr>
        <w:rPr>
          <w:rFonts w:ascii="宋体"/>
        </w:rPr>
      </w:pPr>
    </w:p>
    <w:p w14:paraId="5374C96E" w14:textId="77777777" w:rsidR="00912E8C" w:rsidRDefault="00912E8C" w:rsidP="00912E8C">
      <w:pPr>
        <w:rPr>
          <w:rFonts w:ascii="宋体"/>
        </w:rPr>
      </w:pPr>
    </w:p>
    <w:p w14:paraId="4260734D" w14:textId="77777777" w:rsidR="00912E8C" w:rsidRDefault="00912E8C" w:rsidP="00912E8C">
      <w:pPr>
        <w:rPr>
          <w:rFonts w:ascii="宋体"/>
        </w:rPr>
      </w:pPr>
    </w:p>
    <w:p w14:paraId="093431DC" w14:textId="77777777" w:rsidR="00912E8C" w:rsidRDefault="00912E8C" w:rsidP="00912E8C">
      <w:pPr>
        <w:rPr>
          <w:rFonts w:ascii="宋体"/>
        </w:rPr>
      </w:pPr>
      <w:bookmarkStart w:id="0" w:name="_GoBack"/>
      <w:bookmarkEnd w:id="0"/>
    </w:p>
    <w:p w14:paraId="32697314" w14:textId="77777777" w:rsidR="00912E8C" w:rsidRPr="00912E8C" w:rsidRDefault="00912E8C" w:rsidP="00912E8C">
      <w:pPr>
        <w:rPr>
          <w:rFonts w:ascii="宋体" w:hint="eastAsia"/>
        </w:rPr>
      </w:pPr>
    </w:p>
    <w:p w14:paraId="68401C3E" w14:textId="172DA641" w:rsidR="00DC3906" w:rsidRPr="002747E2" w:rsidRDefault="0047482D" w:rsidP="00460BA1">
      <w:pPr>
        <w:pStyle w:val="2"/>
        <w:jc w:val="center"/>
        <w:rPr>
          <w:rFonts w:ascii="宋体" w:hAnsi="宋体"/>
          <w:sz w:val="52"/>
          <w:szCs w:val="52"/>
        </w:rPr>
      </w:pPr>
      <w:proofErr w:type="gramStart"/>
      <w:r w:rsidRPr="0047482D">
        <w:rPr>
          <w:rFonts w:ascii="宋体" w:hAnsi="宋体" w:hint="eastAsia"/>
          <w:sz w:val="52"/>
          <w:szCs w:val="52"/>
        </w:rPr>
        <w:t>交银施罗</w:t>
      </w:r>
      <w:proofErr w:type="gramEnd"/>
      <w:r w:rsidRPr="0047482D">
        <w:rPr>
          <w:rFonts w:ascii="宋体" w:hAnsi="宋体" w:hint="eastAsia"/>
          <w:sz w:val="52"/>
          <w:szCs w:val="52"/>
        </w:rPr>
        <w:t>德卓越回报灵活配置混合型证券投资基金</w:t>
      </w:r>
      <w:r w:rsidR="00DC3906" w:rsidRPr="002747E2">
        <w:rPr>
          <w:rFonts w:ascii="宋体" w:hAnsi="宋体" w:hint="eastAsia"/>
          <w:sz w:val="52"/>
          <w:szCs w:val="52"/>
        </w:rPr>
        <w:t>清算报告</w:t>
      </w:r>
    </w:p>
    <w:p w14:paraId="7E885C46" w14:textId="77777777" w:rsidR="00DC3906" w:rsidRPr="0047482D" w:rsidRDefault="00DC3906">
      <w:pPr>
        <w:rPr>
          <w:rFonts w:ascii="宋体"/>
        </w:rPr>
      </w:pPr>
    </w:p>
    <w:p w14:paraId="5048DCE5" w14:textId="77777777" w:rsidR="00DC3906" w:rsidRPr="000667F3" w:rsidRDefault="00DC3906">
      <w:pPr>
        <w:rPr>
          <w:rFonts w:ascii="宋体"/>
        </w:rPr>
      </w:pPr>
    </w:p>
    <w:p w14:paraId="164F1396" w14:textId="77777777" w:rsidR="00DC3906" w:rsidRPr="000667F3" w:rsidRDefault="00DC3906">
      <w:pPr>
        <w:rPr>
          <w:rFonts w:ascii="宋体"/>
        </w:rPr>
      </w:pPr>
    </w:p>
    <w:p w14:paraId="72AF2586" w14:textId="77777777" w:rsidR="00DC3906" w:rsidRPr="000667F3" w:rsidRDefault="00DC3906">
      <w:pPr>
        <w:rPr>
          <w:rFonts w:ascii="宋体"/>
        </w:rPr>
      </w:pPr>
    </w:p>
    <w:p w14:paraId="443F832F" w14:textId="77777777" w:rsidR="00DC3906" w:rsidRPr="000667F3" w:rsidRDefault="00DC3906">
      <w:pPr>
        <w:rPr>
          <w:rFonts w:ascii="宋体"/>
        </w:rPr>
      </w:pPr>
    </w:p>
    <w:p w14:paraId="53988581" w14:textId="77777777" w:rsidR="00DC3906" w:rsidRPr="00403F97" w:rsidRDefault="00DC3906">
      <w:pPr>
        <w:rPr>
          <w:rFonts w:ascii="宋体"/>
        </w:rPr>
      </w:pPr>
    </w:p>
    <w:p w14:paraId="1D468121" w14:textId="77777777" w:rsidR="00DC3906" w:rsidRPr="000667F3" w:rsidRDefault="00DC3906">
      <w:pPr>
        <w:rPr>
          <w:rFonts w:ascii="宋体"/>
        </w:rPr>
      </w:pPr>
    </w:p>
    <w:p w14:paraId="34D48B9B" w14:textId="77777777" w:rsidR="00DC3906" w:rsidRPr="000667F3" w:rsidRDefault="00DC3906">
      <w:pPr>
        <w:rPr>
          <w:rFonts w:ascii="宋体"/>
        </w:rPr>
      </w:pPr>
    </w:p>
    <w:p w14:paraId="58FC9120" w14:textId="77777777" w:rsidR="00DC3906" w:rsidRPr="000667F3" w:rsidRDefault="00DC3906">
      <w:pPr>
        <w:rPr>
          <w:rFonts w:ascii="宋体"/>
        </w:rPr>
      </w:pPr>
    </w:p>
    <w:p w14:paraId="6C584DF7" w14:textId="77777777" w:rsidR="00DC3906" w:rsidRPr="000667F3" w:rsidRDefault="00DC3906">
      <w:pPr>
        <w:rPr>
          <w:rFonts w:ascii="宋体"/>
        </w:rPr>
      </w:pPr>
    </w:p>
    <w:p w14:paraId="12B3F8AA" w14:textId="77777777" w:rsidR="00DC3906" w:rsidRPr="000667F3" w:rsidRDefault="00DC3906">
      <w:pPr>
        <w:rPr>
          <w:rFonts w:ascii="宋体"/>
        </w:rPr>
      </w:pPr>
    </w:p>
    <w:p w14:paraId="1D575605" w14:textId="77777777" w:rsidR="00DC3906" w:rsidRPr="000667F3" w:rsidRDefault="00DC3906">
      <w:pPr>
        <w:rPr>
          <w:rFonts w:ascii="宋体"/>
        </w:rPr>
      </w:pPr>
    </w:p>
    <w:p w14:paraId="3A8BC380" w14:textId="77777777" w:rsidR="00DC3906" w:rsidRPr="000667F3" w:rsidRDefault="00DC3906">
      <w:pPr>
        <w:rPr>
          <w:rFonts w:ascii="宋体"/>
        </w:rPr>
      </w:pPr>
    </w:p>
    <w:p w14:paraId="1ED7DC7E" w14:textId="77777777" w:rsidR="00DC3906" w:rsidRPr="000667F3" w:rsidRDefault="00DC3906">
      <w:pPr>
        <w:rPr>
          <w:rFonts w:ascii="宋体"/>
        </w:rPr>
      </w:pPr>
    </w:p>
    <w:p w14:paraId="5A32A331" w14:textId="77777777" w:rsidR="00DC3906" w:rsidRPr="000667F3" w:rsidRDefault="00DC3906" w:rsidP="00D53D73">
      <w:pPr>
        <w:jc w:val="center"/>
        <w:rPr>
          <w:rFonts w:ascii="宋体"/>
          <w:sz w:val="24"/>
        </w:rPr>
      </w:pPr>
      <w:r w:rsidRPr="000667F3">
        <w:rPr>
          <w:rFonts w:ascii="宋体" w:hAnsi="宋体" w:hint="eastAsia"/>
          <w:sz w:val="24"/>
        </w:rPr>
        <w:t>基金管理人：</w:t>
      </w:r>
      <w:r w:rsidR="005B35D5" w:rsidRPr="005B35D5">
        <w:rPr>
          <w:rFonts w:ascii="宋体" w:hAnsi="宋体" w:hint="eastAsia"/>
          <w:sz w:val="24"/>
        </w:rPr>
        <w:t>交银施罗德基金管理有限公司</w:t>
      </w:r>
    </w:p>
    <w:p w14:paraId="63AB6B56" w14:textId="07FB002D" w:rsidR="00DC3906" w:rsidRDefault="00DC3906" w:rsidP="00D53D73">
      <w:pPr>
        <w:jc w:val="center"/>
        <w:rPr>
          <w:rFonts w:ascii="宋体" w:hAnsi="宋体"/>
          <w:sz w:val="24"/>
        </w:rPr>
      </w:pPr>
      <w:r w:rsidRPr="000667F3">
        <w:rPr>
          <w:rFonts w:ascii="宋体" w:hAnsi="宋体" w:hint="eastAsia"/>
          <w:sz w:val="24"/>
        </w:rPr>
        <w:t>基金托管人：</w:t>
      </w:r>
      <w:r w:rsidR="0047482D">
        <w:rPr>
          <w:rFonts w:ascii="宋体" w:hAnsi="宋体" w:hint="eastAsia"/>
          <w:sz w:val="24"/>
        </w:rPr>
        <w:t>中信</w:t>
      </w:r>
      <w:r w:rsidR="005B35D5">
        <w:rPr>
          <w:rFonts w:ascii="宋体" w:hAnsi="宋体" w:hint="eastAsia"/>
          <w:sz w:val="24"/>
        </w:rPr>
        <w:t>银行</w:t>
      </w:r>
      <w:r w:rsidRPr="000667F3">
        <w:rPr>
          <w:rFonts w:ascii="宋体" w:hAnsi="宋体" w:hint="eastAsia"/>
          <w:sz w:val="24"/>
        </w:rPr>
        <w:t>股份有限公司</w:t>
      </w:r>
    </w:p>
    <w:p w14:paraId="4241A898" w14:textId="54566667" w:rsidR="00707986" w:rsidRPr="00707986" w:rsidRDefault="00707986" w:rsidP="00D53D73">
      <w:pPr>
        <w:jc w:val="center"/>
        <w:rPr>
          <w:rFonts w:ascii="宋体"/>
          <w:sz w:val="24"/>
        </w:rPr>
      </w:pPr>
      <w:r w:rsidRPr="00EE3FD2">
        <w:rPr>
          <w:rFonts w:ascii="宋体" w:hAnsi="宋体" w:hint="eastAsia"/>
          <w:sz w:val="24"/>
        </w:rPr>
        <w:t>清算报告出具日：</w:t>
      </w:r>
      <w:r w:rsidR="000F6D2E" w:rsidRPr="00EE3FD2">
        <w:rPr>
          <w:rFonts w:ascii="宋体" w:hAnsi="宋体"/>
        </w:rPr>
        <w:t>201</w:t>
      </w:r>
      <w:r w:rsidR="007C3A50">
        <w:rPr>
          <w:rFonts w:ascii="宋体" w:hAnsi="宋体"/>
        </w:rPr>
        <w:t>8</w:t>
      </w:r>
      <w:r w:rsidRPr="00EE3FD2">
        <w:rPr>
          <w:rFonts w:ascii="宋体" w:hAnsi="宋体" w:hint="eastAsia"/>
        </w:rPr>
        <w:t>年</w:t>
      </w:r>
      <w:r w:rsidR="00124B3D">
        <w:rPr>
          <w:rFonts w:ascii="宋体" w:hAnsi="宋体"/>
        </w:rPr>
        <w:t>11</w:t>
      </w:r>
      <w:r w:rsidRPr="00EE3FD2">
        <w:rPr>
          <w:rFonts w:ascii="宋体" w:hAnsi="宋体" w:hint="eastAsia"/>
        </w:rPr>
        <w:t>月</w:t>
      </w:r>
      <w:r w:rsidR="00124B3D">
        <w:rPr>
          <w:rFonts w:ascii="宋体" w:hAnsi="宋体"/>
        </w:rPr>
        <w:t>6</w:t>
      </w:r>
      <w:r w:rsidRPr="00EE3FD2">
        <w:rPr>
          <w:rFonts w:ascii="宋体" w:hAnsi="宋体" w:hint="eastAsia"/>
        </w:rPr>
        <w:t>日</w:t>
      </w:r>
    </w:p>
    <w:p w14:paraId="6BEDADB3" w14:textId="6D9C2F13" w:rsidR="00DC3906" w:rsidRPr="000667F3" w:rsidRDefault="00DC3906" w:rsidP="00D53D73">
      <w:pPr>
        <w:jc w:val="center"/>
        <w:rPr>
          <w:rFonts w:ascii="宋体"/>
          <w:sz w:val="24"/>
        </w:rPr>
      </w:pPr>
      <w:r w:rsidRPr="002B2418">
        <w:rPr>
          <w:rFonts w:ascii="宋体" w:hAnsi="宋体" w:hint="eastAsia"/>
          <w:sz w:val="24"/>
        </w:rPr>
        <w:t>清算报告公告日：</w:t>
      </w:r>
      <w:r w:rsidR="001A63F4" w:rsidRPr="00D2529D">
        <w:rPr>
          <w:rFonts w:ascii="宋体" w:hAnsi="宋体"/>
        </w:rPr>
        <w:t>2018</w:t>
      </w:r>
      <w:r w:rsidR="001D2408" w:rsidRPr="00D2529D">
        <w:rPr>
          <w:rFonts w:ascii="宋体" w:hAnsi="宋体" w:hint="eastAsia"/>
        </w:rPr>
        <w:t>年</w:t>
      </w:r>
      <w:r w:rsidR="00013D55">
        <w:rPr>
          <w:rFonts w:ascii="宋体" w:hAnsi="宋体"/>
        </w:rPr>
        <w:t>12</w:t>
      </w:r>
      <w:r w:rsidR="001D2408" w:rsidRPr="00D2529D">
        <w:rPr>
          <w:rFonts w:ascii="宋体" w:hAnsi="宋体" w:hint="eastAsia"/>
        </w:rPr>
        <w:t>月</w:t>
      </w:r>
      <w:r w:rsidR="00013D55">
        <w:rPr>
          <w:rFonts w:ascii="宋体" w:hAnsi="宋体"/>
        </w:rPr>
        <w:t>8</w:t>
      </w:r>
      <w:r w:rsidR="001D2408" w:rsidRPr="00D2529D">
        <w:rPr>
          <w:rFonts w:ascii="宋体" w:hAnsi="宋体" w:hint="eastAsia"/>
        </w:rPr>
        <w:t>日</w:t>
      </w:r>
    </w:p>
    <w:p w14:paraId="182DAE1B" w14:textId="77777777" w:rsidR="00DC3906" w:rsidRPr="00AE1CF6" w:rsidRDefault="00DC3906">
      <w:pPr>
        <w:rPr>
          <w:rFonts w:ascii="宋体"/>
          <w:sz w:val="22"/>
        </w:rPr>
      </w:pPr>
    </w:p>
    <w:p w14:paraId="2B7D01E0" w14:textId="77777777" w:rsidR="00DC3906" w:rsidRPr="000667F3" w:rsidRDefault="00DC3906">
      <w:pPr>
        <w:widowControl/>
        <w:jc w:val="left"/>
        <w:rPr>
          <w:rFonts w:ascii="宋体"/>
        </w:rPr>
      </w:pPr>
      <w:r w:rsidRPr="000667F3">
        <w:rPr>
          <w:rFonts w:ascii="宋体"/>
        </w:rPr>
        <w:br w:type="page"/>
      </w:r>
    </w:p>
    <w:p w14:paraId="75BDAD76" w14:textId="77777777" w:rsidR="00DC3906" w:rsidRPr="00C95394" w:rsidRDefault="00DC3906" w:rsidP="00CA7C64">
      <w:pPr>
        <w:spacing w:afterLines="100" w:after="312"/>
        <w:rPr>
          <w:rStyle w:val="a8"/>
        </w:rPr>
      </w:pPr>
      <w:r w:rsidRPr="00C95394">
        <w:rPr>
          <w:rStyle w:val="a8"/>
          <w:rFonts w:hint="eastAsia"/>
        </w:rPr>
        <w:lastRenderedPageBreak/>
        <w:t>一、重要提示</w:t>
      </w:r>
    </w:p>
    <w:p w14:paraId="08B485D3" w14:textId="435E00B6" w:rsidR="00DC3906" w:rsidRPr="000667F3" w:rsidRDefault="0047482D" w:rsidP="00E03A07">
      <w:pPr>
        <w:ind w:firstLine="420"/>
        <w:rPr>
          <w:rFonts w:ascii="宋体"/>
        </w:rPr>
      </w:pPr>
      <w:r>
        <w:rPr>
          <w:rFonts w:ascii="宋体" w:hAnsi="宋体" w:hint="eastAsia"/>
        </w:rPr>
        <w:t>交银施罗德卓越回报灵活配置混合型证券投资基金</w:t>
      </w:r>
      <w:r w:rsidR="00DC3906" w:rsidRPr="000667F3">
        <w:rPr>
          <w:rFonts w:ascii="宋体" w:hAnsi="宋体" w:hint="eastAsia"/>
        </w:rPr>
        <w:t>（以下简称“本基金”）由</w:t>
      </w:r>
      <w:r w:rsidR="005B35D5" w:rsidRPr="005B35D5">
        <w:rPr>
          <w:rFonts w:ascii="宋体" w:hAnsi="宋体" w:hint="eastAsia"/>
        </w:rPr>
        <w:t>交银施罗德基金管理有限公司</w:t>
      </w:r>
      <w:r w:rsidR="00DC3906" w:rsidRPr="000667F3">
        <w:rPr>
          <w:rFonts w:ascii="宋体" w:hAnsi="宋体" w:hint="eastAsia"/>
        </w:rPr>
        <w:t>担任基金管理人，由</w:t>
      </w:r>
      <w:r>
        <w:rPr>
          <w:rFonts w:ascii="宋体" w:hAnsi="宋体" w:hint="eastAsia"/>
        </w:rPr>
        <w:t>中信银行股份有限公司</w:t>
      </w:r>
      <w:r w:rsidR="00DC3906" w:rsidRPr="000667F3">
        <w:rPr>
          <w:rFonts w:ascii="宋体" w:hAnsi="宋体" w:hint="eastAsia"/>
        </w:rPr>
        <w:t>担任基金托管人，本基金根据</w:t>
      </w:r>
      <w:r w:rsidR="00FD2093" w:rsidRPr="00FD2093">
        <w:rPr>
          <w:rFonts w:ascii="宋体" w:hAnsi="宋体" w:hint="eastAsia"/>
        </w:rPr>
        <w:t>2015年7月28日</w:t>
      </w:r>
      <w:r w:rsidR="00DC3906" w:rsidRPr="000667F3">
        <w:rPr>
          <w:rFonts w:ascii="宋体" w:hAnsi="宋体" w:hint="eastAsia"/>
        </w:rPr>
        <w:t>中国证券监督管理委员会（以下简称“中国证监会”）《关于准予</w:t>
      </w:r>
      <w:r>
        <w:rPr>
          <w:rFonts w:ascii="宋体" w:hAnsi="宋体" w:hint="eastAsia"/>
        </w:rPr>
        <w:t>交银施罗德卓越回报灵活配置混合型证券投资基金</w:t>
      </w:r>
      <w:r w:rsidR="00DC3906" w:rsidRPr="000667F3">
        <w:rPr>
          <w:rFonts w:ascii="宋体" w:hAnsi="宋体" w:hint="eastAsia"/>
        </w:rPr>
        <w:t>注册的批复》（证监许可</w:t>
      </w:r>
      <w:r w:rsidR="00FD2093" w:rsidRPr="00FD2093">
        <w:rPr>
          <w:rFonts w:ascii="宋体" w:hAnsi="宋体"/>
        </w:rPr>
        <w:t>[2015]1793</w:t>
      </w:r>
      <w:r w:rsidR="00DC3906" w:rsidRPr="000667F3">
        <w:rPr>
          <w:rFonts w:ascii="宋体" w:hAnsi="宋体" w:hint="eastAsia"/>
        </w:rPr>
        <w:t>号文）进行募集，基金合同于</w:t>
      </w:r>
      <w:r w:rsidR="00FD2093" w:rsidRPr="00FD2093">
        <w:rPr>
          <w:rFonts w:ascii="宋体" w:hAnsi="宋体" w:hint="eastAsia"/>
        </w:rPr>
        <w:t>2016年2月17日</w:t>
      </w:r>
      <w:r w:rsidR="00DC3906" w:rsidRPr="000667F3">
        <w:rPr>
          <w:rFonts w:ascii="宋体" w:hAnsi="宋体" w:hint="eastAsia"/>
        </w:rPr>
        <w:t>生效。</w:t>
      </w:r>
    </w:p>
    <w:p w14:paraId="107EB02B" w14:textId="3B89D921" w:rsidR="00DC3906" w:rsidRPr="002747E2" w:rsidRDefault="00DC3906" w:rsidP="00003342">
      <w:pPr>
        <w:ind w:firstLine="420"/>
        <w:rPr>
          <w:rFonts w:ascii="宋体" w:hAnsi="宋体"/>
        </w:rPr>
      </w:pPr>
      <w:r w:rsidRPr="000667F3">
        <w:rPr>
          <w:rFonts w:ascii="宋体" w:hAnsi="宋体" w:hint="eastAsia"/>
        </w:rPr>
        <w:t>根据《</w:t>
      </w:r>
      <w:r w:rsidR="0047482D">
        <w:rPr>
          <w:rFonts w:ascii="宋体" w:hAnsi="宋体" w:hint="eastAsia"/>
        </w:rPr>
        <w:t>交银施罗德卓越回报灵活配置混合型证券投资基金</w:t>
      </w:r>
      <w:r w:rsidRPr="000667F3">
        <w:rPr>
          <w:rFonts w:ascii="宋体" w:hAnsi="宋体" w:hint="eastAsia"/>
        </w:rPr>
        <w:t>基金合同》（以下简称“《基金合同》”或“基金合同”）“第五部分</w:t>
      </w:r>
      <w:r w:rsidRPr="000667F3">
        <w:rPr>
          <w:rFonts w:ascii="宋体" w:hAnsi="宋体"/>
        </w:rPr>
        <w:t xml:space="preserve"> </w:t>
      </w:r>
      <w:r w:rsidRPr="000667F3">
        <w:rPr>
          <w:rFonts w:ascii="宋体" w:hAnsi="宋体" w:hint="eastAsia"/>
        </w:rPr>
        <w:t>基金备案”中，“</w:t>
      </w:r>
      <w:r w:rsidR="00FD2093" w:rsidRPr="00FD2093">
        <w:rPr>
          <w:rFonts w:ascii="宋体" w:hAnsi="宋体" w:hint="eastAsia"/>
        </w:rPr>
        <w:t>《基金合同》生效后，连续二十个工作日基金份额持有人数量不满200人或者基金资产净值低于5000万元的，基金管理人应当在定期报告中予以披露。连续六十个工作日出现基金份额持有人数量不满200人或者基金资产净值低于5000万元情形的，基金管理人提前终止基金合同，不需召开基金份额持有人大会。</w:t>
      </w:r>
      <w:r w:rsidRPr="000667F3">
        <w:rPr>
          <w:rFonts w:ascii="宋体" w:hAnsi="宋体" w:hint="eastAsia"/>
        </w:rPr>
        <w:t>”的条款以及《基金合同》“第十九部分</w:t>
      </w:r>
      <w:r w:rsidRPr="000667F3">
        <w:rPr>
          <w:rFonts w:ascii="宋体" w:hAnsi="宋体"/>
        </w:rPr>
        <w:t xml:space="preserve"> </w:t>
      </w:r>
      <w:r w:rsidRPr="000667F3">
        <w:rPr>
          <w:rFonts w:ascii="宋体" w:hAnsi="宋体" w:hint="eastAsia"/>
        </w:rPr>
        <w:t>基金合同的变更、终止与基金财产的清算”的有关规定，</w:t>
      </w:r>
      <w:r w:rsidR="000770E7" w:rsidRPr="000770E7">
        <w:rPr>
          <w:rFonts w:ascii="宋体" w:hAnsi="宋体" w:hint="eastAsia"/>
        </w:rPr>
        <w:t>截至2018 年9月17日日终，本基金已出现连续60个工作日基金资产净值低于5000万元的情形，触发了《基金合同》中约定的基金合同终止条款，本基金将终止并依据基金财产清算程序进行财产清算，无需召开基金份额持有人大会</w:t>
      </w:r>
      <w:r w:rsidRPr="000667F3">
        <w:rPr>
          <w:rFonts w:ascii="宋体" w:hAnsi="宋体" w:hint="eastAsia"/>
        </w:rPr>
        <w:t>。基金管理人已于</w:t>
      </w:r>
      <w:r w:rsidR="000770E7">
        <w:rPr>
          <w:rFonts w:ascii="宋体" w:hAnsi="宋体"/>
        </w:rPr>
        <w:t>2018年9月18日</w:t>
      </w:r>
      <w:r w:rsidRPr="000667F3">
        <w:rPr>
          <w:rFonts w:ascii="宋体" w:hAnsi="宋体" w:hint="eastAsia"/>
        </w:rPr>
        <w:t>、</w:t>
      </w:r>
      <w:r w:rsidR="000770E7">
        <w:rPr>
          <w:rFonts w:ascii="宋体" w:hAnsi="宋体"/>
        </w:rPr>
        <w:t>2018年9月20日</w:t>
      </w:r>
      <w:r w:rsidRPr="000667F3">
        <w:rPr>
          <w:rFonts w:ascii="宋体" w:hAnsi="宋体" w:hint="eastAsia"/>
        </w:rPr>
        <w:t>就本</w:t>
      </w:r>
      <w:proofErr w:type="gramStart"/>
      <w:r w:rsidRPr="000667F3">
        <w:rPr>
          <w:rFonts w:ascii="宋体" w:hAnsi="宋体" w:hint="eastAsia"/>
        </w:rPr>
        <w:t>基金基金</w:t>
      </w:r>
      <w:proofErr w:type="gramEnd"/>
      <w:r w:rsidRPr="000667F3">
        <w:rPr>
          <w:rFonts w:ascii="宋体" w:hAnsi="宋体" w:hint="eastAsia"/>
        </w:rPr>
        <w:t>合同</w:t>
      </w:r>
      <w:r w:rsidR="000770E7">
        <w:rPr>
          <w:rFonts w:ascii="宋体" w:hAnsi="宋体" w:hint="eastAsia"/>
        </w:rPr>
        <w:t>触发</w:t>
      </w:r>
      <w:r w:rsidRPr="000667F3">
        <w:rPr>
          <w:rFonts w:ascii="宋体" w:hAnsi="宋体" w:hint="eastAsia"/>
        </w:rPr>
        <w:t>终止</w:t>
      </w:r>
      <w:r w:rsidR="000770E7">
        <w:rPr>
          <w:rFonts w:ascii="宋体" w:hAnsi="宋体" w:hint="eastAsia"/>
        </w:rPr>
        <w:t>情形</w:t>
      </w:r>
      <w:r w:rsidRPr="000667F3">
        <w:rPr>
          <w:rFonts w:ascii="宋体" w:hAnsi="宋体" w:hint="eastAsia"/>
        </w:rPr>
        <w:t>及</w:t>
      </w:r>
      <w:r w:rsidR="000770E7">
        <w:rPr>
          <w:rFonts w:ascii="宋体" w:hAnsi="宋体" w:hint="eastAsia"/>
        </w:rPr>
        <w:t>进入</w:t>
      </w:r>
      <w:r w:rsidRPr="000667F3">
        <w:rPr>
          <w:rFonts w:ascii="宋体" w:hAnsi="宋体" w:hint="eastAsia"/>
        </w:rPr>
        <w:t>基金财产清算</w:t>
      </w:r>
      <w:r w:rsidR="000770E7">
        <w:rPr>
          <w:rFonts w:ascii="宋体" w:hAnsi="宋体" w:hint="eastAsia"/>
        </w:rPr>
        <w:t>程序</w:t>
      </w:r>
      <w:r w:rsidRPr="000667F3">
        <w:rPr>
          <w:rFonts w:ascii="宋体" w:hAnsi="宋体" w:hint="eastAsia"/>
        </w:rPr>
        <w:t>的事宜进行了公告和提示性公告，详见《</w:t>
      </w:r>
      <w:r w:rsidR="000770E7" w:rsidRPr="000770E7">
        <w:rPr>
          <w:rFonts w:ascii="宋体" w:hAnsi="宋体" w:hint="eastAsia"/>
        </w:rPr>
        <w:t>交银施罗德基金管理有限公司关于交银施罗德卓越回报灵活配置混合型证券投资基金基金合同触发终止情形及进入基金财产清算程序的公告</w:t>
      </w:r>
      <w:r w:rsidRPr="000667F3">
        <w:rPr>
          <w:rFonts w:ascii="宋体" w:hAnsi="宋体" w:hint="eastAsia"/>
        </w:rPr>
        <w:t>》</w:t>
      </w:r>
      <w:r w:rsidR="00D92FE1">
        <w:rPr>
          <w:rFonts w:ascii="宋体" w:hAnsi="宋体" w:hint="eastAsia"/>
        </w:rPr>
        <w:t>、</w:t>
      </w:r>
      <w:r w:rsidRPr="000667F3">
        <w:rPr>
          <w:rFonts w:ascii="宋体" w:hAnsi="宋体" w:hint="eastAsia"/>
        </w:rPr>
        <w:t>《</w:t>
      </w:r>
      <w:r w:rsidR="000770E7" w:rsidRPr="000770E7">
        <w:rPr>
          <w:rFonts w:ascii="宋体" w:hAnsi="宋体" w:hint="eastAsia"/>
        </w:rPr>
        <w:t>交银施罗德基金管理有限公司关于交银施罗德卓越回报灵活配置混合型证券投资基金基金合同触发终止情形及进入基金财产清算程序的</w:t>
      </w:r>
      <w:r w:rsidR="000770E7">
        <w:rPr>
          <w:rFonts w:ascii="宋体" w:hAnsi="宋体" w:hint="eastAsia"/>
        </w:rPr>
        <w:t>提示性</w:t>
      </w:r>
      <w:r w:rsidR="000770E7" w:rsidRPr="000770E7">
        <w:rPr>
          <w:rFonts w:ascii="宋体" w:hAnsi="宋体" w:hint="eastAsia"/>
        </w:rPr>
        <w:t>公告</w:t>
      </w:r>
      <w:r w:rsidRPr="000667F3">
        <w:rPr>
          <w:rFonts w:ascii="宋体" w:hAnsi="宋体" w:hint="eastAsia"/>
        </w:rPr>
        <w:t>》。</w:t>
      </w:r>
    </w:p>
    <w:p w14:paraId="67392428" w14:textId="325B913E" w:rsidR="00DC3906" w:rsidRPr="000667F3" w:rsidRDefault="00DC3906" w:rsidP="00E03A07">
      <w:pPr>
        <w:ind w:firstLine="420"/>
        <w:rPr>
          <w:rFonts w:ascii="宋体"/>
        </w:rPr>
      </w:pPr>
      <w:r w:rsidRPr="004E43FD">
        <w:rPr>
          <w:rFonts w:ascii="宋体" w:hAnsi="宋体" w:hint="eastAsia"/>
        </w:rPr>
        <w:t>本基金自</w:t>
      </w:r>
      <w:r w:rsidR="000770E7">
        <w:rPr>
          <w:rFonts w:ascii="宋体" w:hAnsi="宋体"/>
        </w:rPr>
        <w:t>2018年9月26日</w:t>
      </w:r>
      <w:r w:rsidRPr="004E43FD">
        <w:rPr>
          <w:rFonts w:ascii="宋体" w:hAnsi="宋体" w:hint="eastAsia"/>
        </w:rPr>
        <w:t>起进入清算</w:t>
      </w:r>
      <w:r w:rsidR="000770E7">
        <w:rPr>
          <w:rFonts w:ascii="宋体" w:hAnsi="宋体" w:hint="eastAsia"/>
        </w:rPr>
        <w:t>程序</w:t>
      </w:r>
      <w:r w:rsidRPr="004E43FD">
        <w:rPr>
          <w:rFonts w:ascii="宋体" w:hAnsi="宋体" w:hint="eastAsia"/>
        </w:rPr>
        <w:t>，由基金管理</w:t>
      </w:r>
      <w:r w:rsidRPr="002819E4">
        <w:rPr>
          <w:rFonts w:ascii="宋体" w:hAnsi="宋体" w:hint="eastAsia"/>
        </w:rPr>
        <w:t>人</w:t>
      </w:r>
      <w:r w:rsidR="005B35D5" w:rsidRPr="005B35D5">
        <w:rPr>
          <w:rFonts w:ascii="宋体" w:hAnsi="宋体" w:hint="eastAsia"/>
        </w:rPr>
        <w:t>交银施罗德基金管理有限公司</w:t>
      </w:r>
      <w:r w:rsidRPr="002819E4">
        <w:rPr>
          <w:rFonts w:ascii="宋体" w:hAnsi="宋体" w:hint="eastAsia"/>
        </w:rPr>
        <w:t>、基金托管人</w:t>
      </w:r>
      <w:r w:rsidR="0047482D">
        <w:rPr>
          <w:rFonts w:ascii="宋体" w:hAnsi="宋体" w:hint="eastAsia"/>
        </w:rPr>
        <w:t>中信银行股份有限公司</w:t>
      </w:r>
      <w:r w:rsidRPr="002819E4">
        <w:rPr>
          <w:rFonts w:ascii="宋体" w:hAnsi="宋体" w:hint="eastAsia"/>
        </w:rPr>
        <w:t>、</w:t>
      </w:r>
      <w:r w:rsidR="005B35D5" w:rsidRPr="005B35D5">
        <w:rPr>
          <w:rFonts w:ascii="宋体" w:hAnsi="宋体" w:hint="eastAsia"/>
        </w:rPr>
        <w:t>普华永道中天会计师事务所（特殊普通合伙）</w:t>
      </w:r>
      <w:r w:rsidRPr="002819E4">
        <w:rPr>
          <w:rFonts w:ascii="宋体" w:hAnsi="宋体" w:hint="eastAsia"/>
        </w:rPr>
        <w:t>和通力律师事务所组成基金财产清算小组履行基金财产清算程序，并由</w:t>
      </w:r>
      <w:r w:rsidR="005B35D5">
        <w:rPr>
          <w:rFonts w:ascii="宋体" w:hAnsi="宋体" w:hint="eastAsia"/>
        </w:rPr>
        <w:t>普华永道中天</w:t>
      </w:r>
      <w:r w:rsidR="005B35D5" w:rsidRPr="002819E4">
        <w:rPr>
          <w:rFonts w:ascii="宋体" w:hAnsi="宋体" w:hint="eastAsia"/>
        </w:rPr>
        <w:t>会计师事务所（特殊普通合伙）</w:t>
      </w:r>
      <w:r w:rsidRPr="002819E4">
        <w:rPr>
          <w:rFonts w:ascii="宋体" w:hAnsi="宋体" w:hint="eastAsia"/>
        </w:rPr>
        <w:t>对清</w:t>
      </w:r>
      <w:r w:rsidRPr="000667F3">
        <w:rPr>
          <w:rFonts w:ascii="宋体" w:hAnsi="宋体" w:hint="eastAsia"/>
        </w:rPr>
        <w:t>算报告进行审计，</w:t>
      </w:r>
      <w:r>
        <w:rPr>
          <w:rFonts w:ascii="宋体" w:hAnsi="宋体" w:hint="eastAsia"/>
        </w:rPr>
        <w:t>通力律师事务所</w:t>
      </w:r>
      <w:r w:rsidRPr="000667F3">
        <w:rPr>
          <w:rFonts w:ascii="宋体" w:hAnsi="宋体" w:hint="eastAsia"/>
        </w:rPr>
        <w:t>对清算报告出具法律意见。</w:t>
      </w:r>
    </w:p>
    <w:p w14:paraId="162CF7C3" w14:textId="77777777" w:rsidR="00DC3906" w:rsidRPr="000667F3" w:rsidRDefault="00DC3906" w:rsidP="00E03A07">
      <w:pPr>
        <w:ind w:firstLine="420"/>
        <w:rPr>
          <w:rFonts w:ascii="宋体"/>
        </w:rPr>
      </w:pPr>
    </w:p>
    <w:p w14:paraId="5629B686" w14:textId="77777777" w:rsidR="00DC3906" w:rsidRPr="00C95394" w:rsidRDefault="00DC3906" w:rsidP="00CA7C64">
      <w:pPr>
        <w:spacing w:afterLines="100" w:after="312"/>
        <w:rPr>
          <w:rStyle w:val="a8"/>
        </w:rPr>
      </w:pPr>
      <w:r w:rsidRPr="00C95394">
        <w:rPr>
          <w:rStyle w:val="a8"/>
          <w:rFonts w:hint="eastAsia"/>
        </w:rPr>
        <w:t>二、基金概况</w:t>
      </w:r>
    </w:p>
    <w:p w14:paraId="194C25D9" w14:textId="77777777" w:rsidR="00DC3906" w:rsidRPr="00EA06D5" w:rsidRDefault="00DC3906" w:rsidP="00CA7C64">
      <w:pPr>
        <w:spacing w:afterLines="50" w:after="156"/>
        <w:rPr>
          <w:rFonts w:ascii="宋体"/>
          <w:b/>
        </w:rPr>
      </w:pPr>
      <w:r w:rsidRPr="00EA06D5">
        <w:rPr>
          <w:rFonts w:ascii="宋体" w:hAnsi="宋体"/>
          <w:b/>
        </w:rPr>
        <w:t>1</w:t>
      </w:r>
      <w:r w:rsidRPr="00EA06D5">
        <w:rPr>
          <w:rFonts w:ascii="宋体" w:hAnsi="宋体" w:hint="eastAsia"/>
          <w:b/>
        </w:rPr>
        <w:t>、基金基本情况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770"/>
        <w:gridCol w:w="6526"/>
      </w:tblGrid>
      <w:tr w:rsidR="00DC3906" w:rsidRPr="000667F3" w14:paraId="26D246BC" w14:textId="77777777" w:rsidTr="00CF69E3">
        <w:tc>
          <w:tcPr>
            <w:tcW w:w="1809" w:type="dxa"/>
          </w:tcPr>
          <w:p w14:paraId="1954B047" w14:textId="77777777" w:rsidR="00DC3906" w:rsidRPr="00CF69E3" w:rsidRDefault="00DC3906" w:rsidP="00C43916">
            <w:pPr>
              <w:rPr>
                <w:rFonts w:ascii="宋体"/>
              </w:rPr>
            </w:pPr>
            <w:r w:rsidRPr="00CF69E3">
              <w:rPr>
                <w:rFonts w:ascii="宋体" w:hAnsi="宋体" w:hint="eastAsia"/>
              </w:rPr>
              <w:t>基金名称：</w:t>
            </w:r>
          </w:p>
        </w:tc>
        <w:tc>
          <w:tcPr>
            <w:tcW w:w="6713" w:type="dxa"/>
          </w:tcPr>
          <w:p w14:paraId="60FB6158" w14:textId="252D6893" w:rsidR="00DC3906" w:rsidRPr="00CF69E3" w:rsidRDefault="0047482D" w:rsidP="00C43916">
            <w:pPr>
              <w:rPr>
                <w:rFonts w:ascii="宋体"/>
              </w:rPr>
            </w:pPr>
            <w:r>
              <w:rPr>
                <w:rFonts w:ascii="宋体" w:hAnsi="宋体" w:hint="eastAsia"/>
              </w:rPr>
              <w:t>交银施罗德卓越回报灵活配置混合型证券投资基金</w:t>
            </w:r>
          </w:p>
        </w:tc>
      </w:tr>
      <w:tr w:rsidR="00DC3906" w:rsidRPr="000667F3" w14:paraId="6CEB0570" w14:textId="77777777" w:rsidTr="00CF69E3">
        <w:tc>
          <w:tcPr>
            <w:tcW w:w="1809" w:type="dxa"/>
          </w:tcPr>
          <w:p w14:paraId="6BF064FF" w14:textId="77777777" w:rsidR="00DC3906" w:rsidRPr="00CF69E3" w:rsidRDefault="00DC3906" w:rsidP="00C43916">
            <w:pPr>
              <w:rPr>
                <w:rFonts w:ascii="宋体"/>
              </w:rPr>
            </w:pPr>
            <w:r w:rsidRPr="00CF69E3">
              <w:rPr>
                <w:rFonts w:ascii="宋体" w:hAnsi="宋体" w:hint="eastAsia"/>
              </w:rPr>
              <w:t>基金简称：</w:t>
            </w:r>
          </w:p>
        </w:tc>
        <w:tc>
          <w:tcPr>
            <w:tcW w:w="6713" w:type="dxa"/>
          </w:tcPr>
          <w:p w14:paraId="005F8E84" w14:textId="5F84604C" w:rsidR="00DC3906" w:rsidRPr="00CF69E3" w:rsidRDefault="00584B96" w:rsidP="00795524">
            <w:pPr>
              <w:rPr>
                <w:rFonts w:ascii="宋体"/>
              </w:rPr>
            </w:pPr>
            <w:r>
              <w:rPr>
                <w:rFonts w:ascii="宋体" w:hAnsi="宋体" w:hint="eastAsia"/>
              </w:rPr>
              <w:t>交银卓越回报灵活配置混合</w:t>
            </w:r>
          </w:p>
        </w:tc>
      </w:tr>
      <w:tr w:rsidR="00DC3906" w:rsidRPr="000667F3" w14:paraId="1482497A" w14:textId="77777777" w:rsidTr="00CF69E3">
        <w:tc>
          <w:tcPr>
            <w:tcW w:w="1809" w:type="dxa"/>
          </w:tcPr>
          <w:p w14:paraId="0F3C8F54" w14:textId="77777777" w:rsidR="00DC3906" w:rsidRPr="00CF69E3" w:rsidRDefault="00DC3906" w:rsidP="00C43916">
            <w:pPr>
              <w:rPr>
                <w:rFonts w:ascii="宋体"/>
              </w:rPr>
            </w:pPr>
            <w:r w:rsidRPr="00CF69E3">
              <w:rPr>
                <w:rFonts w:ascii="宋体" w:hAnsi="宋体" w:hint="eastAsia"/>
              </w:rPr>
              <w:t>基金交易代码：</w:t>
            </w:r>
          </w:p>
        </w:tc>
        <w:tc>
          <w:tcPr>
            <w:tcW w:w="6713" w:type="dxa"/>
          </w:tcPr>
          <w:p w14:paraId="21535220" w14:textId="7DDFD195" w:rsidR="00DC3906" w:rsidRPr="00CF69E3" w:rsidRDefault="00347436" w:rsidP="00452316">
            <w:pPr>
              <w:rPr>
                <w:rFonts w:ascii="宋体" w:hAnsi="宋体"/>
              </w:rPr>
            </w:pPr>
            <w:r w:rsidRPr="00FD2093">
              <w:rPr>
                <w:rFonts w:ascii="宋体" w:hAnsi="宋体"/>
              </w:rPr>
              <w:t>A类</w:t>
            </w:r>
            <w:r w:rsidRPr="00FD2093">
              <w:rPr>
                <w:rFonts w:ascii="宋体" w:hAnsi="宋体" w:hint="eastAsia"/>
              </w:rPr>
              <w:t>：</w:t>
            </w:r>
            <w:r w:rsidRPr="00FD2093">
              <w:rPr>
                <w:rFonts w:ascii="宋体" w:hAnsi="宋体"/>
              </w:rPr>
              <w:t>519764</w:t>
            </w:r>
            <w:r w:rsidRPr="00347436">
              <w:rPr>
                <w:rFonts w:ascii="宋体" w:hAnsi="宋体" w:hint="eastAsia"/>
              </w:rPr>
              <w:t>；</w:t>
            </w:r>
            <w:r w:rsidRPr="00347436">
              <w:rPr>
                <w:rFonts w:ascii="宋体" w:hAnsi="宋体"/>
              </w:rPr>
              <w:t>C类</w:t>
            </w:r>
            <w:r w:rsidRPr="00347436">
              <w:rPr>
                <w:rFonts w:ascii="宋体" w:hAnsi="宋体" w:hint="eastAsia"/>
              </w:rPr>
              <w:t>：</w:t>
            </w:r>
            <w:r w:rsidRPr="00347436">
              <w:rPr>
                <w:rFonts w:ascii="宋体" w:hAnsi="宋体"/>
              </w:rPr>
              <w:t>519765</w:t>
            </w:r>
          </w:p>
        </w:tc>
      </w:tr>
      <w:tr w:rsidR="00DC3906" w:rsidRPr="000667F3" w14:paraId="0EC08A20" w14:textId="77777777" w:rsidTr="00CF69E3">
        <w:tc>
          <w:tcPr>
            <w:tcW w:w="1809" w:type="dxa"/>
          </w:tcPr>
          <w:p w14:paraId="65499B78" w14:textId="77777777" w:rsidR="00DC3906" w:rsidRPr="00CF69E3" w:rsidRDefault="00DC3906" w:rsidP="00C43916">
            <w:pPr>
              <w:rPr>
                <w:rFonts w:ascii="宋体"/>
              </w:rPr>
            </w:pPr>
            <w:r w:rsidRPr="00CF69E3">
              <w:rPr>
                <w:rFonts w:ascii="宋体" w:hAnsi="宋体" w:hint="eastAsia"/>
              </w:rPr>
              <w:t>基金运作方式：</w:t>
            </w:r>
          </w:p>
        </w:tc>
        <w:tc>
          <w:tcPr>
            <w:tcW w:w="6713" w:type="dxa"/>
          </w:tcPr>
          <w:p w14:paraId="53DE35BE" w14:textId="77777777" w:rsidR="00DC3906" w:rsidRPr="00CF69E3" w:rsidRDefault="00DC3906" w:rsidP="00C43916">
            <w:pPr>
              <w:rPr>
                <w:rFonts w:ascii="宋体"/>
              </w:rPr>
            </w:pPr>
            <w:r w:rsidRPr="00CF69E3">
              <w:rPr>
                <w:rFonts w:ascii="宋体" w:hAnsi="宋体" w:hint="eastAsia"/>
              </w:rPr>
              <w:t>契约型开放式</w:t>
            </w:r>
          </w:p>
        </w:tc>
      </w:tr>
      <w:tr w:rsidR="00DC3906" w:rsidRPr="000667F3" w14:paraId="21DB0C8F" w14:textId="77777777" w:rsidTr="00CF69E3">
        <w:tc>
          <w:tcPr>
            <w:tcW w:w="1809" w:type="dxa"/>
          </w:tcPr>
          <w:p w14:paraId="0B7FA7C6" w14:textId="77777777" w:rsidR="00DC3906" w:rsidRPr="00CF69E3" w:rsidRDefault="00DC3906" w:rsidP="00C43916">
            <w:pPr>
              <w:rPr>
                <w:rFonts w:ascii="宋体"/>
              </w:rPr>
            </w:pPr>
            <w:r w:rsidRPr="00CF69E3">
              <w:rPr>
                <w:rFonts w:ascii="宋体" w:hAnsi="宋体" w:hint="eastAsia"/>
              </w:rPr>
              <w:t>基金合同生效日：</w:t>
            </w:r>
          </w:p>
        </w:tc>
        <w:tc>
          <w:tcPr>
            <w:tcW w:w="6713" w:type="dxa"/>
          </w:tcPr>
          <w:p w14:paraId="3B54089C" w14:textId="498165FD" w:rsidR="00DC3906" w:rsidRPr="00BF751A" w:rsidRDefault="00452316" w:rsidP="00E110F1">
            <w:pPr>
              <w:rPr>
                <w:rFonts w:ascii="宋体"/>
              </w:rPr>
            </w:pPr>
            <w:r w:rsidRPr="00BF751A">
              <w:rPr>
                <w:rFonts w:ascii="宋体" w:hAnsi="宋体"/>
              </w:rPr>
              <w:t>201</w:t>
            </w:r>
            <w:r w:rsidR="00E110F1">
              <w:rPr>
                <w:rFonts w:ascii="宋体" w:hAnsi="宋体"/>
              </w:rPr>
              <w:t>6</w:t>
            </w:r>
            <w:r w:rsidRPr="00BF751A">
              <w:rPr>
                <w:rFonts w:ascii="宋体" w:hAnsi="宋体" w:hint="eastAsia"/>
              </w:rPr>
              <w:t>年</w:t>
            </w:r>
            <w:r>
              <w:rPr>
                <w:rFonts w:ascii="宋体" w:hAnsi="宋体"/>
              </w:rPr>
              <w:t>2</w:t>
            </w:r>
            <w:r w:rsidR="00DC3906" w:rsidRPr="00BF751A">
              <w:rPr>
                <w:rFonts w:ascii="宋体" w:hAnsi="宋体" w:hint="eastAsia"/>
              </w:rPr>
              <w:t>月</w:t>
            </w:r>
            <w:r w:rsidR="00E110F1">
              <w:rPr>
                <w:rFonts w:ascii="宋体" w:hAnsi="宋体"/>
              </w:rPr>
              <w:t>17</w:t>
            </w:r>
            <w:r w:rsidR="00DC3906" w:rsidRPr="00BF751A">
              <w:rPr>
                <w:rFonts w:ascii="宋体" w:hAnsi="宋体" w:hint="eastAsia"/>
              </w:rPr>
              <w:t>日</w:t>
            </w:r>
          </w:p>
        </w:tc>
      </w:tr>
      <w:tr w:rsidR="00DC3906" w:rsidRPr="000667F3" w14:paraId="020C74C1" w14:textId="77777777" w:rsidTr="00CF69E3">
        <w:tc>
          <w:tcPr>
            <w:tcW w:w="1809" w:type="dxa"/>
          </w:tcPr>
          <w:p w14:paraId="6B7D9327" w14:textId="77777777" w:rsidR="00DC3906" w:rsidRPr="00CF69E3" w:rsidRDefault="00DC3906" w:rsidP="00C43916">
            <w:pPr>
              <w:rPr>
                <w:rFonts w:ascii="宋体"/>
              </w:rPr>
            </w:pPr>
            <w:r w:rsidRPr="00CF69E3">
              <w:rPr>
                <w:rFonts w:ascii="宋体" w:hAnsi="宋体" w:hint="eastAsia"/>
              </w:rPr>
              <w:t>基金管理人名称：</w:t>
            </w:r>
          </w:p>
        </w:tc>
        <w:tc>
          <w:tcPr>
            <w:tcW w:w="6713" w:type="dxa"/>
          </w:tcPr>
          <w:p w14:paraId="4B832AC4" w14:textId="77777777" w:rsidR="00DC3906" w:rsidRPr="00CF69E3" w:rsidRDefault="00795524" w:rsidP="00C43916">
            <w:pPr>
              <w:rPr>
                <w:rFonts w:ascii="宋体"/>
              </w:rPr>
            </w:pPr>
            <w:r w:rsidRPr="005B35D5">
              <w:rPr>
                <w:rFonts w:ascii="宋体" w:hAnsi="宋体" w:hint="eastAsia"/>
              </w:rPr>
              <w:t>交银施罗德</w:t>
            </w:r>
            <w:r w:rsidR="00DC3906" w:rsidRPr="00CF69E3">
              <w:rPr>
                <w:rFonts w:ascii="宋体" w:hAnsi="宋体" w:hint="eastAsia"/>
              </w:rPr>
              <w:t>基金管理有限公司</w:t>
            </w:r>
          </w:p>
        </w:tc>
      </w:tr>
      <w:tr w:rsidR="00DC3906" w:rsidRPr="000667F3" w14:paraId="799300C8" w14:textId="77777777" w:rsidTr="00CF69E3">
        <w:tc>
          <w:tcPr>
            <w:tcW w:w="1809" w:type="dxa"/>
          </w:tcPr>
          <w:p w14:paraId="32E7B188" w14:textId="77777777" w:rsidR="00DC3906" w:rsidRPr="00CF69E3" w:rsidRDefault="00DC3906" w:rsidP="00C43916">
            <w:pPr>
              <w:rPr>
                <w:rFonts w:ascii="宋体"/>
              </w:rPr>
            </w:pPr>
            <w:r w:rsidRPr="00CF69E3">
              <w:rPr>
                <w:rFonts w:ascii="宋体" w:hAnsi="宋体" w:hint="eastAsia"/>
              </w:rPr>
              <w:t>基金托管人名称：</w:t>
            </w:r>
          </w:p>
        </w:tc>
        <w:tc>
          <w:tcPr>
            <w:tcW w:w="6713" w:type="dxa"/>
          </w:tcPr>
          <w:p w14:paraId="7D9288B2" w14:textId="19A7ED2D" w:rsidR="00DC3906" w:rsidRPr="00CF69E3" w:rsidRDefault="0047482D" w:rsidP="00C43916">
            <w:pPr>
              <w:rPr>
                <w:rFonts w:ascii="宋体"/>
              </w:rPr>
            </w:pPr>
            <w:r>
              <w:rPr>
                <w:rFonts w:ascii="宋体" w:hAnsi="宋体" w:hint="eastAsia"/>
              </w:rPr>
              <w:t>中信银行股份有限公司</w:t>
            </w:r>
          </w:p>
        </w:tc>
      </w:tr>
    </w:tbl>
    <w:p w14:paraId="1791FD0F" w14:textId="77777777" w:rsidR="00DC3906" w:rsidRPr="00EA06D5" w:rsidRDefault="00DC3906" w:rsidP="00CA7C64">
      <w:pPr>
        <w:spacing w:beforeLines="50" w:before="156" w:afterLines="50" w:after="156"/>
        <w:rPr>
          <w:rFonts w:ascii="宋体"/>
          <w:b/>
        </w:rPr>
      </w:pPr>
      <w:r w:rsidRPr="00EA06D5">
        <w:rPr>
          <w:rFonts w:ascii="宋体" w:hAnsi="宋体"/>
          <w:b/>
        </w:rPr>
        <w:t>2</w:t>
      </w:r>
      <w:r w:rsidRPr="00EA06D5">
        <w:rPr>
          <w:rFonts w:ascii="宋体" w:hAnsi="宋体" w:hint="eastAsia"/>
          <w:b/>
        </w:rPr>
        <w:t>、基金产品说明</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1493"/>
        <w:gridCol w:w="6803"/>
      </w:tblGrid>
      <w:tr w:rsidR="00DC3906" w:rsidRPr="000667F3" w14:paraId="6ABEED24" w14:textId="77777777" w:rsidTr="00CF69E3">
        <w:tc>
          <w:tcPr>
            <w:tcW w:w="1526" w:type="dxa"/>
          </w:tcPr>
          <w:p w14:paraId="56A5DA6D" w14:textId="77777777" w:rsidR="00DC3906" w:rsidRPr="00CF69E3" w:rsidRDefault="00DC3906" w:rsidP="00C43916">
            <w:pPr>
              <w:rPr>
                <w:rFonts w:ascii="宋体"/>
              </w:rPr>
            </w:pPr>
            <w:r w:rsidRPr="00CF69E3">
              <w:rPr>
                <w:rFonts w:ascii="宋体" w:hAnsi="宋体" w:hint="eastAsia"/>
              </w:rPr>
              <w:lastRenderedPageBreak/>
              <w:t>投资目标</w:t>
            </w:r>
          </w:p>
        </w:tc>
        <w:tc>
          <w:tcPr>
            <w:tcW w:w="6996" w:type="dxa"/>
          </w:tcPr>
          <w:p w14:paraId="33B9675B" w14:textId="0F93F69D" w:rsidR="00DC3906" w:rsidRPr="00CF69E3" w:rsidRDefault="00347436" w:rsidP="00C43916">
            <w:pPr>
              <w:rPr>
                <w:rFonts w:ascii="宋体"/>
              </w:rPr>
            </w:pPr>
            <w:r w:rsidRPr="00347436">
              <w:rPr>
                <w:rFonts w:ascii="宋体" w:hint="eastAsia"/>
              </w:rPr>
              <w:t>本基金在控制风险并保持基金资产良好的流动性的前提下，力争实现基金资产的长期稳定增值。</w:t>
            </w:r>
          </w:p>
        </w:tc>
      </w:tr>
      <w:tr w:rsidR="00DC3906" w:rsidRPr="000667F3" w14:paraId="62836149" w14:textId="77777777" w:rsidTr="00CF69E3">
        <w:tc>
          <w:tcPr>
            <w:tcW w:w="1526" w:type="dxa"/>
          </w:tcPr>
          <w:p w14:paraId="399C6B2D" w14:textId="77777777" w:rsidR="00DC3906" w:rsidRPr="00CF69E3" w:rsidRDefault="00DC3906" w:rsidP="00C43916">
            <w:pPr>
              <w:rPr>
                <w:rFonts w:ascii="宋体"/>
              </w:rPr>
            </w:pPr>
            <w:r w:rsidRPr="00CF69E3">
              <w:rPr>
                <w:rFonts w:ascii="宋体" w:hAnsi="宋体" w:hint="eastAsia"/>
              </w:rPr>
              <w:t>投资策略</w:t>
            </w:r>
          </w:p>
        </w:tc>
        <w:tc>
          <w:tcPr>
            <w:tcW w:w="6996" w:type="dxa"/>
          </w:tcPr>
          <w:p w14:paraId="40C862CE" w14:textId="230B6DA5" w:rsidR="00DC3906" w:rsidRPr="00CF69E3" w:rsidRDefault="00E110F1" w:rsidP="007F2FDD">
            <w:pPr>
              <w:rPr>
                <w:rFonts w:ascii="宋体" w:hAnsi="宋体"/>
              </w:rPr>
            </w:pPr>
            <w:r w:rsidRPr="00E110F1">
              <w:rPr>
                <w:rFonts w:ascii="宋体" w:hAnsi="宋体" w:hint="eastAsia"/>
              </w:rPr>
              <w:t>本基金充分发挥基金管理人的研究优势，在分析和判断宏观经济周期和金融市场运行趋势的基础上，自上而下灵活调整基金大类资产配置比例，确定债券</w:t>
            </w:r>
            <w:proofErr w:type="gramStart"/>
            <w:r w:rsidRPr="00E110F1">
              <w:rPr>
                <w:rFonts w:ascii="宋体" w:hAnsi="宋体" w:hint="eastAsia"/>
              </w:rPr>
              <w:t>组合久期和</w:t>
            </w:r>
            <w:proofErr w:type="gramEnd"/>
            <w:r w:rsidRPr="00E110F1">
              <w:rPr>
                <w:rFonts w:ascii="宋体" w:hAnsi="宋体" w:hint="eastAsia"/>
              </w:rPr>
              <w:t>债券类别配置；在严谨深入的股票和债券研究分析基础上，自下而上精选股票和债券。</w:t>
            </w:r>
          </w:p>
        </w:tc>
      </w:tr>
      <w:tr w:rsidR="00DC3906" w:rsidRPr="000667F3" w14:paraId="1F0D1885" w14:textId="77777777" w:rsidTr="00CF69E3">
        <w:tc>
          <w:tcPr>
            <w:tcW w:w="1526" w:type="dxa"/>
          </w:tcPr>
          <w:p w14:paraId="65380F4D" w14:textId="77777777" w:rsidR="00DC3906" w:rsidRPr="00CF69E3" w:rsidRDefault="00DC3906" w:rsidP="00C43916">
            <w:pPr>
              <w:rPr>
                <w:rFonts w:ascii="宋体"/>
              </w:rPr>
            </w:pPr>
            <w:r w:rsidRPr="00CF69E3">
              <w:rPr>
                <w:rFonts w:ascii="宋体" w:hAnsi="宋体" w:hint="eastAsia"/>
              </w:rPr>
              <w:t>业绩比较基准</w:t>
            </w:r>
          </w:p>
        </w:tc>
        <w:tc>
          <w:tcPr>
            <w:tcW w:w="6996" w:type="dxa"/>
          </w:tcPr>
          <w:p w14:paraId="32AFD863" w14:textId="1E8D17E9" w:rsidR="00DC3906" w:rsidRPr="00CF69E3" w:rsidRDefault="00E110F1" w:rsidP="00C43916">
            <w:pPr>
              <w:rPr>
                <w:rFonts w:ascii="宋体" w:hAnsi="宋体"/>
              </w:rPr>
            </w:pPr>
            <w:r w:rsidRPr="00E110F1">
              <w:rPr>
                <w:rFonts w:ascii="宋体" w:hAnsi="宋体" w:hint="eastAsia"/>
              </w:rPr>
              <w:t>50%×沪深300指数收益率+50%×中债综合全价指数收益率</w:t>
            </w:r>
          </w:p>
        </w:tc>
      </w:tr>
      <w:tr w:rsidR="00DC3906" w:rsidRPr="000667F3" w14:paraId="0E820943" w14:textId="77777777" w:rsidTr="00CF69E3">
        <w:tc>
          <w:tcPr>
            <w:tcW w:w="1526" w:type="dxa"/>
          </w:tcPr>
          <w:p w14:paraId="547275E4" w14:textId="77777777" w:rsidR="00DC3906" w:rsidRPr="00CF69E3" w:rsidRDefault="00DC3906" w:rsidP="00C43916">
            <w:pPr>
              <w:rPr>
                <w:rFonts w:ascii="宋体"/>
              </w:rPr>
            </w:pPr>
            <w:r w:rsidRPr="00CF69E3">
              <w:rPr>
                <w:rFonts w:ascii="宋体" w:hAnsi="宋体" w:hint="eastAsia"/>
              </w:rPr>
              <w:t>风险收益特征</w:t>
            </w:r>
          </w:p>
        </w:tc>
        <w:tc>
          <w:tcPr>
            <w:tcW w:w="6996" w:type="dxa"/>
          </w:tcPr>
          <w:p w14:paraId="462181EC" w14:textId="210739C2" w:rsidR="00DC3906" w:rsidRPr="00CF69E3" w:rsidRDefault="00347436" w:rsidP="00704551">
            <w:pPr>
              <w:rPr>
                <w:rFonts w:ascii="宋体"/>
              </w:rPr>
            </w:pPr>
            <w:r w:rsidRPr="00347436">
              <w:rPr>
                <w:rFonts w:ascii="宋体" w:hint="eastAsia"/>
              </w:rPr>
              <w:t>本基金是一只混合型基金，其风险和预期收益高于债券型基金和货币市场基金，低于股票型基金。属于承担较高风险、预期收益较高的证券投资基金品种。</w:t>
            </w:r>
          </w:p>
        </w:tc>
      </w:tr>
    </w:tbl>
    <w:p w14:paraId="2DAA109B" w14:textId="77777777" w:rsidR="00DC3906" w:rsidRPr="000667F3" w:rsidRDefault="00DC3906" w:rsidP="00C43916">
      <w:pPr>
        <w:rPr>
          <w:rFonts w:ascii="宋体"/>
        </w:rPr>
      </w:pPr>
    </w:p>
    <w:p w14:paraId="704BC5CD" w14:textId="77777777" w:rsidR="00DC3906" w:rsidRPr="00C95394" w:rsidRDefault="00DC3906" w:rsidP="00CA7C64">
      <w:pPr>
        <w:spacing w:afterLines="100" w:after="312"/>
        <w:rPr>
          <w:rStyle w:val="a8"/>
        </w:rPr>
      </w:pPr>
      <w:r w:rsidRPr="00C95394">
        <w:rPr>
          <w:rStyle w:val="a8"/>
          <w:rFonts w:hint="eastAsia"/>
        </w:rPr>
        <w:t>三、财务会计报告</w:t>
      </w:r>
    </w:p>
    <w:p w14:paraId="25F02BDB" w14:textId="77777777" w:rsidR="00DC3906" w:rsidRPr="004E43FD" w:rsidRDefault="001D2408" w:rsidP="00CA7C64">
      <w:pPr>
        <w:spacing w:afterLines="50" w:after="156"/>
        <w:rPr>
          <w:rFonts w:ascii="宋体"/>
          <w:b/>
        </w:rPr>
      </w:pPr>
      <w:r w:rsidRPr="001D2408">
        <w:rPr>
          <w:rFonts w:ascii="宋体" w:hAnsi="宋体" w:hint="eastAsia"/>
          <w:b/>
        </w:rPr>
        <w:t>资产负债表（经审计）</w:t>
      </w:r>
    </w:p>
    <w:p w14:paraId="09CF3712" w14:textId="6FED3FD8" w:rsidR="00DC3906" w:rsidRPr="004E43FD" w:rsidRDefault="00DC3906" w:rsidP="00C43916">
      <w:pPr>
        <w:rPr>
          <w:rFonts w:ascii="宋体"/>
        </w:rPr>
      </w:pPr>
      <w:r w:rsidRPr="004E43FD">
        <w:rPr>
          <w:rFonts w:ascii="宋体" w:hAnsi="宋体" w:hint="eastAsia"/>
        </w:rPr>
        <w:t>会计主体：</w:t>
      </w:r>
      <w:r w:rsidR="0047482D">
        <w:rPr>
          <w:rFonts w:ascii="宋体" w:hAnsi="宋体" w:hint="eastAsia"/>
        </w:rPr>
        <w:t>交银施罗德卓越回报灵活配置混合型证券投资基金</w:t>
      </w:r>
    </w:p>
    <w:p w14:paraId="6D805E17" w14:textId="387A83CA" w:rsidR="00FA4863" w:rsidRPr="000667F3" w:rsidRDefault="00DC3906" w:rsidP="00FA4863">
      <w:pPr>
        <w:rPr>
          <w:rFonts w:ascii="宋体"/>
        </w:rPr>
      </w:pPr>
      <w:r w:rsidRPr="004E43FD">
        <w:rPr>
          <w:rFonts w:ascii="宋体" w:hAnsi="宋体" w:hint="eastAsia"/>
        </w:rPr>
        <w:t>最后运作日：</w:t>
      </w:r>
      <w:r w:rsidR="00452316" w:rsidRPr="004E43FD">
        <w:rPr>
          <w:rFonts w:ascii="宋体" w:hAnsi="宋体"/>
        </w:rPr>
        <w:t>201</w:t>
      </w:r>
      <w:r w:rsidR="00452316">
        <w:rPr>
          <w:rFonts w:ascii="宋体" w:hAnsi="宋体"/>
        </w:rPr>
        <w:t>8</w:t>
      </w:r>
      <w:r w:rsidR="00FA4863" w:rsidRPr="004E43FD">
        <w:rPr>
          <w:rFonts w:ascii="宋体" w:hAnsi="宋体" w:hint="eastAsia"/>
        </w:rPr>
        <w:t>年</w:t>
      </w:r>
      <w:r w:rsidR="00E110F1">
        <w:rPr>
          <w:rFonts w:ascii="宋体" w:hAnsi="宋体"/>
        </w:rPr>
        <w:t>9</w:t>
      </w:r>
      <w:r w:rsidR="00FA4863" w:rsidRPr="004E43FD">
        <w:rPr>
          <w:rFonts w:ascii="宋体" w:hAnsi="宋体" w:hint="eastAsia"/>
        </w:rPr>
        <w:t>月</w:t>
      </w:r>
      <w:r w:rsidR="00F021DE">
        <w:rPr>
          <w:rFonts w:ascii="宋体" w:hAnsi="宋体"/>
        </w:rPr>
        <w:t>2</w:t>
      </w:r>
      <w:r w:rsidR="00E110F1">
        <w:rPr>
          <w:rFonts w:ascii="宋体" w:hAnsi="宋体"/>
        </w:rPr>
        <w:t>5</w:t>
      </w:r>
      <w:r w:rsidR="00FA4863" w:rsidRPr="004E43FD">
        <w:rPr>
          <w:rFonts w:ascii="宋体" w:hAnsi="宋体" w:hint="eastAsia"/>
        </w:rPr>
        <w:t>日</w:t>
      </w:r>
    </w:p>
    <w:p w14:paraId="70A68D2B" w14:textId="77777777" w:rsidR="00DC3906" w:rsidRPr="000667F3" w:rsidRDefault="00DC3906" w:rsidP="00FA4863">
      <w:pPr>
        <w:rPr>
          <w:rFonts w:ascii="宋体"/>
          <w:sz w:val="18"/>
        </w:rPr>
      </w:pPr>
      <w:r w:rsidRPr="000667F3">
        <w:rPr>
          <w:rFonts w:ascii="宋体" w:hAnsi="宋体" w:hint="eastAsia"/>
          <w:sz w:val="18"/>
        </w:rPr>
        <w:t>单位：人民币元</w:t>
      </w:r>
    </w:p>
    <w:tbl>
      <w:tblPr>
        <w:tblW w:w="5000" w:type="pct"/>
        <w:tblLayout w:type="fixed"/>
        <w:tblLook w:val="00A0" w:firstRow="1" w:lastRow="0" w:firstColumn="1" w:lastColumn="0" w:noHBand="0" w:noVBand="0"/>
      </w:tblPr>
      <w:tblGrid>
        <w:gridCol w:w="2530"/>
        <w:gridCol w:w="1695"/>
        <w:gridCol w:w="2416"/>
        <w:gridCol w:w="1637"/>
      </w:tblGrid>
      <w:tr w:rsidR="00DC3906" w:rsidRPr="00E32FC2" w14:paraId="0D0D62EE" w14:textId="77777777" w:rsidTr="002747E2">
        <w:trPr>
          <w:trHeight w:val="300"/>
        </w:trPr>
        <w:tc>
          <w:tcPr>
            <w:tcW w:w="1528" w:type="pct"/>
            <w:tcBorders>
              <w:top w:val="double" w:sz="6" w:space="0" w:color="000000"/>
              <w:left w:val="double" w:sz="6" w:space="0" w:color="000000"/>
              <w:bottom w:val="single" w:sz="4" w:space="0" w:color="000000"/>
              <w:right w:val="single" w:sz="4" w:space="0" w:color="000000"/>
            </w:tcBorders>
            <w:shd w:val="clear" w:color="000000" w:fill="FFFFFF"/>
            <w:noWrap/>
            <w:vAlign w:val="center"/>
          </w:tcPr>
          <w:p w14:paraId="40828B5B" w14:textId="77777777" w:rsidR="00DC3906" w:rsidRPr="00E32FC2" w:rsidRDefault="00DC3906" w:rsidP="0073471B">
            <w:pPr>
              <w:widowControl/>
              <w:jc w:val="center"/>
              <w:rPr>
                <w:rFonts w:asciiTheme="minorEastAsia" w:eastAsiaTheme="minorEastAsia" w:hAnsiTheme="minorEastAsia" w:cs="Arial"/>
                <w:color w:val="000000"/>
                <w:sz w:val="21"/>
                <w:szCs w:val="21"/>
              </w:rPr>
            </w:pPr>
            <w:r w:rsidRPr="00E32FC2">
              <w:rPr>
                <w:rFonts w:asciiTheme="minorEastAsia" w:eastAsiaTheme="minorEastAsia" w:hAnsiTheme="minorEastAsia" w:cs="Arial" w:hint="eastAsia"/>
                <w:color w:val="000000"/>
                <w:sz w:val="21"/>
                <w:szCs w:val="21"/>
              </w:rPr>
              <w:t>资</w:t>
            </w:r>
            <w:r w:rsidRPr="00E32FC2">
              <w:rPr>
                <w:rFonts w:asciiTheme="minorEastAsia" w:eastAsiaTheme="minorEastAsia" w:hAnsiTheme="minorEastAsia" w:cs="Arial"/>
                <w:color w:val="000000"/>
                <w:sz w:val="21"/>
                <w:szCs w:val="21"/>
              </w:rPr>
              <w:t xml:space="preserve">     </w:t>
            </w:r>
            <w:r w:rsidRPr="00E32FC2">
              <w:rPr>
                <w:rFonts w:asciiTheme="minorEastAsia" w:eastAsiaTheme="minorEastAsia" w:hAnsiTheme="minorEastAsia" w:cs="Arial" w:hint="eastAsia"/>
                <w:color w:val="000000"/>
                <w:sz w:val="21"/>
                <w:szCs w:val="21"/>
              </w:rPr>
              <w:t>产</w:t>
            </w:r>
          </w:p>
        </w:tc>
        <w:tc>
          <w:tcPr>
            <w:tcW w:w="1024" w:type="pct"/>
            <w:tcBorders>
              <w:top w:val="double" w:sz="6" w:space="0" w:color="000000"/>
              <w:left w:val="nil"/>
              <w:bottom w:val="single" w:sz="4" w:space="0" w:color="000000"/>
              <w:right w:val="single" w:sz="4" w:space="0" w:color="000000"/>
            </w:tcBorders>
            <w:shd w:val="clear" w:color="000000" w:fill="FFFFFF"/>
            <w:noWrap/>
            <w:vAlign w:val="center"/>
          </w:tcPr>
          <w:p w14:paraId="6B28E8B7" w14:textId="77777777" w:rsidR="00DC3906" w:rsidRPr="00E32FC2" w:rsidRDefault="00DC3906" w:rsidP="0073471B">
            <w:pPr>
              <w:widowControl/>
              <w:jc w:val="center"/>
              <w:rPr>
                <w:rFonts w:asciiTheme="minorEastAsia" w:eastAsiaTheme="minorEastAsia" w:hAnsiTheme="minorEastAsia" w:cs="Arial"/>
                <w:color w:val="000000"/>
                <w:sz w:val="21"/>
                <w:szCs w:val="21"/>
              </w:rPr>
            </w:pPr>
            <w:r w:rsidRPr="00E32FC2">
              <w:rPr>
                <w:rFonts w:asciiTheme="minorEastAsia" w:eastAsiaTheme="minorEastAsia" w:hAnsiTheme="minorEastAsia" w:cs="Arial" w:hint="eastAsia"/>
                <w:color w:val="000000"/>
                <w:sz w:val="21"/>
                <w:szCs w:val="21"/>
              </w:rPr>
              <w:t>最后运作日</w:t>
            </w:r>
          </w:p>
        </w:tc>
        <w:tc>
          <w:tcPr>
            <w:tcW w:w="1459" w:type="pct"/>
            <w:tcBorders>
              <w:top w:val="double" w:sz="6" w:space="0" w:color="000000"/>
              <w:left w:val="nil"/>
              <w:bottom w:val="single" w:sz="4" w:space="0" w:color="000000"/>
              <w:right w:val="single" w:sz="4" w:space="0" w:color="000000"/>
            </w:tcBorders>
            <w:shd w:val="clear" w:color="000000" w:fill="FFFFFF"/>
            <w:noWrap/>
            <w:vAlign w:val="center"/>
          </w:tcPr>
          <w:p w14:paraId="1B749956" w14:textId="77777777" w:rsidR="00DC3906" w:rsidRPr="00E32FC2" w:rsidRDefault="00DC3906" w:rsidP="0073471B">
            <w:pPr>
              <w:widowControl/>
              <w:jc w:val="center"/>
              <w:rPr>
                <w:rFonts w:asciiTheme="minorEastAsia" w:eastAsiaTheme="minorEastAsia" w:hAnsiTheme="minorEastAsia" w:cs="Arial"/>
                <w:color w:val="000000"/>
                <w:sz w:val="21"/>
                <w:szCs w:val="21"/>
              </w:rPr>
            </w:pPr>
            <w:r w:rsidRPr="00E32FC2">
              <w:rPr>
                <w:rFonts w:asciiTheme="minorEastAsia" w:eastAsiaTheme="minorEastAsia" w:hAnsiTheme="minorEastAsia" w:cs="Arial" w:hint="eastAsia"/>
                <w:color w:val="000000"/>
                <w:sz w:val="21"/>
                <w:szCs w:val="21"/>
              </w:rPr>
              <w:t>负债和所有者权益</w:t>
            </w:r>
          </w:p>
        </w:tc>
        <w:tc>
          <w:tcPr>
            <w:tcW w:w="989" w:type="pct"/>
            <w:tcBorders>
              <w:top w:val="double" w:sz="6" w:space="0" w:color="000000"/>
              <w:left w:val="nil"/>
              <w:bottom w:val="single" w:sz="4" w:space="0" w:color="000000"/>
              <w:right w:val="single" w:sz="4" w:space="0" w:color="000000"/>
            </w:tcBorders>
            <w:shd w:val="clear" w:color="000000" w:fill="FFFFFF"/>
            <w:noWrap/>
            <w:vAlign w:val="center"/>
          </w:tcPr>
          <w:p w14:paraId="632B3E99" w14:textId="77777777" w:rsidR="00DC3906" w:rsidRPr="00E32FC2" w:rsidRDefault="00DC3906" w:rsidP="0073471B">
            <w:pPr>
              <w:widowControl/>
              <w:jc w:val="center"/>
              <w:rPr>
                <w:rFonts w:asciiTheme="minorEastAsia" w:eastAsiaTheme="minorEastAsia" w:hAnsiTheme="minorEastAsia" w:cs="Arial"/>
                <w:color w:val="000000"/>
                <w:sz w:val="21"/>
                <w:szCs w:val="21"/>
              </w:rPr>
            </w:pPr>
            <w:r w:rsidRPr="00E32FC2">
              <w:rPr>
                <w:rFonts w:asciiTheme="minorEastAsia" w:eastAsiaTheme="minorEastAsia" w:hAnsiTheme="minorEastAsia" w:cs="Arial" w:hint="eastAsia"/>
                <w:color w:val="000000"/>
                <w:sz w:val="21"/>
                <w:szCs w:val="21"/>
              </w:rPr>
              <w:t>最后运作日</w:t>
            </w:r>
          </w:p>
        </w:tc>
      </w:tr>
      <w:tr w:rsidR="00DC3906" w:rsidRPr="00E32FC2" w14:paraId="6D94F423" w14:textId="77777777" w:rsidTr="002747E2">
        <w:trPr>
          <w:trHeight w:val="288"/>
        </w:trPr>
        <w:tc>
          <w:tcPr>
            <w:tcW w:w="1528" w:type="pct"/>
            <w:tcBorders>
              <w:top w:val="nil"/>
              <w:left w:val="double" w:sz="6" w:space="0" w:color="000000"/>
              <w:bottom w:val="single" w:sz="4" w:space="0" w:color="000000"/>
              <w:right w:val="single" w:sz="4" w:space="0" w:color="000000"/>
            </w:tcBorders>
            <w:shd w:val="clear" w:color="000000" w:fill="FFFFFF"/>
            <w:noWrap/>
            <w:vAlign w:val="center"/>
          </w:tcPr>
          <w:p w14:paraId="5598F4CA" w14:textId="77777777" w:rsidR="00DC3906" w:rsidRPr="00E32FC2" w:rsidRDefault="00DC3906" w:rsidP="0073471B">
            <w:pPr>
              <w:widowControl/>
              <w:jc w:val="center"/>
              <w:rPr>
                <w:rFonts w:asciiTheme="minorEastAsia" w:eastAsiaTheme="minorEastAsia" w:hAnsiTheme="minorEastAsia" w:cs="Arial"/>
                <w:color w:val="000000"/>
                <w:sz w:val="21"/>
                <w:szCs w:val="21"/>
              </w:rPr>
            </w:pPr>
            <w:r w:rsidRPr="00E32FC2">
              <w:rPr>
                <w:rFonts w:asciiTheme="minorEastAsia" w:eastAsiaTheme="minorEastAsia" w:hAnsiTheme="minorEastAsia" w:cs="Arial" w:hint="eastAsia"/>
                <w:color w:val="000000"/>
                <w:sz w:val="21"/>
                <w:szCs w:val="21"/>
              </w:rPr>
              <w:t xml:space="preserve">　</w:t>
            </w:r>
          </w:p>
        </w:tc>
        <w:tc>
          <w:tcPr>
            <w:tcW w:w="1024" w:type="pct"/>
            <w:tcBorders>
              <w:top w:val="nil"/>
              <w:left w:val="nil"/>
              <w:bottom w:val="single" w:sz="4" w:space="0" w:color="000000"/>
              <w:right w:val="single" w:sz="4" w:space="0" w:color="000000"/>
            </w:tcBorders>
            <w:shd w:val="clear" w:color="000000" w:fill="FFFFFF"/>
            <w:noWrap/>
            <w:vAlign w:val="center"/>
          </w:tcPr>
          <w:p w14:paraId="67F3C94A" w14:textId="158A9048" w:rsidR="00DC3906" w:rsidRPr="00E32FC2" w:rsidRDefault="00FA4863" w:rsidP="00E110F1">
            <w:pPr>
              <w:widowControl/>
              <w:jc w:val="center"/>
              <w:rPr>
                <w:rFonts w:asciiTheme="minorEastAsia" w:eastAsiaTheme="minorEastAsia" w:hAnsiTheme="minorEastAsia" w:cs="Arial"/>
                <w:color w:val="000000"/>
                <w:sz w:val="21"/>
                <w:szCs w:val="21"/>
              </w:rPr>
            </w:pPr>
            <w:r w:rsidRPr="00E32FC2">
              <w:rPr>
                <w:rFonts w:asciiTheme="minorEastAsia" w:eastAsiaTheme="minorEastAsia" w:hAnsiTheme="minorEastAsia" w:cs="Arial"/>
                <w:color w:val="000000"/>
                <w:sz w:val="21"/>
                <w:szCs w:val="21"/>
              </w:rPr>
              <w:t>201</w:t>
            </w:r>
            <w:r w:rsidR="00F021DE">
              <w:rPr>
                <w:rFonts w:asciiTheme="minorEastAsia" w:eastAsiaTheme="minorEastAsia" w:hAnsiTheme="minorEastAsia" w:cs="Arial"/>
                <w:color w:val="000000"/>
                <w:sz w:val="21"/>
                <w:szCs w:val="21"/>
              </w:rPr>
              <w:t>8</w:t>
            </w:r>
            <w:r w:rsidRPr="00E32FC2">
              <w:rPr>
                <w:rFonts w:asciiTheme="minorEastAsia" w:eastAsiaTheme="minorEastAsia" w:hAnsiTheme="minorEastAsia" w:cs="Arial"/>
                <w:color w:val="000000"/>
                <w:sz w:val="21"/>
                <w:szCs w:val="21"/>
              </w:rPr>
              <w:t>/0</w:t>
            </w:r>
            <w:r w:rsidR="00E110F1">
              <w:rPr>
                <w:rFonts w:asciiTheme="minorEastAsia" w:eastAsiaTheme="minorEastAsia" w:hAnsiTheme="minorEastAsia" w:cs="Arial"/>
                <w:color w:val="000000"/>
                <w:sz w:val="21"/>
                <w:szCs w:val="21"/>
              </w:rPr>
              <w:t>9</w:t>
            </w:r>
            <w:r w:rsidRPr="00E32FC2">
              <w:rPr>
                <w:rFonts w:asciiTheme="minorEastAsia" w:eastAsiaTheme="minorEastAsia" w:hAnsiTheme="minorEastAsia" w:cs="Arial"/>
                <w:color w:val="000000"/>
                <w:sz w:val="21"/>
                <w:szCs w:val="21"/>
              </w:rPr>
              <w:t>/</w:t>
            </w:r>
            <w:r>
              <w:rPr>
                <w:rFonts w:asciiTheme="minorEastAsia" w:eastAsiaTheme="minorEastAsia" w:hAnsiTheme="minorEastAsia" w:cs="Arial"/>
                <w:color w:val="000000"/>
                <w:sz w:val="21"/>
                <w:szCs w:val="21"/>
              </w:rPr>
              <w:t>2</w:t>
            </w:r>
            <w:r w:rsidR="00E110F1">
              <w:rPr>
                <w:rFonts w:asciiTheme="minorEastAsia" w:eastAsiaTheme="minorEastAsia" w:hAnsiTheme="minorEastAsia" w:cs="Arial"/>
                <w:color w:val="000000"/>
                <w:sz w:val="21"/>
                <w:szCs w:val="21"/>
              </w:rPr>
              <w:t>5</w:t>
            </w:r>
          </w:p>
        </w:tc>
        <w:tc>
          <w:tcPr>
            <w:tcW w:w="1459" w:type="pct"/>
            <w:tcBorders>
              <w:top w:val="nil"/>
              <w:left w:val="nil"/>
              <w:bottom w:val="single" w:sz="4" w:space="0" w:color="000000"/>
              <w:right w:val="single" w:sz="4" w:space="0" w:color="000000"/>
            </w:tcBorders>
            <w:shd w:val="clear" w:color="000000" w:fill="FFFFFF"/>
            <w:noWrap/>
            <w:vAlign w:val="center"/>
          </w:tcPr>
          <w:p w14:paraId="0E7E08E8" w14:textId="77777777" w:rsidR="00DC3906" w:rsidRPr="00E32FC2" w:rsidRDefault="00DC3906" w:rsidP="0073471B">
            <w:pPr>
              <w:widowControl/>
              <w:jc w:val="center"/>
              <w:rPr>
                <w:rFonts w:asciiTheme="minorEastAsia" w:eastAsiaTheme="minorEastAsia" w:hAnsiTheme="minorEastAsia" w:cs="Arial"/>
                <w:color w:val="000000"/>
                <w:sz w:val="21"/>
                <w:szCs w:val="21"/>
              </w:rPr>
            </w:pPr>
            <w:r w:rsidRPr="00E32FC2">
              <w:rPr>
                <w:rFonts w:asciiTheme="minorEastAsia" w:eastAsiaTheme="minorEastAsia" w:hAnsiTheme="minorEastAsia" w:cs="Arial" w:hint="eastAsia"/>
                <w:color w:val="000000"/>
                <w:sz w:val="21"/>
                <w:szCs w:val="21"/>
              </w:rPr>
              <w:t xml:space="preserve">　</w:t>
            </w:r>
          </w:p>
        </w:tc>
        <w:tc>
          <w:tcPr>
            <w:tcW w:w="989" w:type="pct"/>
            <w:tcBorders>
              <w:top w:val="nil"/>
              <w:left w:val="nil"/>
              <w:bottom w:val="single" w:sz="4" w:space="0" w:color="000000"/>
              <w:right w:val="single" w:sz="4" w:space="0" w:color="000000"/>
            </w:tcBorders>
            <w:shd w:val="clear" w:color="000000" w:fill="FFFFFF"/>
            <w:noWrap/>
            <w:vAlign w:val="center"/>
          </w:tcPr>
          <w:p w14:paraId="14286AC6" w14:textId="0A7A5BC0" w:rsidR="00DC3906" w:rsidRPr="00E32FC2" w:rsidRDefault="00F021DE" w:rsidP="00E110F1">
            <w:pPr>
              <w:widowControl/>
              <w:jc w:val="center"/>
              <w:rPr>
                <w:rFonts w:asciiTheme="minorEastAsia" w:eastAsiaTheme="minorEastAsia" w:hAnsiTheme="minorEastAsia" w:cs="Arial"/>
                <w:color w:val="000000"/>
                <w:sz w:val="21"/>
                <w:szCs w:val="21"/>
              </w:rPr>
            </w:pPr>
            <w:r w:rsidRPr="00E32FC2">
              <w:rPr>
                <w:rFonts w:asciiTheme="minorEastAsia" w:eastAsiaTheme="minorEastAsia" w:hAnsiTheme="minorEastAsia" w:cs="Arial"/>
                <w:color w:val="000000"/>
                <w:sz w:val="21"/>
                <w:szCs w:val="21"/>
              </w:rPr>
              <w:t>201</w:t>
            </w:r>
            <w:r>
              <w:rPr>
                <w:rFonts w:asciiTheme="minorEastAsia" w:eastAsiaTheme="minorEastAsia" w:hAnsiTheme="minorEastAsia" w:cs="Arial"/>
                <w:color w:val="000000"/>
                <w:sz w:val="21"/>
                <w:szCs w:val="21"/>
              </w:rPr>
              <w:t>8</w:t>
            </w:r>
            <w:r w:rsidRPr="00E32FC2">
              <w:rPr>
                <w:rFonts w:asciiTheme="minorEastAsia" w:eastAsiaTheme="minorEastAsia" w:hAnsiTheme="minorEastAsia" w:cs="Arial"/>
                <w:color w:val="000000"/>
                <w:sz w:val="21"/>
                <w:szCs w:val="21"/>
              </w:rPr>
              <w:t>/0</w:t>
            </w:r>
            <w:r w:rsidR="00E110F1">
              <w:rPr>
                <w:rFonts w:asciiTheme="minorEastAsia" w:eastAsiaTheme="minorEastAsia" w:hAnsiTheme="minorEastAsia" w:cs="Arial"/>
                <w:color w:val="000000"/>
                <w:sz w:val="21"/>
                <w:szCs w:val="21"/>
              </w:rPr>
              <w:t>9</w:t>
            </w:r>
            <w:r w:rsidRPr="00E32FC2">
              <w:rPr>
                <w:rFonts w:asciiTheme="minorEastAsia" w:eastAsiaTheme="minorEastAsia" w:hAnsiTheme="minorEastAsia" w:cs="Arial"/>
                <w:color w:val="000000"/>
                <w:sz w:val="21"/>
                <w:szCs w:val="21"/>
              </w:rPr>
              <w:t>/</w:t>
            </w:r>
            <w:r>
              <w:rPr>
                <w:rFonts w:asciiTheme="minorEastAsia" w:eastAsiaTheme="minorEastAsia" w:hAnsiTheme="minorEastAsia" w:cs="Arial"/>
                <w:color w:val="000000"/>
                <w:sz w:val="21"/>
                <w:szCs w:val="21"/>
              </w:rPr>
              <w:t>2</w:t>
            </w:r>
            <w:r w:rsidR="00E110F1">
              <w:rPr>
                <w:rFonts w:asciiTheme="minorEastAsia" w:eastAsiaTheme="minorEastAsia" w:hAnsiTheme="minorEastAsia" w:cs="Arial"/>
                <w:color w:val="000000"/>
                <w:sz w:val="21"/>
                <w:szCs w:val="21"/>
              </w:rPr>
              <w:t>5</w:t>
            </w:r>
          </w:p>
        </w:tc>
      </w:tr>
      <w:tr w:rsidR="00DC3906" w:rsidRPr="00E32FC2" w14:paraId="764658E5" w14:textId="77777777" w:rsidTr="002747E2">
        <w:trPr>
          <w:trHeight w:val="288"/>
        </w:trPr>
        <w:tc>
          <w:tcPr>
            <w:tcW w:w="1528" w:type="pct"/>
            <w:tcBorders>
              <w:top w:val="nil"/>
              <w:left w:val="double" w:sz="6" w:space="0" w:color="000000"/>
              <w:bottom w:val="single" w:sz="4" w:space="0" w:color="000000"/>
              <w:right w:val="single" w:sz="4" w:space="0" w:color="000000"/>
            </w:tcBorders>
            <w:shd w:val="clear" w:color="000000" w:fill="FFFFFF"/>
            <w:noWrap/>
          </w:tcPr>
          <w:p w14:paraId="0666C420" w14:textId="77777777" w:rsidR="00DC3906" w:rsidRPr="00BF751A" w:rsidRDefault="00DC3906" w:rsidP="0073471B">
            <w:pPr>
              <w:widowControl/>
              <w:jc w:val="left"/>
              <w:rPr>
                <w:rFonts w:asciiTheme="minorEastAsia" w:eastAsiaTheme="minorEastAsia" w:hAnsiTheme="minorEastAsia" w:cs="宋体"/>
                <w:b/>
                <w:bCs/>
                <w:color w:val="000000"/>
                <w:sz w:val="21"/>
                <w:szCs w:val="21"/>
              </w:rPr>
            </w:pPr>
            <w:r w:rsidRPr="00BF751A">
              <w:rPr>
                <w:rFonts w:asciiTheme="minorEastAsia" w:eastAsiaTheme="minorEastAsia" w:hAnsiTheme="minorEastAsia" w:cs="宋体" w:hint="eastAsia"/>
                <w:b/>
                <w:bCs/>
                <w:color w:val="000000"/>
                <w:sz w:val="21"/>
                <w:szCs w:val="21"/>
              </w:rPr>
              <w:t>资</w:t>
            </w:r>
            <w:r w:rsidRPr="00BF751A">
              <w:rPr>
                <w:rFonts w:asciiTheme="minorEastAsia" w:eastAsiaTheme="minorEastAsia" w:hAnsiTheme="minorEastAsia" w:cs="宋体"/>
                <w:b/>
                <w:bCs/>
                <w:color w:val="000000"/>
                <w:sz w:val="21"/>
                <w:szCs w:val="21"/>
              </w:rPr>
              <w:t xml:space="preserve">  </w:t>
            </w:r>
            <w:r w:rsidRPr="00BF751A">
              <w:rPr>
                <w:rFonts w:asciiTheme="minorEastAsia" w:eastAsiaTheme="minorEastAsia" w:hAnsiTheme="minorEastAsia" w:cs="宋体" w:hint="eastAsia"/>
                <w:b/>
                <w:bCs/>
                <w:color w:val="000000"/>
                <w:sz w:val="21"/>
                <w:szCs w:val="21"/>
              </w:rPr>
              <w:t>产</w:t>
            </w:r>
            <w:r w:rsidRPr="00BF751A">
              <w:rPr>
                <w:rFonts w:asciiTheme="minorEastAsia" w:eastAsiaTheme="minorEastAsia" w:hAnsiTheme="minorEastAsia" w:cs="宋体"/>
                <w:b/>
                <w:bCs/>
                <w:color w:val="000000"/>
                <w:sz w:val="21"/>
                <w:szCs w:val="21"/>
              </w:rPr>
              <w:t xml:space="preserve"> :</w:t>
            </w:r>
          </w:p>
        </w:tc>
        <w:tc>
          <w:tcPr>
            <w:tcW w:w="1024" w:type="pct"/>
            <w:tcBorders>
              <w:top w:val="nil"/>
              <w:left w:val="nil"/>
              <w:bottom w:val="single" w:sz="4" w:space="0" w:color="000000"/>
              <w:right w:val="single" w:sz="4" w:space="0" w:color="000000"/>
            </w:tcBorders>
            <w:shd w:val="clear" w:color="000000" w:fill="FFFFFF"/>
            <w:noWrap/>
            <w:vAlign w:val="bottom"/>
          </w:tcPr>
          <w:p w14:paraId="2F7EB832" w14:textId="77777777" w:rsidR="00DC3906" w:rsidRPr="00BF751A" w:rsidRDefault="00DC3906" w:rsidP="0073471B">
            <w:pPr>
              <w:widowControl/>
              <w:jc w:val="right"/>
              <w:rPr>
                <w:rFonts w:asciiTheme="minorEastAsia" w:eastAsiaTheme="minorEastAsia" w:hAnsiTheme="minorEastAsia" w:cs="宋体"/>
                <w:color w:val="000000"/>
                <w:sz w:val="21"/>
                <w:szCs w:val="21"/>
              </w:rPr>
            </w:pPr>
            <w:r w:rsidRPr="00BF751A">
              <w:rPr>
                <w:rFonts w:asciiTheme="minorEastAsia" w:eastAsiaTheme="minorEastAsia" w:hAnsiTheme="minorEastAsia" w:cs="宋体" w:hint="eastAsia"/>
                <w:color w:val="000000"/>
                <w:sz w:val="21"/>
                <w:szCs w:val="21"/>
              </w:rPr>
              <w:t xml:space="preserve">　</w:t>
            </w:r>
          </w:p>
        </w:tc>
        <w:tc>
          <w:tcPr>
            <w:tcW w:w="1459" w:type="pct"/>
            <w:tcBorders>
              <w:top w:val="nil"/>
              <w:left w:val="nil"/>
              <w:bottom w:val="single" w:sz="4" w:space="0" w:color="000000"/>
              <w:right w:val="single" w:sz="4" w:space="0" w:color="000000"/>
            </w:tcBorders>
            <w:shd w:val="clear" w:color="000000" w:fill="FFFFFF"/>
            <w:noWrap/>
          </w:tcPr>
          <w:p w14:paraId="2B6D3553" w14:textId="77777777" w:rsidR="00DC3906" w:rsidRPr="00BF751A" w:rsidRDefault="00DC3906" w:rsidP="0073471B">
            <w:pPr>
              <w:widowControl/>
              <w:jc w:val="left"/>
              <w:rPr>
                <w:rFonts w:asciiTheme="minorEastAsia" w:eastAsiaTheme="minorEastAsia" w:hAnsiTheme="minorEastAsia" w:cs="宋体"/>
                <w:b/>
                <w:bCs/>
                <w:color w:val="000000"/>
                <w:sz w:val="21"/>
                <w:szCs w:val="21"/>
              </w:rPr>
            </w:pPr>
            <w:r w:rsidRPr="00BF751A">
              <w:rPr>
                <w:rFonts w:asciiTheme="minorEastAsia" w:eastAsiaTheme="minorEastAsia" w:hAnsiTheme="minorEastAsia" w:cs="宋体" w:hint="eastAsia"/>
                <w:b/>
                <w:bCs/>
                <w:color w:val="000000"/>
                <w:sz w:val="21"/>
                <w:szCs w:val="21"/>
              </w:rPr>
              <w:t>负债</w:t>
            </w:r>
            <w:r w:rsidRPr="00BF751A">
              <w:rPr>
                <w:rFonts w:asciiTheme="minorEastAsia" w:eastAsiaTheme="minorEastAsia" w:hAnsiTheme="minorEastAsia" w:cs="宋体"/>
                <w:b/>
                <w:bCs/>
                <w:color w:val="000000"/>
                <w:sz w:val="21"/>
                <w:szCs w:val="21"/>
              </w:rPr>
              <w:t>:</w:t>
            </w:r>
          </w:p>
        </w:tc>
        <w:tc>
          <w:tcPr>
            <w:tcW w:w="989" w:type="pct"/>
            <w:tcBorders>
              <w:top w:val="nil"/>
              <w:left w:val="nil"/>
              <w:bottom w:val="single" w:sz="4" w:space="0" w:color="000000"/>
              <w:right w:val="single" w:sz="4" w:space="0" w:color="000000"/>
            </w:tcBorders>
            <w:shd w:val="clear" w:color="000000" w:fill="FFFFFF"/>
            <w:noWrap/>
            <w:vAlign w:val="bottom"/>
          </w:tcPr>
          <w:p w14:paraId="17A37EDB" w14:textId="77777777" w:rsidR="00DC3906" w:rsidRPr="00BF751A" w:rsidRDefault="00DC3906" w:rsidP="0073471B">
            <w:pPr>
              <w:widowControl/>
              <w:jc w:val="right"/>
              <w:rPr>
                <w:rFonts w:asciiTheme="minorEastAsia" w:eastAsiaTheme="minorEastAsia" w:hAnsiTheme="minorEastAsia" w:cs="宋体"/>
                <w:color w:val="000000"/>
                <w:sz w:val="21"/>
                <w:szCs w:val="21"/>
              </w:rPr>
            </w:pPr>
            <w:r w:rsidRPr="00BF751A">
              <w:rPr>
                <w:rFonts w:asciiTheme="minorEastAsia" w:eastAsiaTheme="minorEastAsia" w:hAnsiTheme="minorEastAsia" w:cs="宋体" w:hint="eastAsia"/>
                <w:color w:val="000000"/>
                <w:sz w:val="21"/>
                <w:szCs w:val="21"/>
              </w:rPr>
              <w:t xml:space="preserve">　</w:t>
            </w:r>
          </w:p>
        </w:tc>
      </w:tr>
      <w:tr w:rsidR="00E32FC2" w:rsidRPr="00E32FC2" w14:paraId="19E071FA" w14:textId="77777777" w:rsidTr="002747E2">
        <w:trPr>
          <w:trHeight w:val="288"/>
        </w:trPr>
        <w:tc>
          <w:tcPr>
            <w:tcW w:w="1528" w:type="pct"/>
            <w:tcBorders>
              <w:top w:val="nil"/>
              <w:left w:val="double" w:sz="6" w:space="0" w:color="000000"/>
              <w:bottom w:val="single" w:sz="4" w:space="0" w:color="000000"/>
              <w:right w:val="single" w:sz="4" w:space="0" w:color="000000"/>
            </w:tcBorders>
            <w:shd w:val="clear" w:color="000000" w:fill="FFFFFF"/>
            <w:noWrap/>
          </w:tcPr>
          <w:p w14:paraId="03CD3205" w14:textId="77777777" w:rsidR="00E32FC2" w:rsidRPr="00BF751A" w:rsidRDefault="00E32FC2" w:rsidP="0073471B">
            <w:pPr>
              <w:widowControl/>
              <w:jc w:val="left"/>
              <w:rPr>
                <w:rFonts w:asciiTheme="minorEastAsia" w:eastAsiaTheme="minorEastAsia" w:hAnsiTheme="minorEastAsia" w:cs="宋体"/>
                <w:color w:val="000000"/>
                <w:sz w:val="21"/>
                <w:szCs w:val="21"/>
              </w:rPr>
            </w:pPr>
            <w:r w:rsidRPr="00BF751A">
              <w:rPr>
                <w:rFonts w:asciiTheme="minorEastAsia" w:eastAsiaTheme="minorEastAsia" w:hAnsiTheme="minorEastAsia" w:cs="宋体" w:hint="eastAsia"/>
                <w:color w:val="000000"/>
                <w:sz w:val="21"/>
                <w:szCs w:val="21"/>
              </w:rPr>
              <w:t>银行存款</w:t>
            </w:r>
          </w:p>
        </w:tc>
        <w:tc>
          <w:tcPr>
            <w:tcW w:w="1024" w:type="pct"/>
            <w:tcBorders>
              <w:top w:val="nil"/>
              <w:left w:val="nil"/>
              <w:bottom w:val="single" w:sz="4" w:space="0" w:color="000000"/>
              <w:right w:val="single" w:sz="4" w:space="0" w:color="000000"/>
            </w:tcBorders>
            <w:shd w:val="clear" w:color="000000" w:fill="FFFFFF"/>
            <w:noWrap/>
            <w:vAlign w:val="bottom"/>
          </w:tcPr>
          <w:p w14:paraId="7204A1C9" w14:textId="0E784E13" w:rsidR="00E32FC2" w:rsidRPr="00BF751A" w:rsidRDefault="00B648CD">
            <w:pPr>
              <w:jc w:val="right"/>
              <w:rPr>
                <w:rFonts w:asciiTheme="minorEastAsia" w:eastAsiaTheme="minorEastAsia" w:hAnsiTheme="minorEastAsia" w:cs="宋体"/>
                <w:color w:val="000000"/>
                <w:sz w:val="21"/>
                <w:szCs w:val="21"/>
              </w:rPr>
            </w:pPr>
            <w:r w:rsidRPr="00B648CD">
              <w:rPr>
                <w:rFonts w:asciiTheme="minorEastAsia" w:eastAsiaTheme="minorEastAsia" w:hAnsiTheme="minorEastAsia" w:cs="宋体"/>
                <w:color w:val="000000"/>
                <w:sz w:val="21"/>
                <w:szCs w:val="21"/>
              </w:rPr>
              <w:t>12,860,634.39</w:t>
            </w:r>
          </w:p>
        </w:tc>
        <w:tc>
          <w:tcPr>
            <w:tcW w:w="1459" w:type="pct"/>
            <w:tcBorders>
              <w:top w:val="nil"/>
              <w:left w:val="nil"/>
              <w:bottom w:val="single" w:sz="4" w:space="0" w:color="000000"/>
              <w:right w:val="single" w:sz="4" w:space="0" w:color="000000"/>
            </w:tcBorders>
            <w:shd w:val="clear" w:color="000000" w:fill="FFFFFF"/>
            <w:noWrap/>
          </w:tcPr>
          <w:p w14:paraId="36BF9029" w14:textId="77777777" w:rsidR="00E32FC2" w:rsidRPr="00BF751A" w:rsidRDefault="00E32FC2" w:rsidP="0073471B">
            <w:pPr>
              <w:widowControl/>
              <w:jc w:val="left"/>
              <w:rPr>
                <w:rFonts w:asciiTheme="minorEastAsia" w:eastAsiaTheme="minorEastAsia" w:hAnsiTheme="minorEastAsia" w:cs="宋体"/>
                <w:color w:val="000000"/>
                <w:sz w:val="21"/>
                <w:szCs w:val="21"/>
              </w:rPr>
            </w:pPr>
            <w:r w:rsidRPr="00BF751A">
              <w:rPr>
                <w:rFonts w:asciiTheme="minorEastAsia" w:eastAsiaTheme="minorEastAsia" w:hAnsiTheme="minorEastAsia" w:cs="宋体" w:hint="eastAsia"/>
                <w:color w:val="000000"/>
                <w:sz w:val="21"/>
                <w:szCs w:val="21"/>
              </w:rPr>
              <w:t>短期借款</w:t>
            </w:r>
          </w:p>
        </w:tc>
        <w:tc>
          <w:tcPr>
            <w:tcW w:w="989" w:type="pct"/>
            <w:tcBorders>
              <w:top w:val="nil"/>
              <w:left w:val="nil"/>
              <w:bottom w:val="single" w:sz="4" w:space="0" w:color="000000"/>
              <w:right w:val="single" w:sz="4" w:space="0" w:color="000000"/>
            </w:tcBorders>
            <w:shd w:val="clear" w:color="000000" w:fill="FFFFFF"/>
            <w:noWrap/>
            <w:vAlign w:val="bottom"/>
          </w:tcPr>
          <w:p w14:paraId="6E0A3D59" w14:textId="77777777" w:rsidR="00E32FC2" w:rsidRPr="00BF751A" w:rsidRDefault="00FA4863" w:rsidP="0073471B">
            <w:pPr>
              <w:widowControl/>
              <w:jc w:val="right"/>
              <w:rPr>
                <w:rFonts w:asciiTheme="minorEastAsia" w:eastAsiaTheme="minorEastAsia" w:hAnsiTheme="minorEastAsia" w:cs="宋体"/>
                <w:color w:val="000000"/>
                <w:sz w:val="21"/>
                <w:szCs w:val="21"/>
              </w:rPr>
            </w:pPr>
            <w:r w:rsidRPr="00BF751A">
              <w:rPr>
                <w:rFonts w:asciiTheme="minorEastAsia" w:eastAsiaTheme="minorEastAsia" w:hAnsiTheme="minorEastAsia" w:cs="宋体" w:hint="eastAsia"/>
                <w:color w:val="000000"/>
                <w:sz w:val="21"/>
                <w:szCs w:val="21"/>
              </w:rPr>
              <w:t>-</w:t>
            </w:r>
            <w:r w:rsidR="00E32FC2" w:rsidRPr="00BF751A">
              <w:rPr>
                <w:rFonts w:asciiTheme="minorEastAsia" w:eastAsiaTheme="minorEastAsia" w:hAnsiTheme="minorEastAsia" w:cs="宋体" w:hint="eastAsia"/>
                <w:color w:val="000000"/>
                <w:sz w:val="21"/>
                <w:szCs w:val="21"/>
              </w:rPr>
              <w:t xml:space="preserve">　</w:t>
            </w:r>
          </w:p>
        </w:tc>
      </w:tr>
      <w:tr w:rsidR="00F021DE" w:rsidRPr="00E32FC2" w14:paraId="04ED0383" w14:textId="77777777" w:rsidTr="00B43672">
        <w:trPr>
          <w:trHeight w:val="288"/>
        </w:trPr>
        <w:tc>
          <w:tcPr>
            <w:tcW w:w="1528" w:type="pct"/>
            <w:tcBorders>
              <w:top w:val="nil"/>
              <w:left w:val="double" w:sz="6" w:space="0" w:color="000000"/>
              <w:bottom w:val="single" w:sz="4" w:space="0" w:color="000000"/>
              <w:right w:val="single" w:sz="4" w:space="0" w:color="000000"/>
            </w:tcBorders>
            <w:shd w:val="clear" w:color="000000" w:fill="FFFFFF"/>
            <w:noWrap/>
          </w:tcPr>
          <w:p w14:paraId="52813400" w14:textId="77777777" w:rsidR="00F021DE" w:rsidRPr="00BF751A" w:rsidRDefault="00F021DE" w:rsidP="00F021DE">
            <w:pPr>
              <w:widowControl/>
              <w:jc w:val="left"/>
              <w:rPr>
                <w:rFonts w:asciiTheme="minorEastAsia" w:eastAsiaTheme="minorEastAsia" w:hAnsiTheme="minorEastAsia" w:cs="宋体"/>
                <w:color w:val="000000"/>
                <w:sz w:val="21"/>
                <w:szCs w:val="21"/>
              </w:rPr>
            </w:pPr>
            <w:r w:rsidRPr="00BF751A">
              <w:rPr>
                <w:rFonts w:asciiTheme="minorEastAsia" w:eastAsiaTheme="minorEastAsia" w:hAnsiTheme="minorEastAsia" w:cs="宋体" w:hint="eastAsia"/>
                <w:color w:val="000000"/>
                <w:sz w:val="21"/>
                <w:szCs w:val="21"/>
              </w:rPr>
              <w:t>结算备付金</w:t>
            </w:r>
          </w:p>
        </w:tc>
        <w:tc>
          <w:tcPr>
            <w:tcW w:w="1024" w:type="pct"/>
            <w:tcBorders>
              <w:top w:val="nil"/>
              <w:left w:val="nil"/>
              <w:bottom w:val="single" w:sz="4" w:space="0" w:color="000000"/>
              <w:right w:val="single" w:sz="4" w:space="0" w:color="000000"/>
            </w:tcBorders>
            <w:shd w:val="clear" w:color="000000" w:fill="FFFFFF"/>
            <w:noWrap/>
          </w:tcPr>
          <w:p w14:paraId="41B4B5F9" w14:textId="3857D5A4" w:rsidR="00F021DE" w:rsidRPr="00BF751A" w:rsidRDefault="00F021DE" w:rsidP="00F021DE">
            <w:pPr>
              <w:jc w:val="right"/>
              <w:rPr>
                <w:rFonts w:asciiTheme="minorEastAsia" w:eastAsiaTheme="minorEastAsia" w:hAnsiTheme="minorEastAsia" w:cs="宋体"/>
                <w:color w:val="000000"/>
                <w:sz w:val="21"/>
                <w:szCs w:val="21"/>
              </w:rPr>
            </w:pPr>
          </w:p>
        </w:tc>
        <w:tc>
          <w:tcPr>
            <w:tcW w:w="1459" w:type="pct"/>
            <w:tcBorders>
              <w:top w:val="nil"/>
              <w:left w:val="nil"/>
              <w:bottom w:val="single" w:sz="4" w:space="0" w:color="000000"/>
              <w:right w:val="single" w:sz="4" w:space="0" w:color="000000"/>
            </w:tcBorders>
            <w:shd w:val="clear" w:color="000000" w:fill="FFFFFF"/>
            <w:noWrap/>
          </w:tcPr>
          <w:p w14:paraId="4CB5E05B" w14:textId="77777777" w:rsidR="00F021DE" w:rsidRPr="00BF751A" w:rsidRDefault="00F021DE" w:rsidP="00F021DE">
            <w:pPr>
              <w:widowControl/>
              <w:jc w:val="left"/>
              <w:rPr>
                <w:rFonts w:asciiTheme="minorEastAsia" w:eastAsiaTheme="minorEastAsia" w:hAnsiTheme="minorEastAsia" w:cs="宋体"/>
                <w:color w:val="000000"/>
                <w:sz w:val="21"/>
                <w:szCs w:val="21"/>
              </w:rPr>
            </w:pPr>
            <w:r w:rsidRPr="00BF751A">
              <w:rPr>
                <w:rFonts w:asciiTheme="minorEastAsia" w:eastAsiaTheme="minorEastAsia" w:hAnsiTheme="minorEastAsia" w:cs="宋体" w:hint="eastAsia"/>
                <w:color w:val="000000"/>
                <w:sz w:val="21"/>
                <w:szCs w:val="21"/>
              </w:rPr>
              <w:t>交易性金融负债</w:t>
            </w:r>
          </w:p>
        </w:tc>
        <w:tc>
          <w:tcPr>
            <w:tcW w:w="989" w:type="pct"/>
            <w:tcBorders>
              <w:top w:val="nil"/>
              <w:left w:val="nil"/>
              <w:bottom w:val="single" w:sz="4" w:space="0" w:color="000000"/>
              <w:right w:val="single" w:sz="4" w:space="0" w:color="000000"/>
            </w:tcBorders>
            <w:shd w:val="clear" w:color="000000" w:fill="FFFFFF"/>
            <w:noWrap/>
            <w:vAlign w:val="bottom"/>
          </w:tcPr>
          <w:p w14:paraId="786CE729" w14:textId="77777777" w:rsidR="00F021DE" w:rsidRPr="00BF751A" w:rsidRDefault="00F021DE" w:rsidP="00F021DE">
            <w:pPr>
              <w:widowControl/>
              <w:jc w:val="right"/>
              <w:rPr>
                <w:rFonts w:asciiTheme="minorEastAsia" w:eastAsiaTheme="minorEastAsia" w:hAnsiTheme="minorEastAsia" w:cs="宋体"/>
                <w:color w:val="000000"/>
                <w:sz w:val="21"/>
                <w:szCs w:val="21"/>
              </w:rPr>
            </w:pPr>
            <w:r w:rsidRPr="00BF751A">
              <w:rPr>
                <w:rFonts w:asciiTheme="minorEastAsia" w:eastAsiaTheme="minorEastAsia" w:hAnsiTheme="minorEastAsia" w:cs="宋体" w:hint="eastAsia"/>
                <w:color w:val="000000"/>
                <w:sz w:val="21"/>
                <w:szCs w:val="21"/>
              </w:rPr>
              <w:t xml:space="preserve">-　</w:t>
            </w:r>
          </w:p>
        </w:tc>
      </w:tr>
      <w:tr w:rsidR="00F021DE" w:rsidRPr="00E32FC2" w14:paraId="5229273C" w14:textId="77777777" w:rsidTr="00B43672">
        <w:trPr>
          <w:trHeight w:val="288"/>
        </w:trPr>
        <w:tc>
          <w:tcPr>
            <w:tcW w:w="1528" w:type="pct"/>
            <w:tcBorders>
              <w:top w:val="nil"/>
              <w:left w:val="double" w:sz="6" w:space="0" w:color="000000"/>
              <w:bottom w:val="single" w:sz="4" w:space="0" w:color="000000"/>
              <w:right w:val="single" w:sz="4" w:space="0" w:color="000000"/>
            </w:tcBorders>
            <w:shd w:val="clear" w:color="000000" w:fill="FFFFFF"/>
            <w:noWrap/>
          </w:tcPr>
          <w:p w14:paraId="13AC768F" w14:textId="77777777" w:rsidR="00F021DE" w:rsidRPr="00BF751A" w:rsidRDefault="00F021DE" w:rsidP="00F021DE">
            <w:pPr>
              <w:widowControl/>
              <w:jc w:val="left"/>
              <w:rPr>
                <w:rFonts w:asciiTheme="minorEastAsia" w:eastAsiaTheme="minorEastAsia" w:hAnsiTheme="minorEastAsia" w:cs="宋体"/>
                <w:color w:val="000000"/>
                <w:sz w:val="21"/>
                <w:szCs w:val="21"/>
              </w:rPr>
            </w:pPr>
            <w:r w:rsidRPr="00BF751A">
              <w:rPr>
                <w:rFonts w:asciiTheme="minorEastAsia" w:eastAsiaTheme="minorEastAsia" w:hAnsiTheme="minorEastAsia" w:cs="宋体" w:hint="eastAsia"/>
                <w:color w:val="000000"/>
                <w:sz w:val="21"/>
                <w:szCs w:val="21"/>
              </w:rPr>
              <w:t>存出保证金</w:t>
            </w:r>
          </w:p>
        </w:tc>
        <w:tc>
          <w:tcPr>
            <w:tcW w:w="1024" w:type="pct"/>
            <w:tcBorders>
              <w:top w:val="nil"/>
              <w:left w:val="nil"/>
              <w:bottom w:val="single" w:sz="4" w:space="0" w:color="000000"/>
              <w:right w:val="single" w:sz="4" w:space="0" w:color="000000"/>
            </w:tcBorders>
            <w:shd w:val="clear" w:color="000000" w:fill="FFFFFF"/>
            <w:noWrap/>
          </w:tcPr>
          <w:p w14:paraId="5A4D07BE" w14:textId="1CABCAE6" w:rsidR="00F021DE" w:rsidRPr="00BF751A" w:rsidRDefault="00B648CD" w:rsidP="00F021DE">
            <w:pPr>
              <w:jc w:val="right"/>
              <w:rPr>
                <w:rFonts w:asciiTheme="minorEastAsia" w:eastAsiaTheme="minorEastAsia" w:hAnsiTheme="minorEastAsia" w:cs="宋体"/>
                <w:color w:val="000000"/>
                <w:sz w:val="21"/>
                <w:szCs w:val="21"/>
              </w:rPr>
            </w:pPr>
            <w:r w:rsidRPr="00B648CD">
              <w:rPr>
                <w:rFonts w:asciiTheme="minorEastAsia" w:eastAsiaTheme="minorEastAsia" w:hAnsiTheme="minorEastAsia" w:cs="宋体"/>
                <w:color w:val="000000"/>
                <w:sz w:val="21"/>
                <w:szCs w:val="21"/>
              </w:rPr>
              <w:t>14,814.52</w:t>
            </w:r>
          </w:p>
        </w:tc>
        <w:tc>
          <w:tcPr>
            <w:tcW w:w="1459" w:type="pct"/>
            <w:tcBorders>
              <w:top w:val="nil"/>
              <w:left w:val="nil"/>
              <w:bottom w:val="single" w:sz="4" w:space="0" w:color="000000"/>
              <w:right w:val="single" w:sz="4" w:space="0" w:color="000000"/>
            </w:tcBorders>
            <w:shd w:val="clear" w:color="000000" w:fill="FFFFFF"/>
            <w:noWrap/>
          </w:tcPr>
          <w:p w14:paraId="582EDBEA" w14:textId="77777777" w:rsidR="00F021DE" w:rsidRPr="00BF751A" w:rsidRDefault="00F021DE" w:rsidP="00F021DE">
            <w:pPr>
              <w:widowControl/>
              <w:jc w:val="left"/>
              <w:rPr>
                <w:rFonts w:asciiTheme="minorEastAsia" w:eastAsiaTheme="minorEastAsia" w:hAnsiTheme="minorEastAsia" w:cs="宋体"/>
                <w:color w:val="000000"/>
                <w:sz w:val="21"/>
                <w:szCs w:val="21"/>
              </w:rPr>
            </w:pPr>
            <w:r w:rsidRPr="00BF751A">
              <w:rPr>
                <w:rFonts w:asciiTheme="minorEastAsia" w:eastAsiaTheme="minorEastAsia" w:hAnsiTheme="minorEastAsia" w:cs="宋体" w:hint="eastAsia"/>
                <w:color w:val="000000"/>
                <w:sz w:val="21"/>
                <w:szCs w:val="21"/>
              </w:rPr>
              <w:t>衍生金融负债</w:t>
            </w:r>
          </w:p>
        </w:tc>
        <w:tc>
          <w:tcPr>
            <w:tcW w:w="989" w:type="pct"/>
            <w:tcBorders>
              <w:top w:val="nil"/>
              <w:left w:val="nil"/>
              <w:bottom w:val="single" w:sz="4" w:space="0" w:color="000000"/>
              <w:right w:val="single" w:sz="4" w:space="0" w:color="000000"/>
            </w:tcBorders>
            <w:shd w:val="clear" w:color="000000" w:fill="FFFFFF"/>
            <w:noWrap/>
            <w:vAlign w:val="bottom"/>
          </w:tcPr>
          <w:p w14:paraId="18B77C52" w14:textId="77777777" w:rsidR="00F021DE" w:rsidRPr="00BF751A" w:rsidRDefault="00F021DE" w:rsidP="00F021DE">
            <w:pPr>
              <w:widowControl/>
              <w:jc w:val="right"/>
              <w:rPr>
                <w:rFonts w:asciiTheme="minorEastAsia" w:eastAsiaTheme="minorEastAsia" w:hAnsiTheme="minorEastAsia" w:cs="宋体"/>
                <w:color w:val="000000"/>
                <w:sz w:val="21"/>
                <w:szCs w:val="21"/>
              </w:rPr>
            </w:pPr>
            <w:r w:rsidRPr="00BF751A">
              <w:rPr>
                <w:rFonts w:asciiTheme="minorEastAsia" w:eastAsiaTheme="minorEastAsia" w:hAnsiTheme="minorEastAsia" w:cs="宋体" w:hint="eastAsia"/>
                <w:color w:val="000000"/>
                <w:sz w:val="21"/>
                <w:szCs w:val="21"/>
              </w:rPr>
              <w:t xml:space="preserve">-　</w:t>
            </w:r>
          </w:p>
        </w:tc>
      </w:tr>
      <w:tr w:rsidR="00DC3906" w:rsidRPr="00E32FC2" w14:paraId="4028039C" w14:textId="77777777" w:rsidTr="002747E2">
        <w:trPr>
          <w:trHeight w:val="288"/>
        </w:trPr>
        <w:tc>
          <w:tcPr>
            <w:tcW w:w="1528" w:type="pct"/>
            <w:tcBorders>
              <w:top w:val="nil"/>
              <w:left w:val="double" w:sz="6" w:space="0" w:color="000000"/>
              <w:bottom w:val="single" w:sz="4" w:space="0" w:color="000000"/>
              <w:right w:val="single" w:sz="4" w:space="0" w:color="000000"/>
            </w:tcBorders>
            <w:shd w:val="clear" w:color="000000" w:fill="FFFFFF"/>
            <w:noWrap/>
          </w:tcPr>
          <w:p w14:paraId="0FD313A6" w14:textId="77777777" w:rsidR="00DC3906" w:rsidRPr="00BF751A" w:rsidRDefault="00DC3906" w:rsidP="0073471B">
            <w:pPr>
              <w:widowControl/>
              <w:jc w:val="left"/>
              <w:rPr>
                <w:rFonts w:asciiTheme="minorEastAsia" w:eastAsiaTheme="minorEastAsia" w:hAnsiTheme="minorEastAsia" w:cs="宋体"/>
                <w:color w:val="000000"/>
                <w:sz w:val="21"/>
                <w:szCs w:val="21"/>
              </w:rPr>
            </w:pPr>
            <w:r w:rsidRPr="00BF751A">
              <w:rPr>
                <w:rFonts w:asciiTheme="minorEastAsia" w:eastAsiaTheme="minorEastAsia" w:hAnsiTheme="minorEastAsia" w:cs="宋体" w:hint="eastAsia"/>
                <w:color w:val="000000"/>
                <w:sz w:val="21"/>
                <w:szCs w:val="21"/>
              </w:rPr>
              <w:t>交易性金融资产</w:t>
            </w:r>
          </w:p>
        </w:tc>
        <w:tc>
          <w:tcPr>
            <w:tcW w:w="1024" w:type="pct"/>
            <w:tcBorders>
              <w:top w:val="nil"/>
              <w:left w:val="nil"/>
              <w:bottom w:val="single" w:sz="4" w:space="0" w:color="000000"/>
              <w:right w:val="single" w:sz="4" w:space="0" w:color="000000"/>
            </w:tcBorders>
            <w:shd w:val="clear" w:color="000000" w:fill="FFFFFF"/>
            <w:noWrap/>
            <w:vAlign w:val="bottom"/>
          </w:tcPr>
          <w:p w14:paraId="2FA57B88" w14:textId="479A440D" w:rsidR="00DC3906" w:rsidRPr="00BF751A" w:rsidRDefault="006A1DAA" w:rsidP="0073471B">
            <w:pPr>
              <w:widowControl/>
              <w:jc w:val="right"/>
              <w:rPr>
                <w:rFonts w:asciiTheme="minorEastAsia" w:eastAsiaTheme="minorEastAsia" w:hAnsiTheme="minorEastAsia" w:cs="宋体"/>
                <w:color w:val="000000"/>
                <w:sz w:val="21"/>
                <w:szCs w:val="21"/>
              </w:rPr>
            </w:pPr>
            <w:r>
              <w:rPr>
                <w:rFonts w:asciiTheme="minorEastAsia" w:eastAsiaTheme="minorEastAsia" w:hAnsiTheme="minorEastAsia" w:cs="宋体" w:hint="eastAsia"/>
                <w:color w:val="000000"/>
                <w:sz w:val="21"/>
                <w:szCs w:val="21"/>
              </w:rPr>
              <w:t>-</w:t>
            </w:r>
          </w:p>
        </w:tc>
        <w:tc>
          <w:tcPr>
            <w:tcW w:w="1459" w:type="pct"/>
            <w:tcBorders>
              <w:top w:val="nil"/>
              <w:left w:val="nil"/>
              <w:bottom w:val="single" w:sz="4" w:space="0" w:color="000000"/>
              <w:right w:val="single" w:sz="4" w:space="0" w:color="000000"/>
            </w:tcBorders>
            <w:shd w:val="clear" w:color="000000" w:fill="FFFFFF"/>
            <w:noWrap/>
          </w:tcPr>
          <w:p w14:paraId="7A80DB08" w14:textId="77777777" w:rsidR="00DC3906" w:rsidRPr="00BF751A" w:rsidRDefault="00DC3906" w:rsidP="0073471B">
            <w:pPr>
              <w:widowControl/>
              <w:jc w:val="left"/>
              <w:rPr>
                <w:rFonts w:asciiTheme="minorEastAsia" w:eastAsiaTheme="minorEastAsia" w:hAnsiTheme="minorEastAsia" w:cs="宋体"/>
                <w:color w:val="000000"/>
                <w:sz w:val="21"/>
                <w:szCs w:val="21"/>
              </w:rPr>
            </w:pPr>
            <w:r w:rsidRPr="00BF751A">
              <w:rPr>
                <w:rFonts w:asciiTheme="minorEastAsia" w:eastAsiaTheme="minorEastAsia" w:hAnsiTheme="minorEastAsia" w:cs="宋体" w:hint="eastAsia"/>
                <w:color w:val="000000"/>
                <w:sz w:val="21"/>
                <w:szCs w:val="21"/>
              </w:rPr>
              <w:t>卖出回购金融资产款</w:t>
            </w:r>
          </w:p>
        </w:tc>
        <w:tc>
          <w:tcPr>
            <w:tcW w:w="989" w:type="pct"/>
            <w:tcBorders>
              <w:top w:val="nil"/>
              <w:left w:val="nil"/>
              <w:bottom w:val="single" w:sz="4" w:space="0" w:color="000000"/>
              <w:right w:val="single" w:sz="4" w:space="0" w:color="000000"/>
            </w:tcBorders>
            <w:shd w:val="clear" w:color="000000" w:fill="FFFFFF"/>
            <w:noWrap/>
            <w:vAlign w:val="bottom"/>
          </w:tcPr>
          <w:p w14:paraId="3C5FBED0" w14:textId="1F88B1F5" w:rsidR="00DC3906" w:rsidRPr="00BF751A" w:rsidRDefault="006A1DAA" w:rsidP="0073471B">
            <w:pPr>
              <w:widowControl/>
              <w:jc w:val="right"/>
              <w:rPr>
                <w:rFonts w:asciiTheme="minorEastAsia" w:eastAsiaTheme="minorEastAsia" w:hAnsiTheme="minorEastAsia" w:cs="宋体"/>
                <w:color w:val="000000"/>
                <w:sz w:val="21"/>
                <w:szCs w:val="21"/>
              </w:rPr>
            </w:pPr>
            <w:r>
              <w:rPr>
                <w:rFonts w:asciiTheme="minorEastAsia" w:eastAsiaTheme="minorEastAsia" w:hAnsiTheme="minorEastAsia" w:cs="宋体" w:hint="eastAsia"/>
                <w:color w:val="000000"/>
                <w:sz w:val="21"/>
                <w:szCs w:val="21"/>
              </w:rPr>
              <w:t>-</w:t>
            </w:r>
          </w:p>
        </w:tc>
      </w:tr>
      <w:tr w:rsidR="00DC3906" w:rsidRPr="00E32FC2" w14:paraId="2844F918" w14:textId="77777777" w:rsidTr="002747E2">
        <w:trPr>
          <w:trHeight w:val="288"/>
        </w:trPr>
        <w:tc>
          <w:tcPr>
            <w:tcW w:w="1528" w:type="pct"/>
            <w:tcBorders>
              <w:top w:val="nil"/>
              <w:left w:val="double" w:sz="6" w:space="0" w:color="000000"/>
              <w:bottom w:val="single" w:sz="4" w:space="0" w:color="000000"/>
              <w:right w:val="single" w:sz="4" w:space="0" w:color="000000"/>
            </w:tcBorders>
            <w:shd w:val="clear" w:color="000000" w:fill="FFFFFF"/>
            <w:noWrap/>
          </w:tcPr>
          <w:p w14:paraId="5A1F4D8A" w14:textId="77777777" w:rsidR="00DC3906" w:rsidRPr="00BF751A" w:rsidRDefault="00DC3906" w:rsidP="0073471B">
            <w:pPr>
              <w:widowControl/>
              <w:jc w:val="left"/>
              <w:rPr>
                <w:rFonts w:asciiTheme="minorEastAsia" w:eastAsiaTheme="minorEastAsia" w:hAnsiTheme="minorEastAsia" w:cs="宋体"/>
                <w:color w:val="000000"/>
                <w:sz w:val="21"/>
                <w:szCs w:val="21"/>
              </w:rPr>
            </w:pPr>
            <w:r w:rsidRPr="00BF751A">
              <w:rPr>
                <w:rFonts w:asciiTheme="minorEastAsia" w:eastAsiaTheme="minorEastAsia" w:hAnsiTheme="minorEastAsia" w:cs="宋体" w:hint="eastAsia"/>
                <w:color w:val="000000"/>
                <w:sz w:val="21"/>
                <w:szCs w:val="21"/>
              </w:rPr>
              <w:t>其中：股票投资</w:t>
            </w:r>
          </w:p>
        </w:tc>
        <w:tc>
          <w:tcPr>
            <w:tcW w:w="1024" w:type="pct"/>
            <w:tcBorders>
              <w:top w:val="nil"/>
              <w:left w:val="nil"/>
              <w:bottom w:val="single" w:sz="4" w:space="0" w:color="000000"/>
              <w:right w:val="single" w:sz="4" w:space="0" w:color="000000"/>
            </w:tcBorders>
            <w:shd w:val="clear" w:color="000000" w:fill="FFFFFF"/>
            <w:noWrap/>
            <w:vAlign w:val="bottom"/>
          </w:tcPr>
          <w:p w14:paraId="7DEE871D" w14:textId="04317D45" w:rsidR="00DC3906" w:rsidRPr="00BF751A" w:rsidRDefault="006A1DAA" w:rsidP="0073471B">
            <w:pPr>
              <w:widowControl/>
              <w:jc w:val="right"/>
              <w:rPr>
                <w:rFonts w:asciiTheme="minorEastAsia" w:eastAsiaTheme="minorEastAsia" w:hAnsiTheme="minorEastAsia" w:cs="宋体"/>
                <w:color w:val="000000"/>
                <w:sz w:val="21"/>
                <w:szCs w:val="21"/>
              </w:rPr>
            </w:pPr>
            <w:r>
              <w:rPr>
                <w:rFonts w:asciiTheme="minorEastAsia" w:eastAsiaTheme="minorEastAsia" w:hAnsiTheme="minorEastAsia" w:cs="宋体" w:hint="eastAsia"/>
                <w:color w:val="000000"/>
                <w:sz w:val="21"/>
                <w:szCs w:val="21"/>
              </w:rPr>
              <w:t>-</w:t>
            </w:r>
          </w:p>
        </w:tc>
        <w:tc>
          <w:tcPr>
            <w:tcW w:w="1459" w:type="pct"/>
            <w:tcBorders>
              <w:top w:val="nil"/>
              <w:left w:val="nil"/>
              <w:bottom w:val="single" w:sz="4" w:space="0" w:color="000000"/>
              <w:right w:val="single" w:sz="4" w:space="0" w:color="000000"/>
            </w:tcBorders>
            <w:shd w:val="clear" w:color="000000" w:fill="FFFFFF"/>
            <w:noWrap/>
          </w:tcPr>
          <w:p w14:paraId="42C25786" w14:textId="77777777" w:rsidR="00DC3906" w:rsidRPr="00BF751A" w:rsidRDefault="00DC3906" w:rsidP="0073471B">
            <w:pPr>
              <w:widowControl/>
              <w:jc w:val="left"/>
              <w:rPr>
                <w:rFonts w:asciiTheme="minorEastAsia" w:eastAsiaTheme="minorEastAsia" w:hAnsiTheme="minorEastAsia" w:cs="宋体"/>
                <w:color w:val="000000"/>
                <w:sz w:val="21"/>
                <w:szCs w:val="21"/>
              </w:rPr>
            </w:pPr>
            <w:r w:rsidRPr="00BF751A">
              <w:rPr>
                <w:rFonts w:asciiTheme="minorEastAsia" w:eastAsiaTheme="minorEastAsia" w:hAnsiTheme="minorEastAsia" w:cs="宋体" w:hint="eastAsia"/>
                <w:color w:val="000000"/>
                <w:sz w:val="21"/>
                <w:szCs w:val="21"/>
              </w:rPr>
              <w:t>应付证券清算款</w:t>
            </w:r>
          </w:p>
        </w:tc>
        <w:tc>
          <w:tcPr>
            <w:tcW w:w="989" w:type="pct"/>
            <w:tcBorders>
              <w:top w:val="nil"/>
              <w:left w:val="nil"/>
              <w:bottom w:val="single" w:sz="4" w:space="0" w:color="000000"/>
              <w:right w:val="single" w:sz="4" w:space="0" w:color="000000"/>
            </w:tcBorders>
            <w:shd w:val="clear" w:color="000000" w:fill="FFFFFF"/>
            <w:noWrap/>
            <w:vAlign w:val="bottom"/>
          </w:tcPr>
          <w:p w14:paraId="34A4906A" w14:textId="5A1FC93D" w:rsidR="00DC3906" w:rsidRPr="00BF751A" w:rsidRDefault="006A1DAA" w:rsidP="0073471B">
            <w:pPr>
              <w:widowControl/>
              <w:jc w:val="right"/>
              <w:rPr>
                <w:rFonts w:asciiTheme="minorEastAsia" w:eastAsiaTheme="minorEastAsia" w:hAnsiTheme="minorEastAsia" w:cs="宋体"/>
                <w:color w:val="000000"/>
                <w:sz w:val="21"/>
                <w:szCs w:val="21"/>
              </w:rPr>
            </w:pPr>
            <w:r>
              <w:rPr>
                <w:rFonts w:asciiTheme="minorEastAsia" w:eastAsiaTheme="minorEastAsia" w:hAnsiTheme="minorEastAsia" w:cs="宋体" w:hint="eastAsia"/>
                <w:color w:val="000000"/>
                <w:sz w:val="21"/>
                <w:szCs w:val="21"/>
              </w:rPr>
              <w:t>-</w:t>
            </w:r>
          </w:p>
        </w:tc>
      </w:tr>
      <w:tr w:rsidR="00E32FC2" w:rsidRPr="00E32FC2" w14:paraId="292E9472" w14:textId="77777777" w:rsidTr="002747E2">
        <w:trPr>
          <w:trHeight w:val="288"/>
        </w:trPr>
        <w:tc>
          <w:tcPr>
            <w:tcW w:w="1528" w:type="pct"/>
            <w:tcBorders>
              <w:top w:val="nil"/>
              <w:left w:val="double" w:sz="6" w:space="0" w:color="000000"/>
              <w:bottom w:val="single" w:sz="4" w:space="0" w:color="000000"/>
              <w:right w:val="single" w:sz="4" w:space="0" w:color="000000"/>
            </w:tcBorders>
            <w:shd w:val="clear" w:color="000000" w:fill="FFFFFF"/>
            <w:noWrap/>
          </w:tcPr>
          <w:p w14:paraId="7914C53D" w14:textId="77777777" w:rsidR="00E32FC2" w:rsidRPr="00BF751A" w:rsidRDefault="00E32FC2" w:rsidP="0073471B">
            <w:pPr>
              <w:widowControl/>
              <w:jc w:val="left"/>
              <w:rPr>
                <w:rFonts w:asciiTheme="minorEastAsia" w:eastAsiaTheme="minorEastAsia" w:hAnsiTheme="minorEastAsia" w:cs="宋体"/>
                <w:color w:val="000000"/>
                <w:sz w:val="21"/>
                <w:szCs w:val="21"/>
              </w:rPr>
            </w:pPr>
            <w:r w:rsidRPr="00BF751A">
              <w:rPr>
                <w:rFonts w:asciiTheme="minorEastAsia" w:eastAsiaTheme="minorEastAsia" w:hAnsiTheme="minorEastAsia" w:cs="宋体"/>
                <w:color w:val="000000"/>
                <w:sz w:val="21"/>
                <w:szCs w:val="21"/>
              </w:rPr>
              <w:t xml:space="preserve">      </w:t>
            </w:r>
            <w:r w:rsidRPr="00BF751A">
              <w:rPr>
                <w:rFonts w:asciiTheme="minorEastAsia" w:eastAsiaTheme="minorEastAsia" w:hAnsiTheme="minorEastAsia" w:cs="宋体" w:hint="eastAsia"/>
                <w:color w:val="000000"/>
                <w:sz w:val="21"/>
                <w:szCs w:val="21"/>
              </w:rPr>
              <w:t>债券投资</w:t>
            </w:r>
          </w:p>
        </w:tc>
        <w:tc>
          <w:tcPr>
            <w:tcW w:w="1024" w:type="pct"/>
            <w:tcBorders>
              <w:top w:val="nil"/>
              <w:left w:val="nil"/>
              <w:bottom w:val="single" w:sz="4" w:space="0" w:color="000000"/>
              <w:right w:val="single" w:sz="4" w:space="0" w:color="000000"/>
            </w:tcBorders>
            <w:shd w:val="clear" w:color="000000" w:fill="FFFFFF"/>
            <w:noWrap/>
            <w:vAlign w:val="bottom"/>
          </w:tcPr>
          <w:p w14:paraId="2CDFA5DB" w14:textId="799F7723" w:rsidR="00E32FC2" w:rsidRPr="00BF751A" w:rsidRDefault="006A1DAA" w:rsidP="00880E4F">
            <w:pPr>
              <w:jc w:val="right"/>
              <w:rPr>
                <w:rFonts w:asciiTheme="minorEastAsia" w:eastAsiaTheme="minorEastAsia" w:hAnsiTheme="minorEastAsia" w:cs="宋体"/>
                <w:color w:val="000000"/>
                <w:sz w:val="21"/>
                <w:szCs w:val="21"/>
              </w:rPr>
            </w:pPr>
            <w:r>
              <w:rPr>
                <w:rFonts w:asciiTheme="minorEastAsia" w:eastAsiaTheme="minorEastAsia" w:hAnsiTheme="minorEastAsia" w:cs="宋体" w:hint="eastAsia"/>
                <w:color w:val="000000"/>
                <w:sz w:val="21"/>
                <w:szCs w:val="21"/>
              </w:rPr>
              <w:t>-</w:t>
            </w:r>
          </w:p>
        </w:tc>
        <w:tc>
          <w:tcPr>
            <w:tcW w:w="1459" w:type="pct"/>
            <w:tcBorders>
              <w:top w:val="nil"/>
              <w:left w:val="nil"/>
              <w:bottom w:val="single" w:sz="4" w:space="0" w:color="000000"/>
              <w:right w:val="single" w:sz="4" w:space="0" w:color="000000"/>
            </w:tcBorders>
            <w:shd w:val="clear" w:color="000000" w:fill="FFFFFF"/>
            <w:noWrap/>
          </w:tcPr>
          <w:p w14:paraId="1AEA7D3B" w14:textId="77777777" w:rsidR="00E32FC2" w:rsidRPr="00BF751A" w:rsidRDefault="00E32FC2" w:rsidP="0073471B">
            <w:pPr>
              <w:widowControl/>
              <w:jc w:val="left"/>
              <w:rPr>
                <w:rFonts w:asciiTheme="minorEastAsia" w:eastAsiaTheme="minorEastAsia" w:hAnsiTheme="minorEastAsia" w:cs="宋体"/>
                <w:color w:val="000000"/>
                <w:sz w:val="21"/>
                <w:szCs w:val="21"/>
              </w:rPr>
            </w:pPr>
            <w:r w:rsidRPr="00BF751A">
              <w:rPr>
                <w:rFonts w:asciiTheme="minorEastAsia" w:eastAsiaTheme="minorEastAsia" w:hAnsiTheme="minorEastAsia" w:cs="宋体" w:hint="eastAsia"/>
                <w:color w:val="000000"/>
                <w:sz w:val="21"/>
                <w:szCs w:val="21"/>
              </w:rPr>
              <w:t>应付赎回款</w:t>
            </w:r>
          </w:p>
        </w:tc>
        <w:tc>
          <w:tcPr>
            <w:tcW w:w="989" w:type="pct"/>
            <w:tcBorders>
              <w:top w:val="nil"/>
              <w:left w:val="nil"/>
              <w:bottom w:val="single" w:sz="4" w:space="0" w:color="000000"/>
              <w:right w:val="single" w:sz="4" w:space="0" w:color="000000"/>
            </w:tcBorders>
            <w:shd w:val="clear" w:color="000000" w:fill="FFFFFF"/>
            <w:noWrap/>
            <w:vAlign w:val="bottom"/>
          </w:tcPr>
          <w:p w14:paraId="30D2FC87" w14:textId="059396A0" w:rsidR="00E32FC2" w:rsidRPr="00BF751A" w:rsidRDefault="00B648CD">
            <w:pPr>
              <w:jc w:val="right"/>
              <w:rPr>
                <w:rFonts w:asciiTheme="minorEastAsia" w:eastAsiaTheme="minorEastAsia" w:hAnsiTheme="minorEastAsia" w:cs="宋体"/>
                <w:color w:val="000000"/>
                <w:sz w:val="21"/>
                <w:szCs w:val="21"/>
              </w:rPr>
            </w:pPr>
            <w:r w:rsidRPr="00B648CD">
              <w:rPr>
                <w:rFonts w:asciiTheme="minorEastAsia" w:eastAsiaTheme="minorEastAsia" w:hAnsiTheme="minorEastAsia" w:cs="宋体"/>
                <w:color w:val="000000"/>
                <w:sz w:val="21"/>
                <w:szCs w:val="21"/>
              </w:rPr>
              <w:t>1,462,581.51</w:t>
            </w:r>
          </w:p>
        </w:tc>
      </w:tr>
      <w:tr w:rsidR="006A1DAA" w:rsidRPr="00E32FC2" w14:paraId="733FE5A6" w14:textId="77777777" w:rsidTr="00B43672">
        <w:trPr>
          <w:trHeight w:val="288"/>
        </w:trPr>
        <w:tc>
          <w:tcPr>
            <w:tcW w:w="1528" w:type="pct"/>
            <w:tcBorders>
              <w:top w:val="nil"/>
              <w:left w:val="double" w:sz="6" w:space="0" w:color="000000"/>
              <w:bottom w:val="single" w:sz="4" w:space="0" w:color="000000"/>
              <w:right w:val="single" w:sz="4" w:space="0" w:color="000000"/>
            </w:tcBorders>
            <w:shd w:val="clear" w:color="000000" w:fill="FFFFFF"/>
            <w:noWrap/>
          </w:tcPr>
          <w:p w14:paraId="7B01A53D" w14:textId="77777777" w:rsidR="006A1DAA" w:rsidRPr="00BF751A" w:rsidRDefault="006A1DAA" w:rsidP="006A1DAA">
            <w:pPr>
              <w:widowControl/>
              <w:jc w:val="left"/>
              <w:rPr>
                <w:rFonts w:asciiTheme="minorEastAsia" w:eastAsiaTheme="minorEastAsia" w:hAnsiTheme="minorEastAsia" w:cs="宋体"/>
                <w:color w:val="000000"/>
                <w:sz w:val="21"/>
                <w:szCs w:val="21"/>
              </w:rPr>
            </w:pPr>
            <w:r w:rsidRPr="00BF751A">
              <w:rPr>
                <w:rFonts w:asciiTheme="minorEastAsia" w:eastAsiaTheme="minorEastAsia" w:hAnsiTheme="minorEastAsia" w:cs="宋体"/>
                <w:color w:val="000000"/>
                <w:sz w:val="21"/>
                <w:szCs w:val="21"/>
              </w:rPr>
              <w:t xml:space="preserve">      </w:t>
            </w:r>
            <w:r w:rsidRPr="00BF751A">
              <w:rPr>
                <w:rFonts w:asciiTheme="minorEastAsia" w:eastAsiaTheme="minorEastAsia" w:hAnsiTheme="minorEastAsia" w:cs="宋体" w:hint="eastAsia"/>
                <w:color w:val="000000"/>
                <w:sz w:val="21"/>
                <w:szCs w:val="21"/>
              </w:rPr>
              <w:t>资产支持证券投资</w:t>
            </w:r>
          </w:p>
        </w:tc>
        <w:tc>
          <w:tcPr>
            <w:tcW w:w="1024" w:type="pct"/>
            <w:tcBorders>
              <w:top w:val="nil"/>
              <w:left w:val="nil"/>
              <w:bottom w:val="single" w:sz="4" w:space="0" w:color="000000"/>
              <w:right w:val="single" w:sz="4" w:space="0" w:color="000000"/>
            </w:tcBorders>
            <w:shd w:val="clear" w:color="000000" w:fill="FFFFFF"/>
            <w:noWrap/>
            <w:vAlign w:val="bottom"/>
          </w:tcPr>
          <w:p w14:paraId="092D0E79" w14:textId="77777777" w:rsidR="006A1DAA" w:rsidRPr="00BF751A" w:rsidRDefault="006A1DAA" w:rsidP="006A1DAA">
            <w:pPr>
              <w:widowControl/>
              <w:jc w:val="right"/>
              <w:rPr>
                <w:rFonts w:asciiTheme="minorEastAsia" w:eastAsiaTheme="minorEastAsia" w:hAnsiTheme="minorEastAsia" w:cs="宋体"/>
                <w:color w:val="000000"/>
                <w:sz w:val="21"/>
                <w:szCs w:val="21"/>
              </w:rPr>
            </w:pPr>
            <w:r w:rsidRPr="00BF751A">
              <w:rPr>
                <w:rFonts w:asciiTheme="minorEastAsia" w:eastAsiaTheme="minorEastAsia" w:hAnsiTheme="minorEastAsia" w:cs="宋体" w:hint="eastAsia"/>
                <w:color w:val="000000"/>
                <w:sz w:val="21"/>
                <w:szCs w:val="21"/>
              </w:rPr>
              <w:t xml:space="preserve">-　</w:t>
            </w:r>
          </w:p>
        </w:tc>
        <w:tc>
          <w:tcPr>
            <w:tcW w:w="1459" w:type="pct"/>
            <w:tcBorders>
              <w:top w:val="nil"/>
              <w:left w:val="nil"/>
              <w:bottom w:val="single" w:sz="4" w:space="0" w:color="000000"/>
              <w:right w:val="single" w:sz="4" w:space="0" w:color="000000"/>
            </w:tcBorders>
            <w:shd w:val="clear" w:color="000000" w:fill="FFFFFF"/>
            <w:noWrap/>
          </w:tcPr>
          <w:p w14:paraId="2090EE6F" w14:textId="77777777" w:rsidR="006A1DAA" w:rsidRPr="00BF751A" w:rsidRDefault="006A1DAA" w:rsidP="006A1DAA">
            <w:pPr>
              <w:widowControl/>
              <w:jc w:val="left"/>
              <w:rPr>
                <w:rFonts w:asciiTheme="minorEastAsia" w:eastAsiaTheme="minorEastAsia" w:hAnsiTheme="minorEastAsia" w:cs="宋体"/>
                <w:color w:val="000000"/>
                <w:sz w:val="21"/>
                <w:szCs w:val="21"/>
              </w:rPr>
            </w:pPr>
            <w:r w:rsidRPr="00BF751A">
              <w:rPr>
                <w:rFonts w:asciiTheme="minorEastAsia" w:eastAsiaTheme="minorEastAsia" w:hAnsiTheme="minorEastAsia" w:cs="宋体" w:hint="eastAsia"/>
                <w:color w:val="000000"/>
                <w:sz w:val="21"/>
                <w:szCs w:val="21"/>
              </w:rPr>
              <w:t>应付管理人报酬</w:t>
            </w:r>
          </w:p>
        </w:tc>
        <w:tc>
          <w:tcPr>
            <w:tcW w:w="989" w:type="pct"/>
            <w:tcBorders>
              <w:top w:val="nil"/>
              <w:left w:val="nil"/>
              <w:bottom w:val="single" w:sz="4" w:space="0" w:color="000000"/>
              <w:right w:val="single" w:sz="4" w:space="0" w:color="000000"/>
            </w:tcBorders>
            <w:shd w:val="clear" w:color="000000" w:fill="FFFFFF"/>
            <w:noWrap/>
          </w:tcPr>
          <w:p w14:paraId="7317CDD2" w14:textId="0A062D07" w:rsidR="006A1DAA" w:rsidRPr="00BF751A" w:rsidRDefault="00B648CD" w:rsidP="006A1DAA">
            <w:pPr>
              <w:jc w:val="right"/>
              <w:rPr>
                <w:rFonts w:asciiTheme="minorEastAsia" w:eastAsiaTheme="minorEastAsia" w:hAnsiTheme="minorEastAsia" w:cs="宋体"/>
                <w:color w:val="000000"/>
                <w:sz w:val="21"/>
                <w:szCs w:val="21"/>
              </w:rPr>
            </w:pPr>
            <w:r w:rsidRPr="00B648CD">
              <w:rPr>
                <w:rFonts w:asciiTheme="minorEastAsia" w:eastAsiaTheme="minorEastAsia" w:hAnsiTheme="minorEastAsia" w:cs="宋体"/>
                <w:color w:val="000000"/>
                <w:sz w:val="21"/>
                <w:szCs w:val="21"/>
              </w:rPr>
              <w:t>6,835.10</w:t>
            </w:r>
          </w:p>
        </w:tc>
      </w:tr>
      <w:tr w:rsidR="006A1DAA" w:rsidRPr="00E32FC2" w14:paraId="6FA154E5" w14:textId="77777777" w:rsidTr="00B43672">
        <w:trPr>
          <w:trHeight w:val="288"/>
        </w:trPr>
        <w:tc>
          <w:tcPr>
            <w:tcW w:w="1528" w:type="pct"/>
            <w:tcBorders>
              <w:top w:val="nil"/>
              <w:left w:val="double" w:sz="6" w:space="0" w:color="000000"/>
              <w:bottom w:val="single" w:sz="4" w:space="0" w:color="000000"/>
              <w:right w:val="single" w:sz="4" w:space="0" w:color="000000"/>
            </w:tcBorders>
            <w:shd w:val="clear" w:color="000000" w:fill="FFFFFF"/>
            <w:noWrap/>
          </w:tcPr>
          <w:p w14:paraId="755A14F3" w14:textId="77777777" w:rsidR="006A1DAA" w:rsidRPr="00BF751A" w:rsidRDefault="006A1DAA" w:rsidP="006A1DAA">
            <w:pPr>
              <w:widowControl/>
              <w:jc w:val="left"/>
              <w:rPr>
                <w:rFonts w:asciiTheme="minorEastAsia" w:eastAsiaTheme="minorEastAsia" w:hAnsiTheme="minorEastAsia" w:cs="宋体"/>
                <w:color w:val="000000"/>
                <w:sz w:val="21"/>
                <w:szCs w:val="21"/>
              </w:rPr>
            </w:pPr>
            <w:r w:rsidRPr="00BF751A">
              <w:rPr>
                <w:rFonts w:asciiTheme="minorEastAsia" w:eastAsiaTheme="minorEastAsia" w:hAnsiTheme="minorEastAsia" w:cs="宋体"/>
                <w:color w:val="000000"/>
                <w:sz w:val="21"/>
                <w:szCs w:val="21"/>
              </w:rPr>
              <w:t xml:space="preserve">      </w:t>
            </w:r>
            <w:r w:rsidRPr="00BF751A">
              <w:rPr>
                <w:rFonts w:asciiTheme="minorEastAsia" w:eastAsiaTheme="minorEastAsia" w:hAnsiTheme="minorEastAsia" w:cs="宋体" w:hint="eastAsia"/>
                <w:color w:val="000000"/>
                <w:sz w:val="21"/>
                <w:szCs w:val="21"/>
              </w:rPr>
              <w:t>基金投资</w:t>
            </w:r>
          </w:p>
        </w:tc>
        <w:tc>
          <w:tcPr>
            <w:tcW w:w="1024" w:type="pct"/>
            <w:tcBorders>
              <w:top w:val="nil"/>
              <w:left w:val="nil"/>
              <w:bottom w:val="single" w:sz="4" w:space="0" w:color="000000"/>
              <w:right w:val="single" w:sz="4" w:space="0" w:color="000000"/>
            </w:tcBorders>
            <w:shd w:val="clear" w:color="000000" w:fill="FFFFFF"/>
            <w:noWrap/>
            <w:vAlign w:val="bottom"/>
          </w:tcPr>
          <w:p w14:paraId="1BE2B407" w14:textId="77777777" w:rsidR="006A1DAA" w:rsidRPr="00BF751A" w:rsidRDefault="006A1DAA" w:rsidP="006A1DAA">
            <w:pPr>
              <w:widowControl/>
              <w:jc w:val="right"/>
              <w:rPr>
                <w:rFonts w:asciiTheme="minorEastAsia" w:eastAsiaTheme="minorEastAsia" w:hAnsiTheme="minorEastAsia" w:cs="宋体"/>
                <w:color w:val="000000"/>
                <w:sz w:val="21"/>
                <w:szCs w:val="21"/>
              </w:rPr>
            </w:pPr>
            <w:r w:rsidRPr="00BF751A">
              <w:rPr>
                <w:rFonts w:asciiTheme="minorEastAsia" w:eastAsiaTheme="minorEastAsia" w:hAnsiTheme="minorEastAsia" w:cs="宋体" w:hint="eastAsia"/>
                <w:color w:val="000000"/>
                <w:sz w:val="21"/>
                <w:szCs w:val="21"/>
              </w:rPr>
              <w:t xml:space="preserve">-　</w:t>
            </w:r>
          </w:p>
        </w:tc>
        <w:tc>
          <w:tcPr>
            <w:tcW w:w="1459" w:type="pct"/>
            <w:tcBorders>
              <w:top w:val="nil"/>
              <w:left w:val="nil"/>
              <w:bottom w:val="single" w:sz="4" w:space="0" w:color="000000"/>
              <w:right w:val="single" w:sz="4" w:space="0" w:color="000000"/>
            </w:tcBorders>
            <w:shd w:val="clear" w:color="000000" w:fill="FFFFFF"/>
            <w:noWrap/>
          </w:tcPr>
          <w:p w14:paraId="63212CDC" w14:textId="77777777" w:rsidR="006A1DAA" w:rsidRPr="00BF751A" w:rsidRDefault="006A1DAA" w:rsidP="006A1DAA">
            <w:pPr>
              <w:widowControl/>
              <w:jc w:val="left"/>
              <w:rPr>
                <w:rFonts w:asciiTheme="minorEastAsia" w:eastAsiaTheme="minorEastAsia" w:hAnsiTheme="minorEastAsia" w:cs="宋体"/>
                <w:color w:val="000000"/>
                <w:sz w:val="21"/>
                <w:szCs w:val="21"/>
              </w:rPr>
            </w:pPr>
            <w:r w:rsidRPr="00BF751A">
              <w:rPr>
                <w:rFonts w:asciiTheme="minorEastAsia" w:eastAsiaTheme="minorEastAsia" w:hAnsiTheme="minorEastAsia" w:cs="宋体" w:hint="eastAsia"/>
                <w:color w:val="000000"/>
                <w:sz w:val="21"/>
                <w:szCs w:val="21"/>
              </w:rPr>
              <w:t>应付托管费</w:t>
            </w:r>
          </w:p>
        </w:tc>
        <w:tc>
          <w:tcPr>
            <w:tcW w:w="989" w:type="pct"/>
            <w:tcBorders>
              <w:top w:val="nil"/>
              <w:left w:val="nil"/>
              <w:bottom w:val="single" w:sz="4" w:space="0" w:color="000000"/>
              <w:right w:val="single" w:sz="4" w:space="0" w:color="000000"/>
            </w:tcBorders>
            <w:shd w:val="clear" w:color="000000" w:fill="FFFFFF"/>
            <w:noWrap/>
          </w:tcPr>
          <w:p w14:paraId="0AC2D63B" w14:textId="29FA2229" w:rsidR="006A1DAA" w:rsidRPr="00BF751A" w:rsidRDefault="00B648CD" w:rsidP="006A1DAA">
            <w:pPr>
              <w:jc w:val="right"/>
              <w:rPr>
                <w:rFonts w:asciiTheme="minorEastAsia" w:eastAsiaTheme="minorEastAsia" w:hAnsiTheme="minorEastAsia" w:cs="宋体"/>
                <w:color w:val="000000"/>
                <w:sz w:val="21"/>
                <w:szCs w:val="21"/>
              </w:rPr>
            </w:pPr>
            <w:r w:rsidRPr="00B648CD">
              <w:rPr>
                <w:rFonts w:asciiTheme="minorEastAsia" w:eastAsiaTheme="minorEastAsia" w:hAnsiTheme="minorEastAsia" w:cs="宋体"/>
                <w:color w:val="000000"/>
                <w:sz w:val="21"/>
                <w:szCs w:val="21"/>
              </w:rPr>
              <w:t>2,734.05</w:t>
            </w:r>
          </w:p>
        </w:tc>
      </w:tr>
      <w:tr w:rsidR="00E32FC2" w:rsidRPr="00E32FC2" w14:paraId="251DC1E4" w14:textId="77777777" w:rsidTr="002747E2">
        <w:trPr>
          <w:trHeight w:val="288"/>
        </w:trPr>
        <w:tc>
          <w:tcPr>
            <w:tcW w:w="1528" w:type="pct"/>
            <w:tcBorders>
              <w:top w:val="nil"/>
              <w:left w:val="double" w:sz="6" w:space="0" w:color="000000"/>
              <w:bottom w:val="single" w:sz="4" w:space="0" w:color="000000"/>
              <w:right w:val="single" w:sz="4" w:space="0" w:color="000000"/>
            </w:tcBorders>
            <w:shd w:val="clear" w:color="000000" w:fill="FFFFFF"/>
            <w:noWrap/>
          </w:tcPr>
          <w:p w14:paraId="1B42CFA0" w14:textId="77777777" w:rsidR="00E32FC2" w:rsidRPr="00BF751A" w:rsidRDefault="00E32FC2" w:rsidP="0073471B">
            <w:pPr>
              <w:widowControl/>
              <w:jc w:val="left"/>
              <w:rPr>
                <w:rFonts w:asciiTheme="minorEastAsia" w:eastAsiaTheme="minorEastAsia" w:hAnsiTheme="minorEastAsia" w:cs="宋体"/>
                <w:color w:val="000000"/>
                <w:sz w:val="21"/>
                <w:szCs w:val="21"/>
              </w:rPr>
            </w:pPr>
            <w:r w:rsidRPr="00BF751A">
              <w:rPr>
                <w:rFonts w:asciiTheme="minorEastAsia" w:eastAsiaTheme="minorEastAsia" w:hAnsiTheme="minorEastAsia" w:cs="宋体" w:hint="eastAsia"/>
                <w:color w:val="000000"/>
                <w:sz w:val="21"/>
                <w:szCs w:val="21"/>
              </w:rPr>
              <w:t>衍生金融资产</w:t>
            </w:r>
          </w:p>
        </w:tc>
        <w:tc>
          <w:tcPr>
            <w:tcW w:w="1024" w:type="pct"/>
            <w:tcBorders>
              <w:top w:val="nil"/>
              <w:left w:val="nil"/>
              <w:bottom w:val="single" w:sz="4" w:space="0" w:color="000000"/>
              <w:right w:val="single" w:sz="4" w:space="0" w:color="000000"/>
            </w:tcBorders>
            <w:shd w:val="clear" w:color="000000" w:fill="FFFFFF"/>
            <w:noWrap/>
            <w:vAlign w:val="bottom"/>
          </w:tcPr>
          <w:p w14:paraId="6D23FF78" w14:textId="77777777" w:rsidR="00E32FC2" w:rsidRPr="00BF751A" w:rsidRDefault="00FA4863" w:rsidP="0073471B">
            <w:pPr>
              <w:widowControl/>
              <w:jc w:val="right"/>
              <w:rPr>
                <w:rFonts w:asciiTheme="minorEastAsia" w:eastAsiaTheme="minorEastAsia" w:hAnsiTheme="minorEastAsia" w:cs="宋体"/>
                <w:color w:val="000000"/>
                <w:sz w:val="21"/>
                <w:szCs w:val="21"/>
              </w:rPr>
            </w:pPr>
            <w:r w:rsidRPr="00BF751A">
              <w:rPr>
                <w:rFonts w:asciiTheme="minorEastAsia" w:eastAsiaTheme="minorEastAsia" w:hAnsiTheme="minorEastAsia" w:cs="宋体" w:hint="eastAsia"/>
                <w:color w:val="000000"/>
                <w:sz w:val="21"/>
                <w:szCs w:val="21"/>
              </w:rPr>
              <w:t>-</w:t>
            </w:r>
            <w:r w:rsidR="00E32FC2" w:rsidRPr="00BF751A">
              <w:rPr>
                <w:rFonts w:asciiTheme="minorEastAsia" w:eastAsiaTheme="minorEastAsia" w:hAnsiTheme="minorEastAsia" w:cs="宋体" w:hint="eastAsia"/>
                <w:color w:val="000000"/>
                <w:sz w:val="21"/>
                <w:szCs w:val="21"/>
              </w:rPr>
              <w:t xml:space="preserve">　</w:t>
            </w:r>
          </w:p>
        </w:tc>
        <w:tc>
          <w:tcPr>
            <w:tcW w:w="1459" w:type="pct"/>
            <w:tcBorders>
              <w:top w:val="nil"/>
              <w:left w:val="nil"/>
              <w:bottom w:val="single" w:sz="4" w:space="0" w:color="000000"/>
              <w:right w:val="single" w:sz="4" w:space="0" w:color="000000"/>
            </w:tcBorders>
            <w:shd w:val="clear" w:color="000000" w:fill="FFFFFF"/>
            <w:noWrap/>
          </w:tcPr>
          <w:p w14:paraId="190C9056" w14:textId="77777777" w:rsidR="00E32FC2" w:rsidRPr="00BF751A" w:rsidRDefault="00E32FC2" w:rsidP="0073471B">
            <w:pPr>
              <w:widowControl/>
              <w:jc w:val="left"/>
              <w:rPr>
                <w:rFonts w:asciiTheme="minorEastAsia" w:eastAsiaTheme="minorEastAsia" w:hAnsiTheme="minorEastAsia" w:cs="宋体"/>
                <w:color w:val="000000"/>
                <w:sz w:val="21"/>
                <w:szCs w:val="21"/>
              </w:rPr>
            </w:pPr>
            <w:r w:rsidRPr="00BF751A">
              <w:rPr>
                <w:rFonts w:asciiTheme="minorEastAsia" w:eastAsiaTheme="minorEastAsia" w:hAnsiTheme="minorEastAsia" w:cs="宋体" w:hint="eastAsia"/>
                <w:color w:val="000000"/>
                <w:sz w:val="21"/>
                <w:szCs w:val="21"/>
              </w:rPr>
              <w:t>应付销售服务费</w:t>
            </w:r>
          </w:p>
        </w:tc>
        <w:tc>
          <w:tcPr>
            <w:tcW w:w="989" w:type="pct"/>
            <w:tcBorders>
              <w:top w:val="nil"/>
              <w:left w:val="nil"/>
              <w:bottom w:val="single" w:sz="4" w:space="0" w:color="000000"/>
              <w:right w:val="single" w:sz="4" w:space="0" w:color="000000"/>
            </w:tcBorders>
            <w:shd w:val="clear" w:color="000000" w:fill="FFFFFF"/>
            <w:noWrap/>
            <w:vAlign w:val="bottom"/>
          </w:tcPr>
          <w:p w14:paraId="120A02E5" w14:textId="7BFD56B5" w:rsidR="00E32FC2" w:rsidRPr="00BF751A" w:rsidRDefault="00B648CD">
            <w:pPr>
              <w:jc w:val="right"/>
              <w:rPr>
                <w:rFonts w:asciiTheme="minorEastAsia" w:eastAsiaTheme="minorEastAsia" w:hAnsiTheme="minorEastAsia" w:cs="宋体"/>
                <w:color w:val="000000"/>
                <w:sz w:val="21"/>
                <w:szCs w:val="21"/>
              </w:rPr>
            </w:pPr>
            <w:r w:rsidRPr="00B648CD">
              <w:rPr>
                <w:rFonts w:asciiTheme="minorEastAsia" w:eastAsiaTheme="minorEastAsia" w:hAnsiTheme="minorEastAsia" w:cs="宋体"/>
                <w:color w:val="000000"/>
                <w:sz w:val="21"/>
                <w:szCs w:val="21"/>
              </w:rPr>
              <w:t>3.14</w:t>
            </w:r>
          </w:p>
        </w:tc>
      </w:tr>
      <w:tr w:rsidR="00E32FC2" w:rsidRPr="00E32FC2" w14:paraId="400B8670" w14:textId="77777777" w:rsidTr="002747E2">
        <w:trPr>
          <w:trHeight w:val="288"/>
        </w:trPr>
        <w:tc>
          <w:tcPr>
            <w:tcW w:w="1528" w:type="pct"/>
            <w:tcBorders>
              <w:top w:val="nil"/>
              <w:left w:val="double" w:sz="6" w:space="0" w:color="000000"/>
              <w:bottom w:val="single" w:sz="4" w:space="0" w:color="000000"/>
              <w:right w:val="single" w:sz="4" w:space="0" w:color="000000"/>
            </w:tcBorders>
            <w:shd w:val="clear" w:color="000000" w:fill="FFFFFF"/>
            <w:noWrap/>
          </w:tcPr>
          <w:p w14:paraId="01A4123C" w14:textId="77777777" w:rsidR="00E32FC2" w:rsidRPr="00BF751A" w:rsidRDefault="00E32FC2" w:rsidP="0073471B">
            <w:pPr>
              <w:widowControl/>
              <w:jc w:val="left"/>
              <w:rPr>
                <w:rFonts w:asciiTheme="minorEastAsia" w:eastAsiaTheme="minorEastAsia" w:hAnsiTheme="minorEastAsia" w:cs="宋体"/>
                <w:color w:val="000000"/>
                <w:sz w:val="21"/>
                <w:szCs w:val="21"/>
              </w:rPr>
            </w:pPr>
            <w:r w:rsidRPr="00BF751A">
              <w:rPr>
                <w:rFonts w:asciiTheme="minorEastAsia" w:eastAsiaTheme="minorEastAsia" w:hAnsiTheme="minorEastAsia" w:cs="宋体" w:hint="eastAsia"/>
                <w:color w:val="000000"/>
                <w:sz w:val="21"/>
                <w:szCs w:val="21"/>
              </w:rPr>
              <w:t>买入返售金融资产</w:t>
            </w:r>
          </w:p>
        </w:tc>
        <w:tc>
          <w:tcPr>
            <w:tcW w:w="1024" w:type="pct"/>
            <w:tcBorders>
              <w:top w:val="nil"/>
              <w:left w:val="nil"/>
              <w:bottom w:val="single" w:sz="4" w:space="0" w:color="000000"/>
              <w:right w:val="single" w:sz="4" w:space="0" w:color="000000"/>
            </w:tcBorders>
            <w:shd w:val="clear" w:color="000000" w:fill="FFFFFF"/>
            <w:noWrap/>
            <w:vAlign w:val="bottom"/>
          </w:tcPr>
          <w:p w14:paraId="0E5C4970" w14:textId="77777777" w:rsidR="00E32FC2" w:rsidRPr="00BF751A" w:rsidRDefault="00FA4863" w:rsidP="0073471B">
            <w:pPr>
              <w:widowControl/>
              <w:jc w:val="right"/>
              <w:rPr>
                <w:rFonts w:asciiTheme="minorEastAsia" w:eastAsiaTheme="minorEastAsia" w:hAnsiTheme="minorEastAsia" w:cs="宋体"/>
                <w:color w:val="000000"/>
                <w:sz w:val="21"/>
                <w:szCs w:val="21"/>
              </w:rPr>
            </w:pPr>
            <w:r w:rsidRPr="00BF751A">
              <w:rPr>
                <w:rFonts w:asciiTheme="minorEastAsia" w:eastAsiaTheme="minorEastAsia" w:hAnsiTheme="minorEastAsia" w:cs="宋体" w:hint="eastAsia"/>
                <w:color w:val="000000"/>
                <w:sz w:val="21"/>
                <w:szCs w:val="21"/>
              </w:rPr>
              <w:t>-</w:t>
            </w:r>
            <w:r w:rsidR="00E32FC2" w:rsidRPr="00BF751A">
              <w:rPr>
                <w:rFonts w:asciiTheme="minorEastAsia" w:eastAsiaTheme="minorEastAsia" w:hAnsiTheme="minorEastAsia" w:cs="宋体" w:hint="eastAsia"/>
                <w:color w:val="000000"/>
                <w:sz w:val="21"/>
                <w:szCs w:val="21"/>
              </w:rPr>
              <w:t xml:space="preserve">　</w:t>
            </w:r>
          </w:p>
        </w:tc>
        <w:tc>
          <w:tcPr>
            <w:tcW w:w="1459" w:type="pct"/>
            <w:tcBorders>
              <w:top w:val="nil"/>
              <w:left w:val="nil"/>
              <w:bottom w:val="single" w:sz="4" w:space="0" w:color="000000"/>
              <w:right w:val="single" w:sz="4" w:space="0" w:color="000000"/>
            </w:tcBorders>
            <w:shd w:val="clear" w:color="000000" w:fill="FFFFFF"/>
            <w:noWrap/>
          </w:tcPr>
          <w:p w14:paraId="057A05AA" w14:textId="77777777" w:rsidR="00E32FC2" w:rsidRPr="00BF751A" w:rsidRDefault="00E32FC2" w:rsidP="0073471B">
            <w:pPr>
              <w:widowControl/>
              <w:jc w:val="left"/>
              <w:rPr>
                <w:rFonts w:asciiTheme="minorEastAsia" w:eastAsiaTheme="minorEastAsia" w:hAnsiTheme="minorEastAsia" w:cs="宋体"/>
                <w:color w:val="000000"/>
                <w:sz w:val="21"/>
                <w:szCs w:val="21"/>
              </w:rPr>
            </w:pPr>
            <w:r w:rsidRPr="00BF751A">
              <w:rPr>
                <w:rFonts w:asciiTheme="minorEastAsia" w:eastAsiaTheme="minorEastAsia" w:hAnsiTheme="minorEastAsia" w:cs="宋体" w:hint="eastAsia"/>
                <w:color w:val="000000"/>
                <w:sz w:val="21"/>
                <w:szCs w:val="21"/>
              </w:rPr>
              <w:t>应付交易费用</w:t>
            </w:r>
          </w:p>
        </w:tc>
        <w:tc>
          <w:tcPr>
            <w:tcW w:w="989" w:type="pct"/>
            <w:tcBorders>
              <w:top w:val="nil"/>
              <w:left w:val="nil"/>
              <w:bottom w:val="single" w:sz="4" w:space="0" w:color="000000"/>
              <w:right w:val="single" w:sz="4" w:space="0" w:color="000000"/>
            </w:tcBorders>
            <w:shd w:val="clear" w:color="000000" w:fill="FFFFFF"/>
            <w:noWrap/>
            <w:vAlign w:val="bottom"/>
          </w:tcPr>
          <w:p w14:paraId="3537FDAC" w14:textId="40F45976" w:rsidR="00E32FC2" w:rsidRPr="00BF751A" w:rsidRDefault="00B648CD">
            <w:pPr>
              <w:jc w:val="right"/>
              <w:rPr>
                <w:rFonts w:asciiTheme="minorEastAsia" w:eastAsiaTheme="minorEastAsia" w:hAnsiTheme="minorEastAsia" w:cs="宋体"/>
                <w:color w:val="000000"/>
                <w:sz w:val="21"/>
                <w:szCs w:val="21"/>
              </w:rPr>
            </w:pPr>
            <w:r w:rsidRPr="00B648CD">
              <w:rPr>
                <w:rFonts w:asciiTheme="minorEastAsia" w:eastAsiaTheme="minorEastAsia" w:hAnsiTheme="minorEastAsia" w:cs="宋体"/>
                <w:color w:val="000000"/>
                <w:sz w:val="21"/>
                <w:szCs w:val="21"/>
              </w:rPr>
              <w:t>4,164.34</w:t>
            </w:r>
          </w:p>
        </w:tc>
      </w:tr>
      <w:tr w:rsidR="006A1DAA" w:rsidRPr="00E32FC2" w14:paraId="6545D2D8" w14:textId="77777777" w:rsidTr="00B43672">
        <w:trPr>
          <w:trHeight w:val="288"/>
        </w:trPr>
        <w:tc>
          <w:tcPr>
            <w:tcW w:w="1528" w:type="pct"/>
            <w:tcBorders>
              <w:top w:val="nil"/>
              <w:left w:val="double" w:sz="6" w:space="0" w:color="000000"/>
              <w:bottom w:val="single" w:sz="4" w:space="0" w:color="000000"/>
              <w:right w:val="single" w:sz="4" w:space="0" w:color="000000"/>
            </w:tcBorders>
            <w:shd w:val="clear" w:color="000000" w:fill="FFFFFF"/>
            <w:noWrap/>
          </w:tcPr>
          <w:p w14:paraId="15315BCE" w14:textId="77777777" w:rsidR="006A1DAA" w:rsidRPr="00BF751A" w:rsidRDefault="006A1DAA" w:rsidP="006A1DAA">
            <w:pPr>
              <w:widowControl/>
              <w:jc w:val="left"/>
              <w:rPr>
                <w:rFonts w:asciiTheme="minorEastAsia" w:eastAsiaTheme="minorEastAsia" w:hAnsiTheme="minorEastAsia" w:cs="宋体"/>
                <w:color w:val="000000"/>
                <w:sz w:val="21"/>
                <w:szCs w:val="21"/>
              </w:rPr>
            </w:pPr>
            <w:r w:rsidRPr="00BF751A">
              <w:rPr>
                <w:rFonts w:asciiTheme="minorEastAsia" w:eastAsiaTheme="minorEastAsia" w:hAnsiTheme="minorEastAsia" w:cs="宋体" w:hint="eastAsia"/>
                <w:color w:val="000000"/>
                <w:sz w:val="21"/>
                <w:szCs w:val="21"/>
              </w:rPr>
              <w:t>应收证券清算款</w:t>
            </w:r>
          </w:p>
        </w:tc>
        <w:tc>
          <w:tcPr>
            <w:tcW w:w="1024" w:type="pct"/>
            <w:tcBorders>
              <w:top w:val="nil"/>
              <w:left w:val="nil"/>
              <w:bottom w:val="single" w:sz="4" w:space="0" w:color="000000"/>
              <w:right w:val="single" w:sz="4" w:space="0" w:color="000000"/>
            </w:tcBorders>
            <w:shd w:val="clear" w:color="000000" w:fill="FFFFFF"/>
            <w:noWrap/>
            <w:vAlign w:val="bottom"/>
          </w:tcPr>
          <w:p w14:paraId="219BB937" w14:textId="253CBEEA" w:rsidR="006A1DAA" w:rsidRPr="00BF751A" w:rsidRDefault="006A1DAA" w:rsidP="006A1DAA">
            <w:pPr>
              <w:widowControl/>
              <w:jc w:val="right"/>
              <w:rPr>
                <w:rFonts w:asciiTheme="minorEastAsia" w:eastAsiaTheme="minorEastAsia" w:hAnsiTheme="minorEastAsia" w:cs="宋体"/>
                <w:color w:val="000000"/>
                <w:sz w:val="21"/>
                <w:szCs w:val="21"/>
              </w:rPr>
            </w:pPr>
            <w:r>
              <w:rPr>
                <w:rFonts w:asciiTheme="minorEastAsia" w:eastAsiaTheme="minorEastAsia" w:hAnsiTheme="minorEastAsia" w:cs="宋体"/>
                <w:color w:val="000000"/>
                <w:sz w:val="21"/>
                <w:szCs w:val="21"/>
              </w:rPr>
              <w:t>-</w:t>
            </w:r>
            <w:r w:rsidRPr="00BF751A">
              <w:rPr>
                <w:rFonts w:asciiTheme="minorEastAsia" w:eastAsiaTheme="minorEastAsia" w:hAnsiTheme="minorEastAsia" w:cs="宋体" w:hint="eastAsia"/>
                <w:color w:val="000000"/>
                <w:sz w:val="21"/>
                <w:szCs w:val="21"/>
              </w:rPr>
              <w:t xml:space="preserve">　</w:t>
            </w:r>
          </w:p>
        </w:tc>
        <w:tc>
          <w:tcPr>
            <w:tcW w:w="1459" w:type="pct"/>
            <w:tcBorders>
              <w:top w:val="nil"/>
              <w:left w:val="nil"/>
              <w:bottom w:val="single" w:sz="4" w:space="0" w:color="000000"/>
              <w:right w:val="single" w:sz="4" w:space="0" w:color="000000"/>
            </w:tcBorders>
            <w:shd w:val="clear" w:color="000000" w:fill="FFFFFF"/>
            <w:noWrap/>
          </w:tcPr>
          <w:p w14:paraId="6E1D427A" w14:textId="304D4680" w:rsidR="006A1DAA" w:rsidRPr="00BF751A" w:rsidRDefault="006A1DAA" w:rsidP="006A1DAA">
            <w:pPr>
              <w:widowControl/>
              <w:jc w:val="left"/>
              <w:rPr>
                <w:rFonts w:asciiTheme="minorEastAsia" w:eastAsiaTheme="minorEastAsia" w:hAnsiTheme="minorEastAsia" w:cs="宋体"/>
                <w:color w:val="000000"/>
                <w:sz w:val="21"/>
                <w:szCs w:val="21"/>
              </w:rPr>
            </w:pPr>
            <w:r w:rsidRPr="006A1DAA">
              <w:rPr>
                <w:rFonts w:asciiTheme="minorEastAsia" w:eastAsiaTheme="minorEastAsia" w:hAnsiTheme="minorEastAsia" w:cs="宋体" w:hint="eastAsia"/>
                <w:color w:val="000000"/>
                <w:sz w:val="21"/>
                <w:szCs w:val="21"/>
              </w:rPr>
              <w:t>应付税费</w:t>
            </w:r>
          </w:p>
        </w:tc>
        <w:tc>
          <w:tcPr>
            <w:tcW w:w="989" w:type="pct"/>
            <w:tcBorders>
              <w:top w:val="nil"/>
              <w:left w:val="nil"/>
              <w:bottom w:val="single" w:sz="4" w:space="0" w:color="000000"/>
              <w:right w:val="single" w:sz="4" w:space="0" w:color="000000"/>
            </w:tcBorders>
            <w:shd w:val="clear" w:color="000000" w:fill="FFFFFF"/>
            <w:noWrap/>
          </w:tcPr>
          <w:p w14:paraId="738C37CE" w14:textId="7918D982" w:rsidR="006A1DAA" w:rsidRPr="00BF751A" w:rsidRDefault="00B648CD" w:rsidP="006A1DAA">
            <w:pPr>
              <w:widowControl/>
              <w:jc w:val="right"/>
              <w:rPr>
                <w:rFonts w:asciiTheme="minorEastAsia" w:eastAsiaTheme="minorEastAsia" w:hAnsiTheme="minorEastAsia" w:cs="宋体"/>
                <w:color w:val="000000"/>
                <w:sz w:val="21"/>
                <w:szCs w:val="21"/>
              </w:rPr>
            </w:pPr>
            <w:r w:rsidRPr="00B648CD">
              <w:rPr>
                <w:rFonts w:asciiTheme="minorEastAsia" w:eastAsiaTheme="minorEastAsia" w:hAnsiTheme="minorEastAsia" w:cs="宋体"/>
                <w:color w:val="000000"/>
                <w:sz w:val="21"/>
                <w:szCs w:val="21"/>
              </w:rPr>
              <w:t>482.04</w:t>
            </w:r>
          </w:p>
        </w:tc>
      </w:tr>
      <w:tr w:rsidR="00E32FC2" w:rsidRPr="00E32FC2" w14:paraId="083CC87D" w14:textId="77777777" w:rsidTr="002747E2">
        <w:trPr>
          <w:trHeight w:val="288"/>
        </w:trPr>
        <w:tc>
          <w:tcPr>
            <w:tcW w:w="1528" w:type="pct"/>
            <w:tcBorders>
              <w:top w:val="nil"/>
              <w:left w:val="double" w:sz="6" w:space="0" w:color="000000"/>
              <w:bottom w:val="single" w:sz="4" w:space="0" w:color="000000"/>
              <w:right w:val="single" w:sz="4" w:space="0" w:color="000000"/>
            </w:tcBorders>
            <w:shd w:val="clear" w:color="000000" w:fill="FFFFFF"/>
            <w:noWrap/>
          </w:tcPr>
          <w:p w14:paraId="42B68FCC" w14:textId="77777777" w:rsidR="00E32FC2" w:rsidRPr="00BF751A" w:rsidRDefault="00E32FC2" w:rsidP="0073471B">
            <w:pPr>
              <w:widowControl/>
              <w:jc w:val="left"/>
              <w:rPr>
                <w:rFonts w:asciiTheme="minorEastAsia" w:eastAsiaTheme="minorEastAsia" w:hAnsiTheme="minorEastAsia" w:cs="宋体"/>
                <w:color w:val="000000"/>
                <w:sz w:val="21"/>
                <w:szCs w:val="21"/>
              </w:rPr>
            </w:pPr>
            <w:r w:rsidRPr="00BF751A">
              <w:rPr>
                <w:rFonts w:asciiTheme="minorEastAsia" w:eastAsiaTheme="minorEastAsia" w:hAnsiTheme="minorEastAsia" w:cs="宋体" w:hint="eastAsia"/>
                <w:color w:val="000000"/>
                <w:sz w:val="21"/>
                <w:szCs w:val="21"/>
              </w:rPr>
              <w:t>应收利息</w:t>
            </w:r>
          </w:p>
        </w:tc>
        <w:tc>
          <w:tcPr>
            <w:tcW w:w="1024" w:type="pct"/>
            <w:tcBorders>
              <w:top w:val="nil"/>
              <w:left w:val="nil"/>
              <w:bottom w:val="single" w:sz="4" w:space="0" w:color="000000"/>
              <w:right w:val="single" w:sz="4" w:space="0" w:color="000000"/>
            </w:tcBorders>
            <w:shd w:val="clear" w:color="000000" w:fill="FFFFFF"/>
            <w:noWrap/>
            <w:vAlign w:val="bottom"/>
          </w:tcPr>
          <w:p w14:paraId="70B74B17" w14:textId="495D41AB" w:rsidR="00E32FC2" w:rsidRPr="00BF751A" w:rsidRDefault="00B648CD">
            <w:pPr>
              <w:jc w:val="right"/>
              <w:rPr>
                <w:rFonts w:asciiTheme="minorEastAsia" w:eastAsiaTheme="minorEastAsia" w:hAnsiTheme="minorEastAsia" w:cs="宋体"/>
                <w:color w:val="000000"/>
                <w:sz w:val="21"/>
                <w:szCs w:val="21"/>
              </w:rPr>
            </w:pPr>
            <w:r w:rsidRPr="00B648CD">
              <w:rPr>
                <w:rFonts w:asciiTheme="minorEastAsia" w:eastAsiaTheme="minorEastAsia" w:hAnsiTheme="minorEastAsia" w:cs="宋体"/>
                <w:color w:val="000000"/>
                <w:sz w:val="21"/>
                <w:szCs w:val="21"/>
              </w:rPr>
              <w:t>565.36</w:t>
            </w:r>
          </w:p>
        </w:tc>
        <w:tc>
          <w:tcPr>
            <w:tcW w:w="1459" w:type="pct"/>
            <w:tcBorders>
              <w:top w:val="nil"/>
              <w:left w:val="nil"/>
              <w:bottom w:val="single" w:sz="4" w:space="0" w:color="000000"/>
              <w:right w:val="single" w:sz="4" w:space="0" w:color="000000"/>
            </w:tcBorders>
            <w:shd w:val="clear" w:color="000000" w:fill="FFFFFF"/>
            <w:noWrap/>
          </w:tcPr>
          <w:p w14:paraId="42C8A438" w14:textId="77777777" w:rsidR="00E32FC2" w:rsidRPr="00BF751A" w:rsidRDefault="00E32FC2" w:rsidP="0073471B">
            <w:pPr>
              <w:widowControl/>
              <w:jc w:val="left"/>
              <w:rPr>
                <w:rFonts w:asciiTheme="minorEastAsia" w:eastAsiaTheme="minorEastAsia" w:hAnsiTheme="minorEastAsia" w:cs="宋体"/>
                <w:color w:val="000000"/>
                <w:sz w:val="21"/>
                <w:szCs w:val="21"/>
              </w:rPr>
            </w:pPr>
            <w:r w:rsidRPr="00BF751A">
              <w:rPr>
                <w:rFonts w:asciiTheme="minorEastAsia" w:eastAsiaTheme="minorEastAsia" w:hAnsiTheme="minorEastAsia" w:cs="宋体" w:hint="eastAsia"/>
                <w:color w:val="000000"/>
                <w:sz w:val="21"/>
                <w:szCs w:val="21"/>
              </w:rPr>
              <w:t>应付利息</w:t>
            </w:r>
          </w:p>
        </w:tc>
        <w:tc>
          <w:tcPr>
            <w:tcW w:w="989" w:type="pct"/>
            <w:tcBorders>
              <w:top w:val="nil"/>
              <w:left w:val="nil"/>
              <w:bottom w:val="single" w:sz="4" w:space="0" w:color="000000"/>
              <w:right w:val="single" w:sz="4" w:space="0" w:color="000000"/>
            </w:tcBorders>
            <w:shd w:val="clear" w:color="000000" w:fill="FFFFFF"/>
            <w:noWrap/>
            <w:vAlign w:val="bottom"/>
          </w:tcPr>
          <w:p w14:paraId="2650E3B8" w14:textId="77777777" w:rsidR="00E32FC2" w:rsidRPr="00BF751A" w:rsidRDefault="00FA4863" w:rsidP="0073471B">
            <w:pPr>
              <w:widowControl/>
              <w:jc w:val="right"/>
              <w:rPr>
                <w:rFonts w:asciiTheme="minorEastAsia" w:eastAsiaTheme="minorEastAsia" w:hAnsiTheme="minorEastAsia" w:cs="宋体"/>
                <w:color w:val="000000"/>
                <w:sz w:val="21"/>
                <w:szCs w:val="21"/>
              </w:rPr>
            </w:pPr>
            <w:r w:rsidRPr="00BF751A">
              <w:rPr>
                <w:rFonts w:asciiTheme="minorEastAsia" w:eastAsiaTheme="minorEastAsia" w:hAnsiTheme="minorEastAsia" w:cs="宋体" w:hint="eastAsia"/>
                <w:color w:val="000000"/>
                <w:sz w:val="21"/>
                <w:szCs w:val="21"/>
              </w:rPr>
              <w:t>-</w:t>
            </w:r>
            <w:r w:rsidR="00E32FC2" w:rsidRPr="00BF751A">
              <w:rPr>
                <w:rFonts w:asciiTheme="minorEastAsia" w:eastAsiaTheme="minorEastAsia" w:hAnsiTheme="minorEastAsia" w:cs="宋体" w:hint="eastAsia"/>
                <w:color w:val="000000"/>
                <w:sz w:val="21"/>
                <w:szCs w:val="21"/>
              </w:rPr>
              <w:t xml:space="preserve">　</w:t>
            </w:r>
          </w:p>
        </w:tc>
      </w:tr>
      <w:tr w:rsidR="00E32FC2" w:rsidRPr="00E32FC2" w14:paraId="3BE062FB" w14:textId="77777777" w:rsidTr="002747E2">
        <w:trPr>
          <w:trHeight w:val="288"/>
        </w:trPr>
        <w:tc>
          <w:tcPr>
            <w:tcW w:w="1528" w:type="pct"/>
            <w:tcBorders>
              <w:top w:val="nil"/>
              <w:left w:val="double" w:sz="6" w:space="0" w:color="000000"/>
              <w:bottom w:val="single" w:sz="4" w:space="0" w:color="000000"/>
              <w:right w:val="single" w:sz="4" w:space="0" w:color="000000"/>
            </w:tcBorders>
            <w:shd w:val="clear" w:color="000000" w:fill="FFFFFF"/>
            <w:noWrap/>
          </w:tcPr>
          <w:p w14:paraId="1EE41132" w14:textId="77777777" w:rsidR="00E32FC2" w:rsidRPr="00BF751A" w:rsidRDefault="00E32FC2" w:rsidP="0073471B">
            <w:pPr>
              <w:widowControl/>
              <w:jc w:val="left"/>
              <w:rPr>
                <w:rFonts w:asciiTheme="minorEastAsia" w:eastAsiaTheme="minorEastAsia" w:hAnsiTheme="minorEastAsia" w:cs="宋体"/>
                <w:color w:val="000000"/>
                <w:sz w:val="21"/>
                <w:szCs w:val="21"/>
              </w:rPr>
            </w:pPr>
            <w:r w:rsidRPr="00BF751A">
              <w:rPr>
                <w:rFonts w:asciiTheme="minorEastAsia" w:eastAsiaTheme="minorEastAsia" w:hAnsiTheme="minorEastAsia" w:cs="宋体" w:hint="eastAsia"/>
                <w:color w:val="000000"/>
                <w:sz w:val="21"/>
                <w:szCs w:val="21"/>
              </w:rPr>
              <w:t>应收股利</w:t>
            </w:r>
          </w:p>
        </w:tc>
        <w:tc>
          <w:tcPr>
            <w:tcW w:w="1024" w:type="pct"/>
            <w:tcBorders>
              <w:top w:val="nil"/>
              <w:left w:val="nil"/>
              <w:bottom w:val="single" w:sz="4" w:space="0" w:color="000000"/>
              <w:right w:val="single" w:sz="4" w:space="0" w:color="000000"/>
            </w:tcBorders>
            <w:shd w:val="clear" w:color="000000" w:fill="FFFFFF"/>
            <w:noWrap/>
            <w:vAlign w:val="bottom"/>
          </w:tcPr>
          <w:p w14:paraId="2E745DF8" w14:textId="77777777" w:rsidR="00E32FC2" w:rsidRPr="00BF751A" w:rsidRDefault="00FA4863">
            <w:pPr>
              <w:jc w:val="right"/>
              <w:rPr>
                <w:rFonts w:asciiTheme="minorEastAsia" w:eastAsiaTheme="minorEastAsia" w:hAnsiTheme="minorEastAsia" w:cs="宋体"/>
                <w:color w:val="000000"/>
                <w:sz w:val="21"/>
                <w:szCs w:val="21"/>
              </w:rPr>
            </w:pPr>
            <w:r w:rsidRPr="00BF751A">
              <w:rPr>
                <w:rFonts w:asciiTheme="minorEastAsia" w:eastAsiaTheme="minorEastAsia" w:hAnsiTheme="minorEastAsia"/>
                <w:color w:val="000000"/>
                <w:sz w:val="21"/>
                <w:szCs w:val="21"/>
              </w:rPr>
              <w:t>-</w:t>
            </w:r>
            <w:r w:rsidR="00E32FC2" w:rsidRPr="00BF751A">
              <w:rPr>
                <w:rFonts w:asciiTheme="minorEastAsia" w:eastAsiaTheme="minorEastAsia" w:hAnsiTheme="minorEastAsia" w:hint="eastAsia"/>
                <w:color w:val="000000"/>
                <w:sz w:val="21"/>
                <w:szCs w:val="21"/>
              </w:rPr>
              <w:t xml:space="preserve">　</w:t>
            </w:r>
          </w:p>
        </w:tc>
        <w:tc>
          <w:tcPr>
            <w:tcW w:w="1459" w:type="pct"/>
            <w:tcBorders>
              <w:top w:val="nil"/>
              <w:left w:val="nil"/>
              <w:bottom w:val="single" w:sz="4" w:space="0" w:color="000000"/>
              <w:right w:val="single" w:sz="4" w:space="0" w:color="000000"/>
            </w:tcBorders>
            <w:shd w:val="clear" w:color="000000" w:fill="FFFFFF"/>
            <w:noWrap/>
          </w:tcPr>
          <w:p w14:paraId="4145AC6A" w14:textId="77777777" w:rsidR="00E32FC2" w:rsidRPr="00BF751A" w:rsidRDefault="00E32FC2" w:rsidP="0073471B">
            <w:pPr>
              <w:widowControl/>
              <w:jc w:val="left"/>
              <w:rPr>
                <w:rFonts w:asciiTheme="minorEastAsia" w:eastAsiaTheme="minorEastAsia" w:hAnsiTheme="minorEastAsia" w:cs="宋体"/>
                <w:color w:val="000000"/>
                <w:sz w:val="21"/>
                <w:szCs w:val="21"/>
              </w:rPr>
            </w:pPr>
            <w:r w:rsidRPr="00BF751A">
              <w:rPr>
                <w:rFonts w:asciiTheme="minorEastAsia" w:eastAsiaTheme="minorEastAsia" w:hAnsiTheme="minorEastAsia" w:cs="宋体" w:hint="eastAsia"/>
                <w:color w:val="000000"/>
                <w:sz w:val="21"/>
                <w:szCs w:val="21"/>
              </w:rPr>
              <w:t>应付利润</w:t>
            </w:r>
          </w:p>
        </w:tc>
        <w:tc>
          <w:tcPr>
            <w:tcW w:w="989" w:type="pct"/>
            <w:tcBorders>
              <w:top w:val="nil"/>
              <w:left w:val="nil"/>
              <w:bottom w:val="single" w:sz="4" w:space="0" w:color="000000"/>
              <w:right w:val="single" w:sz="4" w:space="0" w:color="000000"/>
            </w:tcBorders>
            <w:shd w:val="clear" w:color="000000" w:fill="FFFFFF"/>
            <w:noWrap/>
            <w:vAlign w:val="bottom"/>
          </w:tcPr>
          <w:p w14:paraId="28F436A0" w14:textId="77777777" w:rsidR="00E32FC2" w:rsidRPr="00BF751A" w:rsidRDefault="00FA4863" w:rsidP="0073471B">
            <w:pPr>
              <w:widowControl/>
              <w:jc w:val="right"/>
              <w:rPr>
                <w:rFonts w:asciiTheme="minorEastAsia" w:eastAsiaTheme="minorEastAsia" w:hAnsiTheme="minorEastAsia" w:cs="宋体"/>
                <w:color w:val="000000"/>
                <w:sz w:val="21"/>
                <w:szCs w:val="21"/>
              </w:rPr>
            </w:pPr>
            <w:r w:rsidRPr="00BF751A">
              <w:rPr>
                <w:rFonts w:asciiTheme="minorEastAsia" w:eastAsiaTheme="minorEastAsia" w:hAnsiTheme="minorEastAsia" w:cs="宋体" w:hint="eastAsia"/>
                <w:color w:val="000000"/>
                <w:sz w:val="21"/>
                <w:szCs w:val="21"/>
              </w:rPr>
              <w:t>-</w:t>
            </w:r>
            <w:r w:rsidR="00E32FC2" w:rsidRPr="00BF751A">
              <w:rPr>
                <w:rFonts w:asciiTheme="minorEastAsia" w:eastAsiaTheme="minorEastAsia" w:hAnsiTheme="minorEastAsia" w:cs="宋体" w:hint="eastAsia"/>
                <w:color w:val="000000"/>
                <w:sz w:val="21"/>
                <w:szCs w:val="21"/>
              </w:rPr>
              <w:t xml:space="preserve">　</w:t>
            </w:r>
          </w:p>
        </w:tc>
      </w:tr>
      <w:tr w:rsidR="00E32FC2" w:rsidRPr="00E32FC2" w14:paraId="3CD49563" w14:textId="77777777" w:rsidTr="002747E2">
        <w:trPr>
          <w:trHeight w:val="288"/>
        </w:trPr>
        <w:tc>
          <w:tcPr>
            <w:tcW w:w="1528" w:type="pct"/>
            <w:tcBorders>
              <w:top w:val="nil"/>
              <w:left w:val="double" w:sz="6" w:space="0" w:color="000000"/>
              <w:bottom w:val="single" w:sz="4" w:space="0" w:color="000000"/>
              <w:right w:val="single" w:sz="4" w:space="0" w:color="000000"/>
            </w:tcBorders>
            <w:shd w:val="clear" w:color="000000" w:fill="FFFFFF"/>
            <w:noWrap/>
          </w:tcPr>
          <w:p w14:paraId="2A41FC45" w14:textId="77777777" w:rsidR="00E32FC2" w:rsidRPr="00BF751A" w:rsidRDefault="00E32FC2" w:rsidP="0073471B">
            <w:pPr>
              <w:widowControl/>
              <w:jc w:val="left"/>
              <w:rPr>
                <w:rFonts w:asciiTheme="minorEastAsia" w:eastAsiaTheme="minorEastAsia" w:hAnsiTheme="minorEastAsia" w:cs="宋体"/>
                <w:color w:val="000000"/>
                <w:sz w:val="21"/>
                <w:szCs w:val="21"/>
              </w:rPr>
            </w:pPr>
            <w:r w:rsidRPr="00BF751A">
              <w:rPr>
                <w:rFonts w:asciiTheme="minorEastAsia" w:eastAsiaTheme="minorEastAsia" w:hAnsiTheme="minorEastAsia" w:cs="宋体" w:hint="eastAsia"/>
                <w:color w:val="000000"/>
                <w:sz w:val="21"/>
                <w:szCs w:val="21"/>
              </w:rPr>
              <w:t>应收申购款</w:t>
            </w:r>
          </w:p>
        </w:tc>
        <w:tc>
          <w:tcPr>
            <w:tcW w:w="1024" w:type="pct"/>
            <w:tcBorders>
              <w:top w:val="nil"/>
              <w:left w:val="nil"/>
              <w:bottom w:val="single" w:sz="4" w:space="0" w:color="000000"/>
              <w:right w:val="single" w:sz="4" w:space="0" w:color="000000"/>
            </w:tcBorders>
            <w:shd w:val="clear" w:color="000000" w:fill="FFFFFF"/>
            <w:noWrap/>
            <w:vAlign w:val="bottom"/>
          </w:tcPr>
          <w:p w14:paraId="4077A8AD" w14:textId="77777777" w:rsidR="00E32FC2" w:rsidRPr="00BF751A" w:rsidRDefault="00FA4863">
            <w:pPr>
              <w:jc w:val="right"/>
              <w:rPr>
                <w:rFonts w:asciiTheme="minorEastAsia" w:eastAsiaTheme="minorEastAsia" w:hAnsiTheme="minorEastAsia" w:cs="宋体"/>
                <w:color w:val="000000"/>
                <w:sz w:val="21"/>
                <w:szCs w:val="21"/>
              </w:rPr>
            </w:pPr>
            <w:r w:rsidRPr="00BF751A">
              <w:rPr>
                <w:rFonts w:asciiTheme="minorEastAsia" w:eastAsiaTheme="minorEastAsia" w:hAnsiTheme="minorEastAsia" w:cs="宋体" w:hint="eastAsia"/>
                <w:color w:val="000000"/>
                <w:sz w:val="21"/>
                <w:szCs w:val="21"/>
              </w:rPr>
              <w:t>-</w:t>
            </w:r>
          </w:p>
        </w:tc>
        <w:tc>
          <w:tcPr>
            <w:tcW w:w="1459" w:type="pct"/>
            <w:tcBorders>
              <w:top w:val="nil"/>
              <w:left w:val="nil"/>
              <w:bottom w:val="single" w:sz="4" w:space="0" w:color="000000"/>
              <w:right w:val="single" w:sz="4" w:space="0" w:color="000000"/>
            </w:tcBorders>
            <w:shd w:val="clear" w:color="000000" w:fill="FFFFFF"/>
            <w:noWrap/>
          </w:tcPr>
          <w:p w14:paraId="498EC4DF" w14:textId="77777777" w:rsidR="00E32FC2" w:rsidRPr="00BF751A" w:rsidRDefault="00E32FC2" w:rsidP="0073471B">
            <w:pPr>
              <w:widowControl/>
              <w:jc w:val="left"/>
              <w:rPr>
                <w:rFonts w:asciiTheme="minorEastAsia" w:eastAsiaTheme="minorEastAsia" w:hAnsiTheme="minorEastAsia" w:cs="宋体"/>
                <w:color w:val="000000"/>
                <w:sz w:val="21"/>
                <w:szCs w:val="21"/>
              </w:rPr>
            </w:pPr>
            <w:r w:rsidRPr="00BF751A">
              <w:rPr>
                <w:rFonts w:asciiTheme="minorEastAsia" w:eastAsiaTheme="minorEastAsia" w:hAnsiTheme="minorEastAsia" w:cs="宋体" w:hint="eastAsia"/>
                <w:color w:val="000000"/>
                <w:sz w:val="21"/>
                <w:szCs w:val="21"/>
              </w:rPr>
              <w:t>其他负债</w:t>
            </w:r>
          </w:p>
        </w:tc>
        <w:tc>
          <w:tcPr>
            <w:tcW w:w="989" w:type="pct"/>
            <w:tcBorders>
              <w:top w:val="nil"/>
              <w:left w:val="nil"/>
              <w:bottom w:val="single" w:sz="4" w:space="0" w:color="000000"/>
              <w:right w:val="single" w:sz="4" w:space="0" w:color="000000"/>
            </w:tcBorders>
            <w:shd w:val="clear" w:color="000000" w:fill="FFFFFF"/>
            <w:noWrap/>
            <w:vAlign w:val="bottom"/>
          </w:tcPr>
          <w:p w14:paraId="0523788E" w14:textId="19AD1743" w:rsidR="00E32FC2" w:rsidRPr="00BF751A" w:rsidRDefault="00B648CD" w:rsidP="00E32FC2">
            <w:pPr>
              <w:jc w:val="right"/>
              <w:rPr>
                <w:rFonts w:asciiTheme="minorEastAsia" w:eastAsiaTheme="minorEastAsia" w:hAnsiTheme="minorEastAsia" w:cs="宋体"/>
                <w:color w:val="000000"/>
                <w:sz w:val="21"/>
                <w:szCs w:val="21"/>
              </w:rPr>
            </w:pPr>
            <w:r w:rsidRPr="00B648CD">
              <w:rPr>
                <w:rFonts w:asciiTheme="minorEastAsia" w:eastAsiaTheme="minorEastAsia" w:hAnsiTheme="minorEastAsia" w:cs="宋体"/>
                <w:color w:val="000000"/>
                <w:sz w:val="21"/>
                <w:szCs w:val="21"/>
              </w:rPr>
              <w:t>177,916.95</w:t>
            </w:r>
          </w:p>
        </w:tc>
      </w:tr>
      <w:tr w:rsidR="00E32FC2" w:rsidRPr="006A1DAA" w14:paraId="136CD4DE" w14:textId="77777777" w:rsidTr="002747E2">
        <w:trPr>
          <w:trHeight w:val="288"/>
        </w:trPr>
        <w:tc>
          <w:tcPr>
            <w:tcW w:w="1528" w:type="pct"/>
            <w:tcBorders>
              <w:top w:val="nil"/>
              <w:left w:val="double" w:sz="6" w:space="0" w:color="000000"/>
              <w:bottom w:val="single" w:sz="4" w:space="0" w:color="000000"/>
              <w:right w:val="single" w:sz="4" w:space="0" w:color="000000"/>
            </w:tcBorders>
            <w:shd w:val="clear" w:color="000000" w:fill="FFFFFF"/>
            <w:noWrap/>
          </w:tcPr>
          <w:p w14:paraId="4273BA7A" w14:textId="77777777" w:rsidR="00E32FC2" w:rsidRPr="00BF751A" w:rsidRDefault="00E32FC2" w:rsidP="0073471B">
            <w:pPr>
              <w:widowControl/>
              <w:jc w:val="left"/>
              <w:rPr>
                <w:rFonts w:asciiTheme="minorEastAsia" w:eastAsiaTheme="minorEastAsia" w:hAnsiTheme="minorEastAsia" w:cs="宋体"/>
                <w:color w:val="000000"/>
                <w:sz w:val="21"/>
                <w:szCs w:val="21"/>
              </w:rPr>
            </w:pPr>
            <w:r w:rsidRPr="00BF751A">
              <w:rPr>
                <w:rFonts w:asciiTheme="minorEastAsia" w:eastAsiaTheme="minorEastAsia" w:hAnsiTheme="minorEastAsia" w:cs="宋体" w:hint="eastAsia"/>
                <w:color w:val="000000"/>
                <w:sz w:val="21"/>
                <w:szCs w:val="21"/>
              </w:rPr>
              <w:t>其他资产</w:t>
            </w:r>
          </w:p>
        </w:tc>
        <w:tc>
          <w:tcPr>
            <w:tcW w:w="1024" w:type="pct"/>
            <w:tcBorders>
              <w:top w:val="nil"/>
              <w:left w:val="nil"/>
              <w:bottom w:val="single" w:sz="4" w:space="0" w:color="000000"/>
              <w:right w:val="single" w:sz="4" w:space="0" w:color="000000"/>
            </w:tcBorders>
            <w:shd w:val="clear" w:color="000000" w:fill="FFFFFF"/>
            <w:noWrap/>
            <w:vAlign w:val="bottom"/>
          </w:tcPr>
          <w:p w14:paraId="6CC5A70B" w14:textId="77777777" w:rsidR="00E32FC2" w:rsidRPr="00BF751A" w:rsidRDefault="00FA4863" w:rsidP="0073471B">
            <w:pPr>
              <w:widowControl/>
              <w:jc w:val="right"/>
              <w:rPr>
                <w:rFonts w:asciiTheme="minorEastAsia" w:eastAsiaTheme="minorEastAsia" w:hAnsiTheme="minorEastAsia" w:cs="宋体"/>
                <w:color w:val="000000"/>
                <w:sz w:val="21"/>
                <w:szCs w:val="21"/>
              </w:rPr>
            </w:pPr>
            <w:r w:rsidRPr="00BF751A">
              <w:rPr>
                <w:rFonts w:asciiTheme="minorEastAsia" w:eastAsiaTheme="minorEastAsia" w:hAnsiTheme="minorEastAsia" w:cs="宋体" w:hint="eastAsia"/>
                <w:color w:val="000000"/>
                <w:sz w:val="21"/>
                <w:szCs w:val="21"/>
              </w:rPr>
              <w:t>-</w:t>
            </w:r>
            <w:r w:rsidR="00E32FC2" w:rsidRPr="00BF751A">
              <w:rPr>
                <w:rFonts w:asciiTheme="minorEastAsia" w:eastAsiaTheme="minorEastAsia" w:hAnsiTheme="minorEastAsia" w:cs="宋体" w:hint="eastAsia"/>
                <w:color w:val="000000"/>
                <w:sz w:val="21"/>
                <w:szCs w:val="21"/>
              </w:rPr>
              <w:t xml:space="preserve">　</w:t>
            </w:r>
          </w:p>
        </w:tc>
        <w:tc>
          <w:tcPr>
            <w:tcW w:w="1459" w:type="pct"/>
            <w:tcBorders>
              <w:top w:val="nil"/>
              <w:left w:val="nil"/>
              <w:bottom w:val="single" w:sz="4" w:space="0" w:color="000000"/>
              <w:right w:val="single" w:sz="4" w:space="0" w:color="000000"/>
            </w:tcBorders>
            <w:shd w:val="clear" w:color="000000" w:fill="FFFFFF"/>
            <w:noWrap/>
          </w:tcPr>
          <w:p w14:paraId="75A65132" w14:textId="77777777" w:rsidR="00E32FC2" w:rsidRPr="00BF751A" w:rsidRDefault="00E32FC2" w:rsidP="0073471B">
            <w:pPr>
              <w:widowControl/>
              <w:jc w:val="left"/>
              <w:rPr>
                <w:rFonts w:asciiTheme="minorEastAsia" w:eastAsiaTheme="minorEastAsia" w:hAnsiTheme="minorEastAsia" w:cs="宋体"/>
                <w:b/>
                <w:bCs/>
                <w:color w:val="000000"/>
                <w:sz w:val="21"/>
                <w:szCs w:val="21"/>
              </w:rPr>
            </w:pPr>
            <w:r w:rsidRPr="00BF751A">
              <w:rPr>
                <w:rFonts w:asciiTheme="minorEastAsia" w:eastAsiaTheme="minorEastAsia" w:hAnsiTheme="minorEastAsia" w:cs="宋体" w:hint="eastAsia"/>
                <w:b/>
                <w:bCs/>
                <w:color w:val="000000"/>
                <w:sz w:val="21"/>
                <w:szCs w:val="21"/>
              </w:rPr>
              <w:t>负债合计</w:t>
            </w:r>
          </w:p>
        </w:tc>
        <w:tc>
          <w:tcPr>
            <w:tcW w:w="989" w:type="pct"/>
            <w:tcBorders>
              <w:top w:val="nil"/>
              <w:left w:val="nil"/>
              <w:bottom w:val="single" w:sz="4" w:space="0" w:color="000000"/>
              <w:right w:val="single" w:sz="4" w:space="0" w:color="000000"/>
            </w:tcBorders>
            <w:shd w:val="clear" w:color="000000" w:fill="FFFFFF"/>
            <w:noWrap/>
            <w:vAlign w:val="bottom"/>
          </w:tcPr>
          <w:p w14:paraId="0885E347" w14:textId="20622C86" w:rsidR="00E32FC2" w:rsidRPr="006A1DAA" w:rsidRDefault="00B648CD" w:rsidP="006A1DAA">
            <w:pPr>
              <w:widowControl/>
              <w:adjustRightInd/>
              <w:spacing w:line="240" w:lineRule="auto"/>
              <w:jc w:val="right"/>
              <w:textAlignment w:val="auto"/>
              <w:rPr>
                <w:rFonts w:asciiTheme="minorEastAsia" w:eastAsiaTheme="minorEastAsia" w:hAnsiTheme="minorEastAsia" w:cs="宋体"/>
                <w:color w:val="000000"/>
                <w:sz w:val="21"/>
                <w:szCs w:val="21"/>
              </w:rPr>
            </w:pPr>
            <w:r w:rsidRPr="00B648CD">
              <w:rPr>
                <w:rFonts w:asciiTheme="minorEastAsia" w:eastAsiaTheme="minorEastAsia" w:hAnsiTheme="minorEastAsia" w:cs="宋体"/>
                <w:color w:val="000000"/>
                <w:sz w:val="21"/>
                <w:szCs w:val="21"/>
              </w:rPr>
              <w:t>1,654,717.13</w:t>
            </w:r>
          </w:p>
        </w:tc>
      </w:tr>
      <w:tr w:rsidR="00E32FC2" w:rsidRPr="00E32FC2" w14:paraId="5B9E96A6" w14:textId="77777777" w:rsidTr="002747E2">
        <w:trPr>
          <w:trHeight w:val="288"/>
        </w:trPr>
        <w:tc>
          <w:tcPr>
            <w:tcW w:w="1528" w:type="pct"/>
            <w:tcBorders>
              <w:top w:val="nil"/>
              <w:left w:val="double" w:sz="6" w:space="0" w:color="000000"/>
              <w:bottom w:val="single" w:sz="4" w:space="0" w:color="000000"/>
              <w:right w:val="single" w:sz="4" w:space="0" w:color="000000"/>
            </w:tcBorders>
            <w:shd w:val="clear" w:color="000000" w:fill="FFFFFF"/>
            <w:noWrap/>
          </w:tcPr>
          <w:p w14:paraId="512EF35B" w14:textId="77777777" w:rsidR="00E32FC2" w:rsidRPr="00BF751A" w:rsidRDefault="00E32FC2" w:rsidP="0073471B">
            <w:pPr>
              <w:widowControl/>
              <w:jc w:val="left"/>
              <w:rPr>
                <w:rFonts w:asciiTheme="minorEastAsia" w:eastAsiaTheme="minorEastAsia" w:hAnsiTheme="minorEastAsia" w:cs="宋体"/>
                <w:color w:val="000000"/>
                <w:sz w:val="21"/>
                <w:szCs w:val="21"/>
              </w:rPr>
            </w:pPr>
            <w:r w:rsidRPr="00BF751A">
              <w:rPr>
                <w:rFonts w:asciiTheme="minorEastAsia" w:eastAsiaTheme="minorEastAsia" w:hAnsiTheme="minorEastAsia" w:cs="宋体" w:hint="eastAsia"/>
                <w:color w:val="000000"/>
                <w:sz w:val="21"/>
                <w:szCs w:val="21"/>
              </w:rPr>
              <w:t xml:space="preserve">　</w:t>
            </w:r>
          </w:p>
        </w:tc>
        <w:tc>
          <w:tcPr>
            <w:tcW w:w="1024" w:type="pct"/>
            <w:tcBorders>
              <w:top w:val="nil"/>
              <w:left w:val="nil"/>
              <w:bottom w:val="single" w:sz="4" w:space="0" w:color="000000"/>
              <w:right w:val="single" w:sz="4" w:space="0" w:color="000000"/>
            </w:tcBorders>
            <w:shd w:val="clear" w:color="000000" w:fill="FFFFFF"/>
            <w:noWrap/>
            <w:vAlign w:val="bottom"/>
          </w:tcPr>
          <w:p w14:paraId="113AD86E" w14:textId="77777777" w:rsidR="00E32FC2" w:rsidRPr="00BF751A" w:rsidRDefault="00E32FC2" w:rsidP="0073471B">
            <w:pPr>
              <w:widowControl/>
              <w:jc w:val="right"/>
              <w:rPr>
                <w:rFonts w:asciiTheme="minorEastAsia" w:eastAsiaTheme="minorEastAsia" w:hAnsiTheme="minorEastAsia" w:cs="宋体"/>
                <w:color w:val="000000"/>
                <w:sz w:val="21"/>
                <w:szCs w:val="21"/>
              </w:rPr>
            </w:pPr>
            <w:r w:rsidRPr="00BF751A">
              <w:rPr>
                <w:rFonts w:asciiTheme="minorEastAsia" w:eastAsiaTheme="minorEastAsia" w:hAnsiTheme="minorEastAsia" w:cs="宋体" w:hint="eastAsia"/>
                <w:color w:val="000000"/>
                <w:sz w:val="21"/>
                <w:szCs w:val="21"/>
              </w:rPr>
              <w:t xml:space="preserve">　</w:t>
            </w:r>
          </w:p>
        </w:tc>
        <w:tc>
          <w:tcPr>
            <w:tcW w:w="1459" w:type="pct"/>
            <w:tcBorders>
              <w:top w:val="nil"/>
              <w:left w:val="nil"/>
              <w:bottom w:val="single" w:sz="4" w:space="0" w:color="000000"/>
              <w:right w:val="single" w:sz="4" w:space="0" w:color="000000"/>
            </w:tcBorders>
            <w:shd w:val="clear" w:color="000000" w:fill="FFFFFF"/>
            <w:noWrap/>
          </w:tcPr>
          <w:p w14:paraId="198DBCCB" w14:textId="77777777" w:rsidR="00E32FC2" w:rsidRPr="00BF751A" w:rsidRDefault="00E32FC2" w:rsidP="0073471B">
            <w:pPr>
              <w:widowControl/>
              <w:jc w:val="left"/>
              <w:rPr>
                <w:rFonts w:asciiTheme="minorEastAsia" w:eastAsiaTheme="minorEastAsia" w:hAnsiTheme="minorEastAsia" w:cs="宋体"/>
                <w:b/>
                <w:bCs/>
                <w:color w:val="000000"/>
                <w:sz w:val="21"/>
                <w:szCs w:val="21"/>
              </w:rPr>
            </w:pPr>
            <w:r w:rsidRPr="00BF751A">
              <w:rPr>
                <w:rFonts w:asciiTheme="minorEastAsia" w:eastAsiaTheme="minorEastAsia" w:hAnsiTheme="minorEastAsia" w:cs="宋体" w:hint="eastAsia"/>
                <w:b/>
                <w:bCs/>
                <w:color w:val="000000"/>
                <w:sz w:val="21"/>
                <w:szCs w:val="21"/>
              </w:rPr>
              <w:t>所有者权益：</w:t>
            </w:r>
          </w:p>
        </w:tc>
        <w:tc>
          <w:tcPr>
            <w:tcW w:w="989" w:type="pct"/>
            <w:tcBorders>
              <w:top w:val="nil"/>
              <w:left w:val="nil"/>
              <w:bottom w:val="single" w:sz="4" w:space="0" w:color="000000"/>
              <w:right w:val="single" w:sz="4" w:space="0" w:color="000000"/>
            </w:tcBorders>
            <w:shd w:val="clear" w:color="000000" w:fill="FFFFFF"/>
            <w:noWrap/>
            <w:vAlign w:val="bottom"/>
          </w:tcPr>
          <w:p w14:paraId="6D908080" w14:textId="77777777" w:rsidR="00E32FC2" w:rsidRPr="00BF751A" w:rsidRDefault="00E32FC2">
            <w:pPr>
              <w:jc w:val="right"/>
              <w:rPr>
                <w:rFonts w:asciiTheme="minorEastAsia" w:eastAsiaTheme="minorEastAsia" w:hAnsiTheme="minorEastAsia" w:cs="宋体"/>
                <w:color w:val="000000"/>
                <w:sz w:val="21"/>
                <w:szCs w:val="21"/>
              </w:rPr>
            </w:pPr>
            <w:r w:rsidRPr="00BF751A">
              <w:rPr>
                <w:rFonts w:asciiTheme="minorEastAsia" w:eastAsiaTheme="minorEastAsia" w:hAnsiTheme="minorEastAsia" w:hint="eastAsia"/>
                <w:color w:val="000000"/>
                <w:sz w:val="21"/>
                <w:szCs w:val="21"/>
              </w:rPr>
              <w:t xml:space="preserve">　</w:t>
            </w:r>
          </w:p>
        </w:tc>
      </w:tr>
      <w:tr w:rsidR="00E32FC2" w:rsidRPr="00E32FC2" w14:paraId="4B7C9633" w14:textId="77777777" w:rsidTr="002747E2">
        <w:trPr>
          <w:trHeight w:val="288"/>
        </w:trPr>
        <w:tc>
          <w:tcPr>
            <w:tcW w:w="1528" w:type="pct"/>
            <w:tcBorders>
              <w:top w:val="nil"/>
              <w:left w:val="double" w:sz="6" w:space="0" w:color="000000"/>
              <w:bottom w:val="single" w:sz="4" w:space="0" w:color="000000"/>
              <w:right w:val="single" w:sz="4" w:space="0" w:color="000000"/>
            </w:tcBorders>
            <w:shd w:val="clear" w:color="000000" w:fill="FFFFFF"/>
            <w:noWrap/>
          </w:tcPr>
          <w:p w14:paraId="6E064AB9" w14:textId="77777777" w:rsidR="00E32FC2" w:rsidRPr="00BF751A" w:rsidRDefault="00E32FC2" w:rsidP="0073471B">
            <w:pPr>
              <w:widowControl/>
              <w:jc w:val="left"/>
              <w:rPr>
                <w:rFonts w:asciiTheme="minorEastAsia" w:eastAsiaTheme="minorEastAsia" w:hAnsiTheme="minorEastAsia" w:cs="宋体"/>
                <w:color w:val="000000"/>
                <w:sz w:val="21"/>
                <w:szCs w:val="21"/>
              </w:rPr>
            </w:pPr>
            <w:r w:rsidRPr="00BF751A">
              <w:rPr>
                <w:rFonts w:asciiTheme="minorEastAsia" w:eastAsiaTheme="minorEastAsia" w:hAnsiTheme="minorEastAsia" w:cs="宋体" w:hint="eastAsia"/>
                <w:color w:val="000000"/>
                <w:sz w:val="21"/>
                <w:szCs w:val="21"/>
              </w:rPr>
              <w:t xml:space="preserve">　</w:t>
            </w:r>
          </w:p>
        </w:tc>
        <w:tc>
          <w:tcPr>
            <w:tcW w:w="1024" w:type="pct"/>
            <w:tcBorders>
              <w:top w:val="nil"/>
              <w:left w:val="nil"/>
              <w:bottom w:val="single" w:sz="4" w:space="0" w:color="000000"/>
              <w:right w:val="single" w:sz="4" w:space="0" w:color="000000"/>
            </w:tcBorders>
            <w:shd w:val="clear" w:color="000000" w:fill="FFFFFF"/>
            <w:noWrap/>
            <w:vAlign w:val="bottom"/>
          </w:tcPr>
          <w:p w14:paraId="026D950B" w14:textId="77777777" w:rsidR="00E32FC2" w:rsidRPr="00BF751A" w:rsidRDefault="00E32FC2" w:rsidP="0073471B">
            <w:pPr>
              <w:widowControl/>
              <w:jc w:val="right"/>
              <w:rPr>
                <w:rFonts w:asciiTheme="minorEastAsia" w:eastAsiaTheme="minorEastAsia" w:hAnsiTheme="minorEastAsia" w:cs="宋体"/>
                <w:color w:val="000000"/>
                <w:sz w:val="21"/>
                <w:szCs w:val="21"/>
              </w:rPr>
            </w:pPr>
            <w:r w:rsidRPr="00BF751A">
              <w:rPr>
                <w:rFonts w:asciiTheme="minorEastAsia" w:eastAsiaTheme="minorEastAsia" w:hAnsiTheme="minorEastAsia" w:cs="宋体" w:hint="eastAsia"/>
                <w:color w:val="000000"/>
                <w:sz w:val="21"/>
                <w:szCs w:val="21"/>
              </w:rPr>
              <w:t xml:space="preserve">　</w:t>
            </w:r>
          </w:p>
        </w:tc>
        <w:tc>
          <w:tcPr>
            <w:tcW w:w="1459" w:type="pct"/>
            <w:tcBorders>
              <w:top w:val="nil"/>
              <w:left w:val="nil"/>
              <w:bottom w:val="single" w:sz="4" w:space="0" w:color="000000"/>
              <w:right w:val="single" w:sz="4" w:space="0" w:color="000000"/>
            </w:tcBorders>
            <w:shd w:val="clear" w:color="000000" w:fill="FFFFFF"/>
            <w:noWrap/>
          </w:tcPr>
          <w:p w14:paraId="40FB87F6" w14:textId="77777777" w:rsidR="00E32FC2" w:rsidRPr="00BF751A" w:rsidRDefault="00E32FC2" w:rsidP="0073471B">
            <w:pPr>
              <w:widowControl/>
              <w:jc w:val="left"/>
              <w:rPr>
                <w:rFonts w:asciiTheme="minorEastAsia" w:eastAsiaTheme="minorEastAsia" w:hAnsiTheme="minorEastAsia" w:cs="宋体"/>
                <w:color w:val="000000"/>
                <w:sz w:val="21"/>
                <w:szCs w:val="21"/>
              </w:rPr>
            </w:pPr>
            <w:r w:rsidRPr="00BF751A">
              <w:rPr>
                <w:rFonts w:asciiTheme="minorEastAsia" w:eastAsiaTheme="minorEastAsia" w:hAnsiTheme="minorEastAsia" w:cs="宋体" w:hint="eastAsia"/>
                <w:color w:val="000000"/>
                <w:sz w:val="21"/>
                <w:szCs w:val="21"/>
              </w:rPr>
              <w:t>实收基金</w:t>
            </w:r>
          </w:p>
        </w:tc>
        <w:tc>
          <w:tcPr>
            <w:tcW w:w="989" w:type="pct"/>
            <w:tcBorders>
              <w:top w:val="nil"/>
              <w:left w:val="nil"/>
              <w:bottom w:val="single" w:sz="4" w:space="0" w:color="000000"/>
              <w:right w:val="single" w:sz="4" w:space="0" w:color="000000"/>
            </w:tcBorders>
            <w:shd w:val="clear" w:color="000000" w:fill="FFFFFF"/>
            <w:noWrap/>
            <w:vAlign w:val="bottom"/>
          </w:tcPr>
          <w:p w14:paraId="0C9BAE5B" w14:textId="7152D995" w:rsidR="00E32FC2" w:rsidRPr="00BF751A" w:rsidRDefault="00B648CD">
            <w:pPr>
              <w:jc w:val="right"/>
              <w:rPr>
                <w:rFonts w:asciiTheme="minorEastAsia" w:eastAsiaTheme="minorEastAsia" w:hAnsiTheme="minorEastAsia" w:cs="宋体"/>
                <w:color w:val="000000"/>
                <w:sz w:val="21"/>
                <w:szCs w:val="21"/>
              </w:rPr>
            </w:pPr>
            <w:r w:rsidRPr="00B648CD">
              <w:rPr>
                <w:rFonts w:asciiTheme="minorEastAsia" w:eastAsiaTheme="minorEastAsia" w:hAnsiTheme="minorEastAsia" w:cs="宋体"/>
                <w:color w:val="000000"/>
                <w:sz w:val="21"/>
                <w:szCs w:val="21"/>
              </w:rPr>
              <w:t>10,362,638.06</w:t>
            </w:r>
          </w:p>
        </w:tc>
      </w:tr>
      <w:tr w:rsidR="00E32FC2" w:rsidRPr="00E32FC2" w14:paraId="008462C6" w14:textId="77777777" w:rsidTr="002747E2">
        <w:trPr>
          <w:trHeight w:val="288"/>
        </w:trPr>
        <w:tc>
          <w:tcPr>
            <w:tcW w:w="1528" w:type="pct"/>
            <w:tcBorders>
              <w:top w:val="nil"/>
              <w:left w:val="double" w:sz="6" w:space="0" w:color="000000"/>
              <w:bottom w:val="single" w:sz="4" w:space="0" w:color="000000"/>
              <w:right w:val="single" w:sz="4" w:space="0" w:color="000000"/>
            </w:tcBorders>
            <w:shd w:val="clear" w:color="000000" w:fill="FFFFFF"/>
            <w:noWrap/>
          </w:tcPr>
          <w:p w14:paraId="059B04C3" w14:textId="77777777" w:rsidR="00E32FC2" w:rsidRPr="00BF751A" w:rsidRDefault="00E32FC2" w:rsidP="0073471B">
            <w:pPr>
              <w:widowControl/>
              <w:jc w:val="left"/>
              <w:rPr>
                <w:rFonts w:asciiTheme="minorEastAsia" w:eastAsiaTheme="minorEastAsia" w:hAnsiTheme="minorEastAsia" w:cs="宋体"/>
                <w:color w:val="000000"/>
                <w:sz w:val="21"/>
                <w:szCs w:val="21"/>
              </w:rPr>
            </w:pPr>
            <w:r w:rsidRPr="00BF751A">
              <w:rPr>
                <w:rFonts w:asciiTheme="minorEastAsia" w:eastAsiaTheme="minorEastAsia" w:hAnsiTheme="minorEastAsia" w:cs="宋体" w:hint="eastAsia"/>
                <w:color w:val="000000"/>
                <w:sz w:val="21"/>
                <w:szCs w:val="21"/>
              </w:rPr>
              <w:t xml:space="preserve">　</w:t>
            </w:r>
          </w:p>
        </w:tc>
        <w:tc>
          <w:tcPr>
            <w:tcW w:w="1024" w:type="pct"/>
            <w:tcBorders>
              <w:top w:val="nil"/>
              <w:left w:val="nil"/>
              <w:bottom w:val="single" w:sz="4" w:space="0" w:color="000000"/>
              <w:right w:val="single" w:sz="4" w:space="0" w:color="000000"/>
            </w:tcBorders>
            <w:shd w:val="clear" w:color="000000" w:fill="FFFFFF"/>
            <w:noWrap/>
            <w:vAlign w:val="bottom"/>
          </w:tcPr>
          <w:p w14:paraId="27126556" w14:textId="77777777" w:rsidR="00E32FC2" w:rsidRPr="00BF751A" w:rsidRDefault="00E32FC2" w:rsidP="0073471B">
            <w:pPr>
              <w:widowControl/>
              <w:jc w:val="right"/>
              <w:rPr>
                <w:rFonts w:asciiTheme="minorEastAsia" w:eastAsiaTheme="minorEastAsia" w:hAnsiTheme="minorEastAsia" w:cs="宋体"/>
                <w:color w:val="000000"/>
                <w:sz w:val="21"/>
                <w:szCs w:val="21"/>
              </w:rPr>
            </w:pPr>
            <w:r w:rsidRPr="00BF751A">
              <w:rPr>
                <w:rFonts w:asciiTheme="minorEastAsia" w:eastAsiaTheme="minorEastAsia" w:hAnsiTheme="minorEastAsia" w:cs="宋体" w:hint="eastAsia"/>
                <w:color w:val="000000"/>
                <w:sz w:val="21"/>
                <w:szCs w:val="21"/>
              </w:rPr>
              <w:t xml:space="preserve">　</w:t>
            </w:r>
          </w:p>
        </w:tc>
        <w:tc>
          <w:tcPr>
            <w:tcW w:w="1459" w:type="pct"/>
            <w:tcBorders>
              <w:top w:val="nil"/>
              <w:left w:val="nil"/>
              <w:bottom w:val="single" w:sz="4" w:space="0" w:color="000000"/>
              <w:right w:val="single" w:sz="4" w:space="0" w:color="000000"/>
            </w:tcBorders>
            <w:shd w:val="clear" w:color="000000" w:fill="FFFFFF"/>
            <w:noWrap/>
          </w:tcPr>
          <w:p w14:paraId="07C66C70" w14:textId="77777777" w:rsidR="00E32FC2" w:rsidRPr="00BF751A" w:rsidRDefault="00E32FC2" w:rsidP="0073471B">
            <w:pPr>
              <w:widowControl/>
              <w:jc w:val="left"/>
              <w:rPr>
                <w:rFonts w:asciiTheme="minorEastAsia" w:eastAsiaTheme="minorEastAsia" w:hAnsiTheme="minorEastAsia" w:cs="宋体"/>
                <w:color w:val="000000"/>
                <w:sz w:val="21"/>
                <w:szCs w:val="21"/>
              </w:rPr>
            </w:pPr>
            <w:r w:rsidRPr="00BF751A">
              <w:rPr>
                <w:rFonts w:asciiTheme="minorEastAsia" w:eastAsiaTheme="minorEastAsia" w:hAnsiTheme="minorEastAsia" w:cs="宋体" w:hint="eastAsia"/>
                <w:color w:val="000000"/>
                <w:sz w:val="21"/>
                <w:szCs w:val="21"/>
              </w:rPr>
              <w:t>未分配利润</w:t>
            </w:r>
          </w:p>
        </w:tc>
        <w:tc>
          <w:tcPr>
            <w:tcW w:w="989" w:type="pct"/>
            <w:tcBorders>
              <w:top w:val="nil"/>
              <w:left w:val="nil"/>
              <w:bottom w:val="single" w:sz="4" w:space="0" w:color="000000"/>
              <w:right w:val="single" w:sz="4" w:space="0" w:color="000000"/>
            </w:tcBorders>
            <w:shd w:val="clear" w:color="000000" w:fill="FFFFFF"/>
            <w:noWrap/>
            <w:vAlign w:val="bottom"/>
          </w:tcPr>
          <w:p w14:paraId="623AB025" w14:textId="12721F38" w:rsidR="00E32FC2" w:rsidRPr="00BF751A" w:rsidRDefault="00B648CD">
            <w:pPr>
              <w:jc w:val="right"/>
              <w:rPr>
                <w:rFonts w:asciiTheme="minorEastAsia" w:eastAsiaTheme="minorEastAsia" w:hAnsiTheme="minorEastAsia" w:cs="宋体"/>
                <w:color w:val="000000"/>
                <w:sz w:val="21"/>
                <w:szCs w:val="21"/>
              </w:rPr>
            </w:pPr>
            <w:r w:rsidRPr="00B648CD">
              <w:rPr>
                <w:rFonts w:asciiTheme="minorEastAsia" w:eastAsiaTheme="minorEastAsia" w:hAnsiTheme="minorEastAsia" w:cs="宋体"/>
                <w:color w:val="000000"/>
                <w:sz w:val="21"/>
                <w:szCs w:val="21"/>
              </w:rPr>
              <w:t>858,659.08</w:t>
            </w:r>
          </w:p>
        </w:tc>
      </w:tr>
      <w:tr w:rsidR="00E32FC2" w:rsidRPr="00E32FC2" w14:paraId="71F907E0" w14:textId="77777777" w:rsidTr="002747E2">
        <w:trPr>
          <w:trHeight w:val="288"/>
        </w:trPr>
        <w:tc>
          <w:tcPr>
            <w:tcW w:w="1528" w:type="pct"/>
            <w:tcBorders>
              <w:top w:val="nil"/>
              <w:left w:val="double" w:sz="6" w:space="0" w:color="000000"/>
              <w:bottom w:val="single" w:sz="4" w:space="0" w:color="000000"/>
              <w:right w:val="single" w:sz="4" w:space="0" w:color="000000"/>
            </w:tcBorders>
            <w:shd w:val="clear" w:color="000000" w:fill="FFFFFF"/>
            <w:noWrap/>
          </w:tcPr>
          <w:p w14:paraId="71CDE58C" w14:textId="77777777" w:rsidR="00E32FC2" w:rsidRPr="00BF751A" w:rsidRDefault="00E32FC2" w:rsidP="0073471B">
            <w:pPr>
              <w:widowControl/>
              <w:jc w:val="left"/>
              <w:rPr>
                <w:rFonts w:asciiTheme="minorEastAsia" w:eastAsiaTheme="minorEastAsia" w:hAnsiTheme="minorEastAsia" w:cs="宋体"/>
                <w:color w:val="000000"/>
                <w:sz w:val="21"/>
                <w:szCs w:val="21"/>
              </w:rPr>
            </w:pPr>
            <w:r w:rsidRPr="00BF751A">
              <w:rPr>
                <w:rFonts w:asciiTheme="minorEastAsia" w:eastAsiaTheme="minorEastAsia" w:hAnsiTheme="minorEastAsia" w:cs="宋体" w:hint="eastAsia"/>
                <w:color w:val="000000"/>
                <w:sz w:val="21"/>
                <w:szCs w:val="21"/>
              </w:rPr>
              <w:t xml:space="preserve">　</w:t>
            </w:r>
          </w:p>
        </w:tc>
        <w:tc>
          <w:tcPr>
            <w:tcW w:w="1024" w:type="pct"/>
            <w:tcBorders>
              <w:top w:val="nil"/>
              <w:left w:val="nil"/>
              <w:bottom w:val="single" w:sz="4" w:space="0" w:color="000000"/>
              <w:right w:val="single" w:sz="4" w:space="0" w:color="000000"/>
            </w:tcBorders>
            <w:shd w:val="clear" w:color="000000" w:fill="FFFFFF"/>
            <w:noWrap/>
            <w:vAlign w:val="bottom"/>
          </w:tcPr>
          <w:p w14:paraId="02EC1EBB" w14:textId="77777777" w:rsidR="00E32FC2" w:rsidRPr="00BF751A" w:rsidRDefault="00E32FC2" w:rsidP="0073471B">
            <w:pPr>
              <w:widowControl/>
              <w:jc w:val="right"/>
              <w:rPr>
                <w:rFonts w:asciiTheme="minorEastAsia" w:eastAsiaTheme="minorEastAsia" w:hAnsiTheme="minorEastAsia" w:cs="宋体"/>
                <w:color w:val="000000"/>
                <w:sz w:val="21"/>
                <w:szCs w:val="21"/>
              </w:rPr>
            </w:pPr>
            <w:r w:rsidRPr="00BF751A">
              <w:rPr>
                <w:rFonts w:asciiTheme="minorEastAsia" w:eastAsiaTheme="minorEastAsia" w:hAnsiTheme="minorEastAsia" w:cs="宋体" w:hint="eastAsia"/>
                <w:color w:val="000000"/>
                <w:sz w:val="21"/>
                <w:szCs w:val="21"/>
              </w:rPr>
              <w:t xml:space="preserve">　</w:t>
            </w:r>
          </w:p>
        </w:tc>
        <w:tc>
          <w:tcPr>
            <w:tcW w:w="1459" w:type="pct"/>
            <w:tcBorders>
              <w:top w:val="nil"/>
              <w:left w:val="nil"/>
              <w:bottom w:val="single" w:sz="4" w:space="0" w:color="000000"/>
              <w:right w:val="single" w:sz="4" w:space="0" w:color="000000"/>
            </w:tcBorders>
            <w:shd w:val="clear" w:color="000000" w:fill="FFFFFF"/>
            <w:noWrap/>
          </w:tcPr>
          <w:p w14:paraId="3763961E" w14:textId="77777777" w:rsidR="00E32FC2" w:rsidRPr="00BF751A" w:rsidRDefault="00E32FC2" w:rsidP="0073471B">
            <w:pPr>
              <w:widowControl/>
              <w:jc w:val="left"/>
              <w:rPr>
                <w:rFonts w:asciiTheme="minorEastAsia" w:eastAsiaTheme="minorEastAsia" w:hAnsiTheme="minorEastAsia" w:cs="宋体"/>
                <w:b/>
                <w:bCs/>
                <w:color w:val="000000"/>
                <w:sz w:val="21"/>
                <w:szCs w:val="21"/>
              </w:rPr>
            </w:pPr>
            <w:r w:rsidRPr="00BF751A">
              <w:rPr>
                <w:rFonts w:asciiTheme="minorEastAsia" w:eastAsiaTheme="minorEastAsia" w:hAnsiTheme="minorEastAsia" w:cs="宋体" w:hint="eastAsia"/>
                <w:b/>
                <w:bCs/>
                <w:color w:val="000000"/>
                <w:sz w:val="21"/>
                <w:szCs w:val="21"/>
              </w:rPr>
              <w:t>所有者权益合计</w:t>
            </w:r>
          </w:p>
        </w:tc>
        <w:tc>
          <w:tcPr>
            <w:tcW w:w="989" w:type="pct"/>
            <w:tcBorders>
              <w:top w:val="nil"/>
              <w:left w:val="nil"/>
              <w:bottom w:val="single" w:sz="4" w:space="0" w:color="000000"/>
              <w:right w:val="single" w:sz="4" w:space="0" w:color="000000"/>
            </w:tcBorders>
            <w:shd w:val="clear" w:color="000000" w:fill="FFFFFF"/>
            <w:noWrap/>
            <w:vAlign w:val="bottom"/>
          </w:tcPr>
          <w:p w14:paraId="0282E0DC" w14:textId="3F246503" w:rsidR="00E32FC2" w:rsidRPr="00BF751A" w:rsidRDefault="00B648CD" w:rsidP="00AB14E2">
            <w:pPr>
              <w:jc w:val="right"/>
              <w:rPr>
                <w:rFonts w:asciiTheme="minorEastAsia" w:eastAsiaTheme="minorEastAsia" w:hAnsiTheme="minorEastAsia"/>
                <w:color w:val="000000"/>
                <w:sz w:val="21"/>
                <w:szCs w:val="21"/>
              </w:rPr>
            </w:pPr>
            <w:r w:rsidRPr="00B648CD">
              <w:rPr>
                <w:rFonts w:asciiTheme="minorEastAsia" w:eastAsiaTheme="minorEastAsia" w:hAnsiTheme="minorEastAsia"/>
                <w:color w:val="000000"/>
                <w:sz w:val="21"/>
                <w:szCs w:val="21"/>
              </w:rPr>
              <w:t>11,221,297.14</w:t>
            </w:r>
          </w:p>
        </w:tc>
      </w:tr>
      <w:tr w:rsidR="00E32FC2" w:rsidRPr="00E32FC2" w14:paraId="02A599D9" w14:textId="77777777" w:rsidTr="002747E2">
        <w:trPr>
          <w:trHeight w:val="300"/>
        </w:trPr>
        <w:tc>
          <w:tcPr>
            <w:tcW w:w="1528" w:type="pct"/>
            <w:tcBorders>
              <w:top w:val="nil"/>
              <w:left w:val="double" w:sz="6" w:space="0" w:color="000000"/>
              <w:bottom w:val="double" w:sz="6" w:space="0" w:color="000000"/>
              <w:right w:val="single" w:sz="4" w:space="0" w:color="000000"/>
            </w:tcBorders>
            <w:shd w:val="clear" w:color="000000" w:fill="FFFFFF"/>
            <w:noWrap/>
          </w:tcPr>
          <w:p w14:paraId="79AFFFCE" w14:textId="77777777" w:rsidR="00E32FC2" w:rsidRPr="00BF751A" w:rsidRDefault="00E32FC2" w:rsidP="0073471B">
            <w:pPr>
              <w:widowControl/>
              <w:jc w:val="left"/>
              <w:rPr>
                <w:rFonts w:asciiTheme="minorEastAsia" w:eastAsiaTheme="minorEastAsia" w:hAnsiTheme="minorEastAsia" w:cs="宋体"/>
                <w:b/>
                <w:bCs/>
                <w:color w:val="000000"/>
                <w:sz w:val="21"/>
                <w:szCs w:val="21"/>
              </w:rPr>
            </w:pPr>
            <w:r w:rsidRPr="00BF751A">
              <w:rPr>
                <w:rFonts w:asciiTheme="minorEastAsia" w:eastAsiaTheme="minorEastAsia" w:hAnsiTheme="minorEastAsia" w:cs="宋体" w:hint="eastAsia"/>
                <w:b/>
                <w:bCs/>
                <w:color w:val="000000"/>
                <w:sz w:val="21"/>
                <w:szCs w:val="21"/>
              </w:rPr>
              <w:t>资产合计</w:t>
            </w:r>
            <w:r w:rsidRPr="00BF751A">
              <w:rPr>
                <w:rFonts w:asciiTheme="minorEastAsia" w:eastAsiaTheme="minorEastAsia" w:hAnsiTheme="minorEastAsia" w:cs="宋体"/>
                <w:b/>
                <w:bCs/>
                <w:color w:val="000000"/>
                <w:sz w:val="21"/>
                <w:szCs w:val="21"/>
              </w:rPr>
              <w:t>:</w:t>
            </w:r>
          </w:p>
        </w:tc>
        <w:tc>
          <w:tcPr>
            <w:tcW w:w="1024" w:type="pct"/>
            <w:tcBorders>
              <w:top w:val="nil"/>
              <w:left w:val="nil"/>
              <w:bottom w:val="double" w:sz="6" w:space="0" w:color="000000"/>
              <w:right w:val="single" w:sz="4" w:space="0" w:color="000000"/>
            </w:tcBorders>
            <w:shd w:val="clear" w:color="000000" w:fill="FFFFFF"/>
            <w:noWrap/>
            <w:vAlign w:val="bottom"/>
          </w:tcPr>
          <w:p w14:paraId="6FF57419" w14:textId="7243EA5F" w:rsidR="00E32FC2" w:rsidRPr="00BF751A" w:rsidRDefault="00B648CD" w:rsidP="00E32FC2">
            <w:pPr>
              <w:jc w:val="right"/>
              <w:rPr>
                <w:rFonts w:asciiTheme="minorEastAsia" w:eastAsiaTheme="minorEastAsia" w:hAnsiTheme="minorEastAsia" w:cs="宋体"/>
                <w:color w:val="000000"/>
                <w:sz w:val="21"/>
                <w:szCs w:val="21"/>
              </w:rPr>
            </w:pPr>
            <w:r w:rsidRPr="00B648CD">
              <w:rPr>
                <w:rFonts w:asciiTheme="minorEastAsia" w:eastAsiaTheme="minorEastAsia" w:hAnsiTheme="minorEastAsia" w:cs="宋体"/>
                <w:color w:val="000000"/>
                <w:sz w:val="21"/>
                <w:szCs w:val="21"/>
              </w:rPr>
              <w:t>12,876,014.27</w:t>
            </w:r>
          </w:p>
        </w:tc>
        <w:tc>
          <w:tcPr>
            <w:tcW w:w="1459" w:type="pct"/>
            <w:tcBorders>
              <w:top w:val="nil"/>
              <w:left w:val="nil"/>
              <w:bottom w:val="double" w:sz="6" w:space="0" w:color="000000"/>
              <w:right w:val="single" w:sz="4" w:space="0" w:color="000000"/>
            </w:tcBorders>
            <w:shd w:val="clear" w:color="000000" w:fill="FFFFFF"/>
            <w:noWrap/>
          </w:tcPr>
          <w:p w14:paraId="3673E36F" w14:textId="77777777" w:rsidR="00E32FC2" w:rsidRPr="00BF751A" w:rsidRDefault="00E32FC2" w:rsidP="0073471B">
            <w:pPr>
              <w:widowControl/>
              <w:jc w:val="left"/>
              <w:rPr>
                <w:rFonts w:asciiTheme="minorEastAsia" w:eastAsiaTheme="minorEastAsia" w:hAnsiTheme="minorEastAsia" w:cs="宋体"/>
                <w:b/>
                <w:bCs/>
                <w:color w:val="000000"/>
                <w:sz w:val="21"/>
                <w:szCs w:val="21"/>
              </w:rPr>
            </w:pPr>
            <w:r w:rsidRPr="00BF751A">
              <w:rPr>
                <w:rFonts w:asciiTheme="minorEastAsia" w:eastAsiaTheme="minorEastAsia" w:hAnsiTheme="minorEastAsia" w:cs="宋体" w:hint="eastAsia"/>
                <w:b/>
                <w:bCs/>
                <w:color w:val="000000"/>
                <w:sz w:val="21"/>
                <w:szCs w:val="21"/>
              </w:rPr>
              <w:t>负债与持有人权益总计：</w:t>
            </w:r>
          </w:p>
        </w:tc>
        <w:tc>
          <w:tcPr>
            <w:tcW w:w="989" w:type="pct"/>
            <w:tcBorders>
              <w:top w:val="nil"/>
              <w:left w:val="nil"/>
              <w:bottom w:val="double" w:sz="6" w:space="0" w:color="000000"/>
              <w:right w:val="single" w:sz="4" w:space="0" w:color="000000"/>
            </w:tcBorders>
            <w:shd w:val="clear" w:color="000000" w:fill="FFFFFF"/>
            <w:noWrap/>
            <w:vAlign w:val="bottom"/>
          </w:tcPr>
          <w:p w14:paraId="16E8F903" w14:textId="328326E3" w:rsidR="00E32FC2" w:rsidRPr="00BF751A" w:rsidRDefault="00B648CD">
            <w:pPr>
              <w:jc w:val="right"/>
              <w:rPr>
                <w:rFonts w:asciiTheme="minorEastAsia" w:eastAsiaTheme="minorEastAsia" w:hAnsiTheme="minorEastAsia" w:cs="宋体"/>
                <w:color w:val="000000"/>
                <w:sz w:val="21"/>
                <w:szCs w:val="21"/>
              </w:rPr>
            </w:pPr>
            <w:r w:rsidRPr="00B648CD">
              <w:rPr>
                <w:rFonts w:asciiTheme="minorEastAsia" w:eastAsiaTheme="minorEastAsia" w:hAnsiTheme="minorEastAsia" w:cs="宋体"/>
                <w:color w:val="000000"/>
                <w:sz w:val="21"/>
                <w:szCs w:val="21"/>
              </w:rPr>
              <w:t>12,876,014.27</w:t>
            </w:r>
          </w:p>
        </w:tc>
      </w:tr>
    </w:tbl>
    <w:p w14:paraId="260BBE53" w14:textId="77777777" w:rsidR="00DC3906" w:rsidRPr="000667F3" w:rsidRDefault="00DC3906" w:rsidP="00C43916">
      <w:pPr>
        <w:rPr>
          <w:rFonts w:ascii="宋体"/>
        </w:rPr>
      </w:pPr>
    </w:p>
    <w:p w14:paraId="2B913B3D" w14:textId="77777777" w:rsidR="00DC3906" w:rsidRPr="00EA06D5" w:rsidRDefault="00DC3906" w:rsidP="00CA7C64">
      <w:pPr>
        <w:spacing w:afterLines="100" w:after="312"/>
        <w:rPr>
          <w:rStyle w:val="a8"/>
        </w:rPr>
      </w:pPr>
      <w:r w:rsidRPr="00EA06D5">
        <w:rPr>
          <w:rStyle w:val="a8"/>
          <w:rFonts w:hint="eastAsia"/>
        </w:rPr>
        <w:t>四、清算报表附注</w:t>
      </w:r>
    </w:p>
    <w:p w14:paraId="7D9A6FC5" w14:textId="77777777" w:rsidR="00DC3906" w:rsidRDefault="00DC3906" w:rsidP="00CA7C64">
      <w:pPr>
        <w:spacing w:afterLines="50" w:after="156"/>
        <w:rPr>
          <w:rFonts w:ascii="宋体"/>
          <w:b/>
        </w:rPr>
      </w:pPr>
      <w:r w:rsidRPr="00EA06D5">
        <w:rPr>
          <w:rFonts w:ascii="宋体" w:hAnsi="宋体"/>
          <w:b/>
        </w:rPr>
        <w:t>1</w:t>
      </w:r>
      <w:r w:rsidRPr="00EA06D5">
        <w:rPr>
          <w:rFonts w:ascii="宋体" w:hAnsi="宋体" w:hint="eastAsia"/>
          <w:b/>
        </w:rPr>
        <w:t>、基金基本情况</w:t>
      </w:r>
    </w:p>
    <w:p w14:paraId="28BEC5E3" w14:textId="19FA9D7D" w:rsidR="00DC3906" w:rsidRPr="00BF751A" w:rsidRDefault="0047482D" w:rsidP="001D35CF">
      <w:pPr>
        <w:ind w:firstLine="420"/>
        <w:rPr>
          <w:rFonts w:ascii="宋体"/>
        </w:rPr>
      </w:pPr>
      <w:r>
        <w:rPr>
          <w:rFonts w:ascii="宋体" w:hAnsi="宋体" w:hint="eastAsia"/>
        </w:rPr>
        <w:t>交银施罗德卓越回报灵活配置混合型证券投资基金</w:t>
      </w:r>
      <w:r w:rsidR="00DC3906" w:rsidRPr="000667F3">
        <w:rPr>
          <w:rFonts w:ascii="宋体" w:hAnsi="宋体" w:hint="eastAsia"/>
        </w:rPr>
        <w:t>（以下简称“本基金”）于</w:t>
      </w:r>
      <w:r w:rsidR="00347436">
        <w:rPr>
          <w:rFonts w:ascii="宋体" w:hAnsi="宋体"/>
        </w:rPr>
        <w:t>2015年7月28日</w:t>
      </w:r>
      <w:r w:rsidR="00DC3906" w:rsidRPr="000667F3">
        <w:rPr>
          <w:rFonts w:ascii="宋体" w:hAnsi="宋体" w:hint="eastAsia"/>
        </w:rPr>
        <w:t>由中国证监会《关于准予</w:t>
      </w:r>
      <w:r>
        <w:rPr>
          <w:rFonts w:ascii="宋体" w:hAnsi="宋体" w:hint="eastAsia"/>
        </w:rPr>
        <w:t>交银施罗德卓越回报灵活配置混合型证券投资基金</w:t>
      </w:r>
      <w:r w:rsidR="00DC3906" w:rsidRPr="000667F3">
        <w:rPr>
          <w:rFonts w:ascii="宋体" w:hAnsi="宋体" w:hint="eastAsia"/>
        </w:rPr>
        <w:t>注册的批复》（证监许可</w:t>
      </w:r>
      <w:r w:rsidR="00DC3906" w:rsidRPr="000667F3">
        <w:rPr>
          <w:rFonts w:ascii="宋体" w:hAnsi="宋体"/>
        </w:rPr>
        <w:t>[</w:t>
      </w:r>
      <w:r w:rsidR="00347436" w:rsidRPr="000667F3">
        <w:rPr>
          <w:rFonts w:ascii="宋体" w:hAnsi="宋体"/>
        </w:rPr>
        <w:t>201</w:t>
      </w:r>
      <w:r w:rsidR="00347436">
        <w:rPr>
          <w:rFonts w:ascii="宋体" w:hAnsi="宋体"/>
        </w:rPr>
        <w:t>5</w:t>
      </w:r>
      <w:r w:rsidR="00DC3906" w:rsidRPr="000667F3">
        <w:rPr>
          <w:rFonts w:ascii="宋体" w:hAnsi="宋体"/>
        </w:rPr>
        <w:t>]</w:t>
      </w:r>
      <w:r w:rsidR="00347436">
        <w:rPr>
          <w:rFonts w:ascii="宋体" w:hAnsi="宋体"/>
        </w:rPr>
        <w:t>1793</w:t>
      </w:r>
      <w:r w:rsidR="00DC3906" w:rsidRPr="000667F3">
        <w:rPr>
          <w:rFonts w:ascii="宋体" w:hAnsi="宋体" w:hint="eastAsia"/>
        </w:rPr>
        <w:t>号文）准予募集注册，由</w:t>
      </w:r>
      <w:r w:rsidR="00936C10" w:rsidRPr="00936C10">
        <w:rPr>
          <w:rFonts w:ascii="宋体" w:hAnsi="宋体" w:hint="eastAsia"/>
        </w:rPr>
        <w:t>交银施罗德</w:t>
      </w:r>
      <w:r w:rsidR="00DC3906" w:rsidRPr="000667F3">
        <w:rPr>
          <w:rFonts w:ascii="宋体" w:hAnsi="宋体" w:hint="eastAsia"/>
        </w:rPr>
        <w:t>基金管理有限公司根据《中华人民共和国证券投资基金法》等相关法律法规的规定和《</w:t>
      </w:r>
      <w:r>
        <w:rPr>
          <w:rFonts w:ascii="宋体" w:hAnsi="宋体" w:hint="eastAsia"/>
        </w:rPr>
        <w:t>交银施罗德卓越回报灵活配置混合型证券投资基金</w:t>
      </w:r>
      <w:r w:rsidR="00DC3906" w:rsidRPr="000667F3">
        <w:rPr>
          <w:rFonts w:ascii="宋体" w:hAnsi="宋体" w:hint="eastAsia"/>
        </w:rPr>
        <w:t>基金合同》</w:t>
      </w:r>
      <w:r w:rsidR="00F127E3">
        <w:rPr>
          <w:rFonts w:ascii="宋体" w:hAnsi="宋体" w:hint="eastAsia"/>
        </w:rPr>
        <w:t>、</w:t>
      </w:r>
      <w:r w:rsidR="00DC3906" w:rsidRPr="000667F3">
        <w:rPr>
          <w:rFonts w:ascii="宋体" w:hAnsi="宋体" w:hint="eastAsia"/>
        </w:rPr>
        <w:t>《</w:t>
      </w:r>
      <w:r>
        <w:rPr>
          <w:rFonts w:ascii="宋体" w:hAnsi="宋体" w:hint="eastAsia"/>
        </w:rPr>
        <w:t>交银施罗德卓越回报灵活配置混合型证券投资基金</w:t>
      </w:r>
      <w:r w:rsidR="00DC3906" w:rsidRPr="000667F3">
        <w:rPr>
          <w:rFonts w:ascii="宋体" w:hAnsi="宋体" w:hint="eastAsia"/>
        </w:rPr>
        <w:t>招募说明书》的有</w:t>
      </w:r>
      <w:r w:rsidR="00DC3906" w:rsidRPr="00BF751A">
        <w:rPr>
          <w:rFonts w:ascii="宋体" w:hAnsi="宋体" w:hint="eastAsia"/>
        </w:rPr>
        <w:t>关约定，于</w:t>
      </w:r>
      <w:r w:rsidR="00347436">
        <w:rPr>
          <w:rFonts w:ascii="宋体" w:hAnsi="宋体"/>
        </w:rPr>
        <w:t>2016年1月11日</w:t>
      </w:r>
      <w:r w:rsidR="00DC3906" w:rsidRPr="00BF751A">
        <w:rPr>
          <w:rFonts w:ascii="宋体" w:hAnsi="宋体" w:hint="eastAsia"/>
        </w:rPr>
        <w:t>至</w:t>
      </w:r>
      <w:r w:rsidR="00347436">
        <w:rPr>
          <w:rFonts w:ascii="宋体" w:hAnsi="宋体"/>
        </w:rPr>
        <w:t>2016年2月5日</w:t>
      </w:r>
      <w:r w:rsidR="00DC3906" w:rsidRPr="00BF751A">
        <w:rPr>
          <w:rFonts w:ascii="宋体" w:hAnsi="宋体" w:hint="eastAsia"/>
        </w:rPr>
        <w:t>公开募集。募集结束后，经</w:t>
      </w:r>
      <w:r w:rsidR="00936C10" w:rsidRPr="00BF751A">
        <w:rPr>
          <w:rFonts w:ascii="宋体" w:hAnsi="宋体" w:hint="eastAsia"/>
        </w:rPr>
        <w:t>普华永道中天</w:t>
      </w:r>
      <w:r w:rsidR="00DC3906" w:rsidRPr="00BF751A">
        <w:rPr>
          <w:rFonts w:ascii="宋体" w:hAnsi="宋体" w:hint="eastAsia"/>
        </w:rPr>
        <w:t>会计师事务所（特殊普通合伙）“</w:t>
      </w:r>
      <w:r>
        <w:rPr>
          <w:rFonts w:ascii="宋体" w:hAnsi="宋体" w:hint="eastAsia"/>
        </w:rPr>
        <w:t>交银施罗德卓越回报灵活配置混合型证券投资基金</w:t>
      </w:r>
      <w:r w:rsidR="00936C10" w:rsidRPr="00BF751A">
        <w:rPr>
          <w:rFonts w:ascii="宋体" w:hAnsi="宋体" w:hint="eastAsia"/>
        </w:rPr>
        <w:t>设立验资报告</w:t>
      </w:r>
      <w:r w:rsidR="00DC3906" w:rsidRPr="00BF751A">
        <w:rPr>
          <w:rFonts w:ascii="宋体" w:hAnsi="宋体" w:hint="eastAsia"/>
        </w:rPr>
        <w:t>”验证，并由中国证监会证券基金机构监管部《关于</w:t>
      </w:r>
      <w:r>
        <w:rPr>
          <w:rFonts w:ascii="宋体" w:hAnsi="宋体" w:hint="eastAsia"/>
        </w:rPr>
        <w:t>交银施罗德卓越回报灵活配置混合型证券投资基金</w:t>
      </w:r>
      <w:r w:rsidR="00DC3906" w:rsidRPr="00BF751A">
        <w:rPr>
          <w:rFonts w:ascii="宋体" w:hAnsi="宋体" w:hint="eastAsia"/>
        </w:rPr>
        <w:t>备案确认的函》（机构部函</w:t>
      </w:r>
      <w:r w:rsidR="00DC3906" w:rsidRPr="00BF751A">
        <w:rPr>
          <w:rFonts w:ascii="宋体" w:hAnsi="宋体"/>
        </w:rPr>
        <w:t>[</w:t>
      </w:r>
      <w:r w:rsidR="00347436">
        <w:rPr>
          <w:rFonts w:ascii="宋体" w:hAnsi="宋体"/>
        </w:rPr>
        <w:t>2016</w:t>
      </w:r>
      <w:r w:rsidR="00DC3906" w:rsidRPr="00BF751A">
        <w:rPr>
          <w:rFonts w:ascii="宋体" w:hAnsi="宋体"/>
        </w:rPr>
        <w:t>]</w:t>
      </w:r>
      <w:r w:rsidR="00347436">
        <w:rPr>
          <w:rFonts w:ascii="宋体" w:hAnsi="宋体"/>
        </w:rPr>
        <w:t>323</w:t>
      </w:r>
      <w:r w:rsidR="00DC3906" w:rsidRPr="00BF751A">
        <w:rPr>
          <w:rFonts w:ascii="宋体" w:hAnsi="宋体" w:hint="eastAsia"/>
        </w:rPr>
        <w:t>号）予以备案，本基金基金合同于</w:t>
      </w:r>
      <w:r w:rsidR="00347436">
        <w:rPr>
          <w:rFonts w:ascii="宋体" w:hAnsi="宋体"/>
        </w:rPr>
        <w:t>2016年2月17日</w:t>
      </w:r>
      <w:r w:rsidR="00DC3906" w:rsidRPr="00BF751A">
        <w:rPr>
          <w:rFonts w:ascii="宋体" w:hAnsi="宋体" w:hint="eastAsia"/>
        </w:rPr>
        <w:t>生效。本基金募集期间扣除认购费的实收基金（本金）人民币</w:t>
      </w:r>
      <w:r w:rsidR="004844A8">
        <w:rPr>
          <w:rFonts w:ascii="宋体" w:hAnsi="宋体"/>
        </w:rPr>
        <w:t>264,526,982.90</w:t>
      </w:r>
      <w:r w:rsidR="00DC3906" w:rsidRPr="00BF751A">
        <w:rPr>
          <w:rFonts w:ascii="宋体" w:hAnsi="宋体" w:hint="eastAsia"/>
        </w:rPr>
        <w:t>元，折合</w:t>
      </w:r>
      <w:r w:rsidR="004844A8">
        <w:rPr>
          <w:rFonts w:ascii="宋体" w:hAnsi="宋体"/>
        </w:rPr>
        <w:t>264,526,982.90</w:t>
      </w:r>
      <w:r w:rsidR="00DC3906" w:rsidRPr="00BF751A">
        <w:rPr>
          <w:rFonts w:ascii="宋体" w:hAnsi="宋体" w:hint="eastAsia"/>
        </w:rPr>
        <w:t>份基金份额；有效认购资金在初始销售期内产生的利息为人民币</w:t>
      </w:r>
      <w:r w:rsidR="004844A8">
        <w:rPr>
          <w:rFonts w:ascii="宋体" w:hAnsi="宋体"/>
        </w:rPr>
        <w:t>263,109.70</w:t>
      </w:r>
      <w:r w:rsidR="00DC3906" w:rsidRPr="00BF751A">
        <w:rPr>
          <w:rFonts w:ascii="宋体" w:hAnsi="宋体" w:hint="eastAsia"/>
        </w:rPr>
        <w:t>元，折合</w:t>
      </w:r>
      <w:r w:rsidR="004844A8">
        <w:rPr>
          <w:rFonts w:ascii="宋体" w:hAnsi="宋体"/>
        </w:rPr>
        <w:t>263,109.70</w:t>
      </w:r>
      <w:r w:rsidR="00DC3906" w:rsidRPr="00BF751A">
        <w:rPr>
          <w:rFonts w:ascii="宋体" w:hAnsi="宋体" w:hint="eastAsia"/>
        </w:rPr>
        <w:t>份基金份额，本基金在基金合同生效日的基金份额总额</w:t>
      </w:r>
      <w:r w:rsidR="004844A8">
        <w:rPr>
          <w:rFonts w:ascii="宋体" w:hAnsi="宋体"/>
        </w:rPr>
        <w:t>264,790,092.60</w:t>
      </w:r>
      <w:r w:rsidR="00DC3906" w:rsidRPr="00BF751A">
        <w:rPr>
          <w:rFonts w:ascii="宋体" w:hAnsi="宋体" w:hint="eastAsia"/>
        </w:rPr>
        <w:t>份。本基金基金管理人为</w:t>
      </w:r>
      <w:r w:rsidR="00A633EC" w:rsidRPr="00BF751A">
        <w:rPr>
          <w:rFonts w:ascii="宋体" w:hAnsi="宋体" w:hint="eastAsia"/>
        </w:rPr>
        <w:t>交银施罗德基金管理有限公司</w:t>
      </w:r>
      <w:r w:rsidR="00DC3906" w:rsidRPr="00BF751A">
        <w:rPr>
          <w:rFonts w:ascii="宋体" w:hAnsi="宋体" w:hint="eastAsia"/>
        </w:rPr>
        <w:t>，基金托管人为</w:t>
      </w:r>
      <w:r>
        <w:rPr>
          <w:rFonts w:ascii="宋体" w:hAnsi="宋体" w:hint="eastAsia"/>
        </w:rPr>
        <w:t>中信银行股份有限公司</w:t>
      </w:r>
      <w:r w:rsidR="00DC3906" w:rsidRPr="00BF751A">
        <w:rPr>
          <w:rFonts w:ascii="宋体" w:hAnsi="宋体" w:hint="eastAsia"/>
        </w:rPr>
        <w:t>。</w:t>
      </w:r>
    </w:p>
    <w:p w14:paraId="39BA6FE7" w14:textId="72928770" w:rsidR="00DC3906" w:rsidRPr="000667F3" w:rsidRDefault="00DC3906" w:rsidP="001D35CF">
      <w:pPr>
        <w:ind w:firstLine="420"/>
        <w:rPr>
          <w:rFonts w:ascii="宋体"/>
        </w:rPr>
      </w:pPr>
      <w:r w:rsidRPr="00BF751A">
        <w:rPr>
          <w:rFonts w:ascii="宋体" w:hAnsi="宋体" w:hint="eastAsia"/>
        </w:rPr>
        <w:t>根据《中华人民共和国证券投资基金</w:t>
      </w:r>
      <w:r w:rsidRPr="000667F3">
        <w:rPr>
          <w:rFonts w:ascii="宋体" w:hAnsi="宋体" w:hint="eastAsia"/>
        </w:rPr>
        <w:t>法》等相关法律法规的规定和《</w:t>
      </w:r>
      <w:r w:rsidR="0047482D">
        <w:rPr>
          <w:rFonts w:ascii="宋体" w:hAnsi="宋体" w:hint="eastAsia"/>
        </w:rPr>
        <w:t>交银施罗德卓越回报灵活配置混合型证券投资基金</w:t>
      </w:r>
      <w:r w:rsidRPr="000667F3">
        <w:rPr>
          <w:rFonts w:ascii="宋体" w:hAnsi="宋体" w:hint="eastAsia"/>
        </w:rPr>
        <w:t>基金合同》的约定，本基金的投资范围为具有良好流动性的金融工具，</w:t>
      </w:r>
      <w:r w:rsidR="004844A8" w:rsidRPr="004844A8">
        <w:rPr>
          <w:rFonts w:ascii="宋体" w:hAnsi="宋体" w:hint="eastAsia"/>
        </w:rPr>
        <w:t>包括国内依法发行上市的股票（含中小板、创业板及其他经中国证监会核准上市的股票）、债券、中期票据、货币市场工具、权证、资产支持证券、银行存款、股指期货以及法律法规或中国证监会允许基金投资的其他金融工具（但须符合中国证监会相关规定）。</w:t>
      </w:r>
    </w:p>
    <w:p w14:paraId="4063D3F9" w14:textId="3DCA985D" w:rsidR="00DC3906" w:rsidRPr="000667F3" w:rsidRDefault="00DC3906" w:rsidP="001D35CF">
      <w:pPr>
        <w:ind w:firstLine="420"/>
        <w:rPr>
          <w:rFonts w:ascii="宋体"/>
        </w:rPr>
      </w:pPr>
      <w:r w:rsidRPr="000667F3">
        <w:rPr>
          <w:rFonts w:ascii="宋体" w:hAnsi="宋体" w:hint="eastAsia"/>
        </w:rPr>
        <w:t>根据《</w:t>
      </w:r>
      <w:r w:rsidR="0047482D">
        <w:rPr>
          <w:rFonts w:ascii="宋体" w:hAnsi="宋体" w:hint="eastAsia"/>
        </w:rPr>
        <w:t>交银施罗德卓越回报灵活配置混合型证券投资基金</w:t>
      </w:r>
      <w:r w:rsidRPr="000667F3">
        <w:rPr>
          <w:rFonts w:ascii="宋体" w:hAnsi="宋体" w:hint="eastAsia"/>
        </w:rPr>
        <w:t>基金合同》及</w:t>
      </w:r>
      <w:r w:rsidR="00CA4D26" w:rsidRPr="00936C10">
        <w:rPr>
          <w:rFonts w:ascii="宋体" w:hAnsi="宋体" w:hint="eastAsia"/>
        </w:rPr>
        <w:t>交银施罗德</w:t>
      </w:r>
      <w:r w:rsidRPr="000667F3">
        <w:rPr>
          <w:rFonts w:ascii="宋体" w:hAnsi="宋体" w:hint="eastAsia"/>
        </w:rPr>
        <w:t>基金管理有限公司于</w:t>
      </w:r>
      <w:r w:rsidR="003179F4">
        <w:rPr>
          <w:rFonts w:ascii="宋体" w:hAnsi="宋体" w:hint="eastAsia"/>
        </w:rPr>
        <w:t>2</w:t>
      </w:r>
      <w:r w:rsidR="003179F4">
        <w:rPr>
          <w:rFonts w:ascii="宋体" w:hAnsi="宋体"/>
        </w:rPr>
        <w:t>018年9月18日</w:t>
      </w:r>
      <w:r w:rsidRPr="000667F3">
        <w:rPr>
          <w:rFonts w:ascii="宋体" w:hAnsi="宋体" w:hint="eastAsia"/>
        </w:rPr>
        <w:t>发布的</w:t>
      </w:r>
      <w:r w:rsidR="003179F4" w:rsidRPr="000667F3">
        <w:rPr>
          <w:rFonts w:ascii="宋体" w:hAnsi="宋体" w:hint="eastAsia"/>
        </w:rPr>
        <w:t>《</w:t>
      </w:r>
      <w:r w:rsidR="003179F4" w:rsidRPr="00CA4D26">
        <w:rPr>
          <w:rFonts w:ascii="宋体" w:hAnsi="宋体" w:hint="eastAsia"/>
        </w:rPr>
        <w:t>交银施罗德基金管理有限公司关于</w:t>
      </w:r>
      <w:r w:rsidR="003179F4">
        <w:rPr>
          <w:rFonts w:ascii="宋体" w:hAnsi="宋体" w:hint="eastAsia"/>
        </w:rPr>
        <w:t>交银施罗德卓越回报灵活配置混合型证券投资基金</w:t>
      </w:r>
      <w:r w:rsidR="003179F4" w:rsidRPr="000667F3">
        <w:rPr>
          <w:rFonts w:ascii="宋体" w:hAnsi="宋体" w:hint="eastAsia"/>
        </w:rPr>
        <w:t>基金合同</w:t>
      </w:r>
      <w:r w:rsidR="003179F4">
        <w:rPr>
          <w:rFonts w:ascii="宋体" w:hAnsi="宋体" w:hint="eastAsia"/>
        </w:rPr>
        <w:t>触发终止</w:t>
      </w:r>
      <w:r w:rsidR="003179F4">
        <w:rPr>
          <w:rFonts w:ascii="宋体" w:hAnsi="宋体"/>
        </w:rPr>
        <w:t>情形</w:t>
      </w:r>
      <w:r w:rsidR="003179F4" w:rsidRPr="000667F3">
        <w:rPr>
          <w:rFonts w:ascii="宋体" w:hAnsi="宋体" w:hint="eastAsia"/>
        </w:rPr>
        <w:t>及</w:t>
      </w:r>
      <w:r w:rsidR="003179F4">
        <w:rPr>
          <w:rFonts w:ascii="宋体" w:hAnsi="宋体" w:hint="eastAsia"/>
        </w:rPr>
        <w:t>进入</w:t>
      </w:r>
      <w:r w:rsidR="003179F4" w:rsidRPr="000667F3">
        <w:rPr>
          <w:rFonts w:ascii="宋体" w:hAnsi="宋体" w:hint="eastAsia"/>
        </w:rPr>
        <w:t>基金财产清算</w:t>
      </w:r>
      <w:r w:rsidR="003179F4">
        <w:rPr>
          <w:rFonts w:ascii="宋体" w:hAnsi="宋体" w:hint="eastAsia"/>
        </w:rPr>
        <w:t>程序</w:t>
      </w:r>
      <w:r w:rsidR="003179F4" w:rsidRPr="000667F3">
        <w:rPr>
          <w:rFonts w:ascii="宋体" w:hAnsi="宋体" w:hint="eastAsia"/>
        </w:rPr>
        <w:t>的公告》</w:t>
      </w:r>
      <w:r w:rsidRPr="000667F3">
        <w:rPr>
          <w:rFonts w:ascii="宋体" w:hAnsi="宋体" w:hint="eastAsia"/>
        </w:rPr>
        <w:t>，</w:t>
      </w:r>
      <w:r w:rsidR="00791E0E">
        <w:rPr>
          <w:rFonts w:ascii="宋体" w:hAnsi="宋体"/>
        </w:rPr>
        <w:t>2018年9月25日</w:t>
      </w:r>
      <w:r w:rsidRPr="000667F3">
        <w:rPr>
          <w:rFonts w:ascii="宋体" w:hAnsi="宋体" w:hint="eastAsia"/>
        </w:rPr>
        <w:t>未赎回的基金份额，于</w:t>
      </w:r>
      <w:r w:rsidR="00791E0E">
        <w:rPr>
          <w:rFonts w:ascii="宋体" w:hAnsi="宋体"/>
        </w:rPr>
        <w:t>2018年9月26日</w:t>
      </w:r>
      <w:r w:rsidRPr="000667F3">
        <w:rPr>
          <w:rFonts w:ascii="宋体" w:hAnsi="宋体" w:hint="eastAsia"/>
        </w:rPr>
        <w:t>全部进入清算程序。</w:t>
      </w:r>
    </w:p>
    <w:p w14:paraId="50C7D63E" w14:textId="77777777" w:rsidR="00DC3906" w:rsidRPr="00EA06D5" w:rsidRDefault="00DC3906" w:rsidP="00CA7C64">
      <w:pPr>
        <w:spacing w:beforeLines="50" w:before="156" w:afterLines="50" w:after="156"/>
        <w:rPr>
          <w:rFonts w:ascii="宋体"/>
          <w:b/>
        </w:rPr>
      </w:pPr>
      <w:r w:rsidRPr="00EA06D5">
        <w:rPr>
          <w:rFonts w:ascii="宋体" w:hAnsi="宋体"/>
          <w:b/>
        </w:rPr>
        <w:t>2</w:t>
      </w:r>
      <w:r w:rsidRPr="00EA06D5">
        <w:rPr>
          <w:rFonts w:ascii="宋体" w:hAnsi="宋体" w:hint="eastAsia"/>
          <w:b/>
        </w:rPr>
        <w:t>、清算原因</w:t>
      </w:r>
    </w:p>
    <w:p w14:paraId="1D72D9C0" w14:textId="71CFA771" w:rsidR="00DC3906" w:rsidRPr="000B6D18" w:rsidRDefault="00DC3906" w:rsidP="000B257B">
      <w:pPr>
        <w:rPr>
          <w:rFonts w:ascii="宋体" w:hAnsi="宋体"/>
        </w:rPr>
      </w:pPr>
      <w:r w:rsidRPr="000667F3">
        <w:rPr>
          <w:rFonts w:ascii="宋体" w:hAnsi="宋体"/>
        </w:rPr>
        <w:t xml:space="preserve">    </w:t>
      </w:r>
      <w:r w:rsidRPr="000667F3">
        <w:rPr>
          <w:rFonts w:ascii="宋体" w:hAnsi="宋体" w:hint="eastAsia"/>
        </w:rPr>
        <w:t>根据《基金合同》“第五部分</w:t>
      </w:r>
      <w:r w:rsidRPr="000667F3">
        <w:rPr>
          <w:rFonts w:ascii="宋体" w:hAnsi="宋体"/>
        </w:rPr>
        <w:t xml:space="preserve"> </w:t>
      </w:r>
      <w:r w:rsidRPr="000667F3">
        <w:rPr>
          <w:rFonts w:ascii="宋体" w:hAnsi="宋体" w:hint="eastAsia"/>
        </w:rPr>
        <w:t>基金备案”中，“</w:t>
      </w:r>
      <w:r w:rsidR="00B938F7" w:rsidRPr="00B938F7">
        <w:rPr>
          <w:rFonts w:ascii="宋体" w:hAnsi="宋体" w:hint="eastAsia"/>
        </w:rPr>
        <w:t>《基金合同》生效后，连续二十个工作日基金份额持有人数量不满200人或者基金资产净值低于5000万元的，基金管理人应当在定期报告中予以披露。连续六十个工作日出现基金份额持有人数量不满200人或者基金资产净值低于5000万元情形的，基金管理人提前终止基金合同，不需召开基金份额持有人大会。</w:t>
      </w:r>
      <w:r w:rsidRPr="00F021DE">
        <w:rPr>
          <w:rFonts w:ascii="宋体" w:hAnsi="宋体" w:hint="eastAsia"/>
        </w:rPr>
        <w:t>”的条款以及《基金合同》“第十九部分</w:t>
      </w:r>
      <w:r w:rsidRPr="00F021DE">
        <w:rPr>
          <w:rFonts w:ascii="宋体" w:hAnsi="宋体"/>
        </w:rPr>
        <w:t xml:space="preserve"> </w:t>
      </w:r>
      <w:r w:rsidRPr="00F021DE">
        <w:rPr>
          <w:rFonts w:ascii="宋体" w:hAnsi="宋体" w:hint="eastAsia"/>
        </w:rPr>
        <w:t>基金合同的变更、终止与基金财产的清算”的有关规定，</w:t>
      </w:r>
      <w:r w:rsidR="000B257B" w:rsidRPr="000B257B">
        <w:rPr>
          <w:rFonts w:ascii="宋体" w:hAnsi="宋体" w:hint="eastAsia"/>
        </w:rPr>
        <w:t>截至2018 年</w:t>
      </w:r>
      <w:r w:rsidR="000B257B">
        <w:rPr>
          <w:rFonts w:ascii="宋体" w:hAnsi="宋体"/>
        </w:rPr>
        <w:t>9</w:t>
      </w:r>
      <w:r w:rsidR="000B257B" w:rsidRPr="000B257B">
        <w:rPr>
          <w:rFonts w:ascii="宋体" w:hAnsi="宋体" w:hint="eastAsia"/>
        </w:rPr>
        <w:t>月</w:t>
      </w:r>
      <w:r w:rsidR="000B257B">
        <w:rPr>
          <w:rFonts w:ascii="宋体" w:hAnsi="宋体"/>
        </w:rPr>
        <w:t>17</w:t>
      </w:r>
      <w:r w:rsidR="000B257B">
        <w:rPr>
          <w:rFonts w:ascii="宋体" w:hAnsi="宋体" w:hint="eastAsia"/>
        </w:rPr>
        <w:t>日日终，本基金已</w:t>
      </w:r>
      <w:r w:rsidR="000B257B" w:rsidRPr="000B257B">
        <w:rPr>
          <w:rFonts w:ascii="宋体" w:hAnsi="宋体" w:hint="eastAsia"/>
        </w:rPr>
        <w:t>出现连续60个工作日基金资产净值低于5000万元的情形，触发</w:t>
      </w:r>
      <w:r w:rsidR="00FD0E37">
        <w:rPr>
          <w:rFonts w:ascii="宋体" w:hAnsi="宋体" w:hint="eastAsia"/>
        </w:rPr>
        <w:t>了</w:t>
      </w:r>
      <w:r w:rsidR="000B257B" w:rsidRPr="000B257B">
        <w:rPr>
          <w:rFonts w:ascii="宋体" w:hAnsi="宋体" w:hint="eastAsia"/>
        </w:rPr>
        <w:t>《基金合同》中</w:t>
      </w:r>
      <w:r w:rsidR="00FD0E37">
        <w:rPr>
          <w:rFonts w:ascii="宋体" w:hAnsi="宋体" w:hint="eastAsia"/>
        </w:rPr>
        <w:t>约定的基金合同终止条款</w:t>
      </w:r>
      <w:r w:rsidRPr="00F021DE">
        <w:rPr>
          <w:rFonts w:ascii="宋体" w:hAnsi="宋体" w:hint="eastAsia"/>
        </w:rPr>
        <w:t>，本基金将终止并依据基金财产清</w:t>
      </w:r>
      <w:r w:rsidRPr="000667F3">
        <w:rPr>
          <w:rFonts w:ascii="宋体" w:hAnsi="宋体" w:hint="eastAsia"/>
        </w:rPr>
        <w:t>算程序进行财产清算</w:t>
      </w:r>
      <w:r w:rsidR="00FD2093">
        <w:rPr>
          <w:rFonts w:ascii="宋体" w:hAnsi="宋体" w:hint="eastAsia"/>
        </w:rPr>
        <w:t>，</w:t>
      </w:r>
      <w:r w:rsidR="00FD2093" w:rsidRPr="00F021DE">
        <w:rPr>
          <w:rFonts w:ascii="宋体" w:hAnsi="宋体" w:hint="eastAsia"/>
        </w:rPr>
        <w:t>无</w:t>
      </w:r>
      <w:r w:rsidR="00FD2093">
        <w:rPr>
          <w:rFonts w:ascii="宋体" w:hAnsi="宋体" w:hint="eastAsia"/>
        </w:rPr>
        <w:t>需</w:t>
      </w:r>
      <w:r w:rsidR="00FD2093" w:rsidRPr="00F021DE">
        <w:rPr>
          <w:rFonts w:ascii="宋体" w:hAnsi="宋体" w:hint="eastAsia"/>
        </w:rPr>
        <w:t>召开</w:t>
      </w:r>
      <w:r w:rsidR="00FD2093">
        <w:rPr>
          <w:rFonts w:ascii="宋体" w:hAnsi="宋体" w:hint="eastAsia"/>
        </w:rPr>
        <w:t>基金</w:t>
      </w:r>
      <w:r w:rsidR="00FD2093">
        <w:rPr>
          <w:rFonts w:ascii="宋体" w:hAnsi="宋体"/>
        </w:rPr>
        <w:t>份额</w:t>
      </w:r>
      <w:r w:rsidR="00FD2093" w:rsidRPr="00F021DE">
        <w:rPr>
          <w:rFonts w:ascii="宋体" w:hAnsi="宋体" w:hint="eastAsia"/>
        </w:rPr>
        <w:t>持有人大会</w:t>
      </w:r>
      <w:r w:rsidRPr="000667F3">
        <w:rPr>
          <w:rFonts w:ascii="宋体" w:hAnsi="宋体" w:hint="eastAsia"/>
        </w:rPr>
        <w:t>。</w:t>
      </w:r>
    </w:p>
    <w:p w14:paraId="5A184A54" w14:textId="77777777" w:rsidR="00DC3906" w:rsidRPr="00EA06D5" w:rsidRDefault="00DC3906" w:rsidP="00CA7C64">
      <w:pPr>
        <w:spacing w:beforeLines="50" w:before="156" w:afterLines="50" w:after="156"/>
        <w:rPr>
          <w:rFonts w:ascii="宋体"/>
          <w:b/>
        </w:rPr>
      </w:pPr>
      <w:r w:rsidRPr="00EA06D5">
        <w:rPr>
          <w:rFonts w:ascii="宋体" w:hAnsi="宋体"/>
          <w:b/>
        </w:rPr>
        <w:t>3</w:t>
      </w:r>
      <w:r w:rsidRPr="00EA06D5">
        <w:rPr>
          <w:rFonts w:ascii="宋体" w:hAnsi="宋体" w:hint="eastAsia"/>
          <w:b/>
        </w:rPr>
        <w:t>、清算起始日</w:t>
      </w:r>
    </w:p>
    <w:p w14:paraId="70E85F77" w14:textId="0C1294C2" w:rsidR="00DC3906" w:rsidRPr="000667F3" w:rsidRDefault="00DC3906" w:rsidP="00432DB3">
      <w:pPr>
        <w:ind w:firstLine="420"/>
        <w:rPr>
          <w:rFonts w:ascii="宋体"/>
        </w:rPr>
      </w:pPr>
      <w:r w:rsidRPr="000667F3">
        <w:rPr>
          <w:rFonts w:ascii="宋体" w:hAnsi="宋体" w:hint="eastAsia"/>
        </w:rPr>
        <w:t>根据《</w:t>
      </w:r>
      <w:r w:rsidR="00791E0E" w:rsidRPr="00791E0E">
        <w:rPr>
          <w:rFonts w:ascii="宋体" w:hAnsi="宋体" w:hint="eastAsia"/>
        </w:rPr>
        <w:t>交银施罗德基金管理有限公司关于交银施罗德卓越回报灵活配置混合型证券投资基金基金合同触发终止情形及进入基金财产清算程序的公告</w:t>
      </w:r>
      <w:r w:rsidRPr="000667F3">
        <w:rPr>
          <w:rFonts w:ascii="宋体" w:hAnsi="宋体" w:hint="eastAsia"/>
        </w:rPr>
        <w:t>》，</w:t>
      </w:r>
      <w:r w:rsidR="00D33914" w:rsidRPr="00D33914">
        <w:rPr>
          <w:rFonts w:ascii="宋体" w:hAnsi="宋体" w:hint="eastAsia"/>
        </w:rPr>
        <w:t>自</w:t>
      </w:r>
      <w:r w:rsidR="00791E0E">
        <w:rPr>
          <w:rFonts w:ascii="宋体" w:hAnsi="宋体"/>
        </w:rPr>
        <w:t>2018年9月26日</w:t>
      </w:r>
      <w:r w:rsidR="00D33914" w:rsidRPr="00D33914">
        <w:rPr>
          <w:rFonts w:ascii="宋体" w:hAnsi="宋体" w:hint="eastAsia"/>
        </w:rPr>
        <w:t>起，本基金进入清</w:t>
      </w:r>
      <w:r w:rsidR="009A5C35">
        <w:rPr>
          <w:rFonts w:ascii="宋体" w:hAnsi="宋体"/>
        </w:rPr>
        <w:tab/>
      </w:r>
      <w:r w:rsidR="00D33914" w:rsidRPr="00D33914">
        <w:rPr>
          <w:rFonts w:ascii="宋体" w:hAnsi="宋体" w:hint="eastAsia"/>
        </w:rPr>
        <w:t>算程序。故本基金清算起始日为</w:t>
      </w:r>
      <w:r w:rsidR="00791E0E">
        <w:rPr>
          <w:rFonts w:ascii="宋体" w:hAnsi="宋体"/>
        </w:rPr>
        <w:t>2018年9月26日</w:t>
      </w:r>
      <w:r w:rsidR="00D33914" w:rsidRPr="00D33914">
        <w:rPr>
          <w:rFonts w:ascii="宋体" w:hAnsi="宋体" w:hint="eastAsia"/>
        </w:rPr>
        <w:t>。</w:t>
      </w:r>
    </w:p>
    <w:p w14:paraId="1DA3481A" w14:textId="77777777" w:rsidR="00DC3906" w:rsidRPr="00EA06D5" w:rsidRDefault="00DC3906" w:rsidP="00CA7C64">
      <w:pPr>
        <w:spacing w:beforeLines="50" w:before="156" w:afterLines="50" w:after="156"/>
        <w:rPr>
          <w:rFonts w:ascii="宋体"/>
          <w:b/>
        </w:rPr>
      </w:pPr>
      <w:r w:rsidRPr="00EA06D5">
        <w:rPr>
          <w:rFonts w:ascii="宋体" w:hAnsi="宋体"/>
          <w:b/>
        </w:rPr>
        <w:t>4</w:t>
      </w:r>
      <w:r w:rsidRPr="00EA06D5">
        <w:rPr>
          <w:rFonts w:ascii="宋体" w:hAnsi="宋体" w:hint="eastAsia"/>
          <w:b/>
        </w:rPr>
        <w:t>、清算报表编制基础</w:t>
      </w:r>
    </w:p>
    <w:p w14:paraId="1C11C844" w14:textId="77777777" w:rsidR="00DC3906" w:rsidRPr="000667F3" w:rsidRDefault="00DC3906" w:rsidP="000667F3">
      <w:pPr>
        <w:ind w:firstLine="408"/>
        <w:rPr>
          <w:rFonts w:ascii="宋体"/>
        </w:rPr>
      </w:pPr>
      <w:r w:rsidRPr="000667F3">
        <w:rPr>
          <w:rFonts w:ascii="宋体" w:hAnsi="宋体" w:hint="eastAsia"/>
        </w:rPr>
        <w:t>本基金的清算报表是在非持续经营的前提下参考《企业会计准则》及《证券投资基金会计核算业务指引》的有关规定编制的。自本基金最后运作日</w:t>
      </w:r>
      <w:r>
        <w:rPr>
          <w:rFonts w:ascii="宋体" w:hAnsi="宋体" w:hint="eastAsia"/>
        </w:rPr>
        <w:t>起</w:t>
      </w:r>
      <w:r w:rsidRPr="000667F3">
        <w:rPr>
          <w:rFonts w:ascii="宋体" w:hAnsi="宋体" w:hint="eastAsia"/>
        </w:rPr>
        <w:t>，资产负债按清算价格计价。由于报告性质所致，本清算报表并无比较期间的相关数据列示。</w:t>
      </w:r>
    </w:p>
    <w:p w14:paraId="713CA2BB" w14:textId="77777777" w:rsidR="00DC3906" w:rsidRPr="000667F3" w:rsidRDefault="00DC3906" w:rsidP="000667F3">
      <w:pPr>
        <w:rPr>
          <w:rFonts w:ascii="宋体"/>
        </w:rPr>
      </w:pPr>
    </w:p>
    <w:p w14:paraId="3E3BCB75" w14:textId="77777777" w:rsidR="00DC3906" w:rsidRPr="000667F3" w:rsidRDefault="00DC3906" w:rsidP="00CA7C64">
      <w:pPr>
        <w:spacing w:afterLines="100" w:after="312"/>
        <w:rPr>
          <w:rFonts w:ascii="宋体"/>
        </w:rPr>
      </w:pPr>
      <w:r w:rsidRPr="00EA06D5">
        <w:rPr>
          <w:rStyle w:val="a8"/>
          <w:rFonts w:hint="eastAsia"/>
        </w:rPr>
        <w:t>五、清算情况</w:t>
      </w:r>
    </w:p>
    <w:p w14:paraId="16F91429" w14:textId="3D1A87E7" w:rsidR="00DC3906" w:rsidRPr="000667F3" w:rsidRDefault="00DC3906" w:rsidP="000667F3">
      <w:pPr>
        <w:ind w:firstLine="408"/>
        <w:rPr>
          <w:rFonts w:ascii="宋体"/>
        </w:rPr>
      </w:pPr>
      <w:r w:rsidRPr="00A33D06">
        <w:rPr>
          <w:rFonts w:ascii="宋体" w:hAnsi="宋体" w:hint="eastAsia"/>
        </w:rPr>
        <w:t>自</w:t>
      </w:r>
      <w:r w:rsidR="009A5C35" w:rsidRPr="00A33D06">
        <w:rPr>
          <w:rFonts w:ascii="宋体" w:hAnsi="宋体"/>
        </w:rPr>
        <w:t>201</w:t>
      </w:r>
      <w:r w:rsidR="009A5C35">
        <w:rPr>
          <w:rFonts w:ascii="宋体" w:hAnsi="宋体"/>
        </w:rPr>
        <w:t>8</w:t>
      </w:r>
      <w:r w:rsidR="009A5C35" w:rsidRPr="00A33D06">
        <w:rPr>
          <w:rFonts w:ascii="宋体" w:hAnsi="宋体" w:hint="eastAsia"/>
        </w:rPr>
        <w:t>年</w:t>
      </w:r>
      <w:r w:rsidR="009A5C35">
        <w:rPr>
          <w:rFonts w:ascii="宋体" w:hAnsi="宋体"/>
        </w:rPr>
        <w:t>9</w:t>
      </w:r>
      <w:r w:rsidRPr="00A33D06">
        <w:rPr>
          <w:rFonts w:ascii="宋体" w:hAnsi="宋体" w:hint="eastAsia"/>
        </w:rPr>
        <w:t>月</w:t>
      </w:r>
      <w:r w:rsidR="009A5C35">
        <w:rPr>
          <w:rFonts w:ascii="宋体" w:hAnsi="宋体"/>
        </w:rPr>
        <w:t>26</w:t>
      </w:r>
      <w:r w:rsidRPr="00A33D06">
        <w:rPr>
          <w:rFonts w:ascii="宋体" w:hAnsi="宋体" w:hint="eastAsia"/>
        </w:rPr>
        <w:t>日至</w:t>
      </w:r>
      <w:r w:rsidR="009A5C35" w:rsidRPr="00610D1B">
        <w:rPr>
          <w:rFonts w:ascii="宋体" w:hAnsi="宋体"/>
        </w:rPr>
        <w:t>2018</w:t>
      </w:r>
      <w:r w:rsidR="009A5C35" w:rsidRPr="00610D1B">
        <w:rPr>
          <w:rFonts w:ascii="宋体" w:hAnsi="宋体" w:hint="eastAsia"/>
        </w:rPr>
        <w:t>年</w:t>
      </w:r>
      <w:r w:rsidR="00C42CBA" w:rsidRPr="00721637">
        <w:rPr>
          <w:rFonts w:ascii="宋体" w:hAnsi="宋体"/>
        </w:rPr>
        <w:t>11</w:t>
      </w:r>
      <w:r w:rsidR="001A48E6" w:rsidRPr="00610D1B">
        <w:rPr>
          <w:rFonts w:ascii="宋体" w:hAnsi="宋体" w:hint="eastAsia"/>
        </w:rPr>
        <w:t>月</w:t>
      </w:r>
      <w:r w:rsidR="00C42CBA" w:rsidRPr="00721637">
        <w:rPr>
          <w:rFonts w:ascii="宋体" w:hAnsi="宋体"/>
        </w:rPr>
        <w:t>6</w:t>
      </w:r>
      <w:r w:rsidR="001A48E6" w:rsidRPr="00610D1B">
        <w:rPr>
          <w:rFonts w:ascii="宋体" w:hAnsi="宋体" w:hint="eastAsia"/>
        </w:rPr>
        <w:t>日</w:t>
      </w:r>
      <w:r w:rsidR="001A48E6" w:rsidRPr="00A33D06">
        <w:rPr>
          <w:rFonts w:ascii="宋体" w:hAnsi="宋体" w:hint="eastAsia"/>
        </w:rPr>
        <w:t>止</w:t>
      </w:r>
      <w:r w:rsidRPr="00A33D06">
        <w:rPr>
          <w:rFonts w:ascii="宋体" w:hAnsi="宋体" w:hint="eastAsia"/>
        </w:rPr>
        <w:t>清算期间，基</w:t>
      </w:r>
      <w:r w:rsidRPr="000667F3">
        <w:rPr>
          <w:rFonts w:ascii="宋体" w:hAnsi="宋体" w:hint="eastAsia"/>
        </w:rPr>
        <w:t>金财产清算小组对本基金的资产、负债进行清算，全部清算工作按清算原则和清算手续进行。具体清算情况如下：</w:t>
      </w:r>
    </w:p>
    <w:p w14:paraId="6C871566" w14:textId="77777777" w:rsidR="00DC3906" w:rsidRPr="00EA06D5" w:rsidRDefault="00DC3906" w:rsidP="00CA7C64">
      <w:pPr>
        <w:spacing w:beforeLines="50" w:before="156" w:afterLines="50" w:after="156"/>
        <w:rPr>
          <w:rFonts w:ascii="宋体"/>
          <w:b/>
        </w:rPr>
      </w:pPr>
      <w:r w:rsidRPr="00EA06D5">
        <w:rPr>
          <w:rFonts w:ascii="宋体" w:hAnsi="宋体"/>
          <w:b/>
        </w:rPr>
        <w:t>1</w:t>
      </w:r>
      <w:r w:rsidRPr="00EA06D5">
        <w:rPr>
          <w:rFonts w:ascii="宋体" w:hAnsi="宋体" w:hint="eastAsia"/>
          <w:b/>
        </w:rPr>
        <w:t>、清算费用</w:t>
      </w:r>
    </w:p>
    <w:p w14:paraId="154CE637" w14:textId="4947D84D" w:rsidR="00DC3906" w:rsidRPr="000667F3" w:rsidRDefault="00DC3906" w:rsidP="000667F3">
      <w:pPr>
        <w:ind w:firstLine="312"/>
        <w:rPr>
          <w:rFonts w:ascii="宋体"/>
        </w:rPr>
      </w:pPr>
      <w:r w:rsidRPr="000667F3">
        <w:rPr>
          <w:rFonts w:ascii="宋体" w:hAnsi="宋体" w:hint="eastAsia"/>
        </w:rPr>
        <w:t>按照《</w:t>
      </w:r>
      <w:r w:rsidR="0047482D">
        <w:rPr>
          <w:rFonts w:ascii="宋体" w:hAnsi="宋体" w:hint="eastAsia"/>
        </w:rPr>
        <w:t>交银施罗德卓越回报灵活配置混合型证券投资基金</w:t>
      </w:r>
      <w:r w:rsidRPr="000667F3">
        <w:rPr>
          <w:rFonts w:ascii="宋体" w:hAnsi="宋体" w:hint="eastAsia"/>
        </w:rPr>
        <w:t>基金合同》第十九</w:t>
      </w:r>
      <w:r>
        <w:rPr>
          <w:rFonts w:ascii="宋体" w:hAnsi="宋体" w:hint="eastAsia"/>
        </w:rPr>
        <w:t>部分“基金合同的变更、终止与基金财产的清算”的规定，</w:t>
      </w:r>
      <w:r w:rsidRPr="000667F3">
        <w:rPr>
          <w:rFonts w:ascii="宋体" w:hAnsi="宋体" w:hint="eastAsia"/>
        </w:rPr>
        <w:t>清算费用是指基金财产清算小组在进行基金清算过程中发生的所有合理费用，清算费用由基金财产清算小组优先从基金财产中支付。</w:t>
      </w:r>
      <w:r w:rsidRPr="00630A4F">
        <w:rPr>
          <w:rFonts w:ascii="宋体" w:hAnsi="宋体" w:hint="eastAsia"/>
        </w:rPr>
        <w:t>但从保护基金份额持有人利益的角度出发，本基金清算期间的律师费由基金管理人承担。</w:t>
      </w:r>
    </w:p>
    <w:p w14:paraId="42287EB5" w14:textId="77777777" w:rsidR="00DC3906" w:rsidRPr="00EA06D5" w:rsidRDefault="00DC3906" w:rsidP="00CA7C64">
      <w:pPr>
        <w:spacing w:beforeLines="50" w:before="156" w:afterLines="50" w:after="156"/>
        <w:rPr>
          <w:rFonts w:ascii="宋体"/>
          <w:b/>
        </w:rPr>
      </w:pPr>
      <w:r w:rsidRPr="00EA06D5">
        <w:rPr>
          <w:rFonts w:ascii="宋体" w:hAnsi="宋体"/>
          <w:b/>
        </w:rPr>
        <w:t>2</w:t>
      </w:r>
      <w:r w:rsidRPr="00EA06D5">
        <w:rPr>
          <w:rFonts w:ascii="宋体" w:hAnsi="宋体" w:hint="eastAsia"/>
          <w:b/>
        </w:rPr>
        <w:t>、资产处置情况</w:t>
      </w:r>
    </w:p>
    <w:p w14:paraId="2691BE79" w14:textId="0D4AE1BE" w:rsidR="00DC3906" w:rsidRPr="00721637" w:rsidRDefault="00DC3906" w:rsidP="00380EB5">
      <w:pPr>
        <w:ind w:firstLine="408"/>
        <w:rPr>
          <w:rFonts w:ascii="宋体" w:hAnsi="宋体"/>
        </w:rPr>
      </w:pPr>
      <w:r w:rsidRPr="009D6E94">
        <w:rPr>
          <w:rFonts w:ascii="宋体" w:hAnsi="宋体" w:hint="eastAsia"/>
        </w:rPr>
        <w:t>（</w:t>
      </w:r>
      <w:r w:rsidRPr="009D6E94">
        <w:rPr>
          <w:rFonts w:ascii="宋体" w:hAnsi="宋体"/>
        </w:rPr>
        <w:t>1</w:t>
      </w:r>
      <w:r w:rsidRPr="009D6E94">
        <w:rPr>
          <w:rFonts w:ascii="宋体" w:hAnsi="宋体" w:hint="eastAsia"/>
        </w:rPr>
        <w:t>）本基金最后运作日</w:t>
      </w:r>
      <w:r w:rsidR="007C05AF" w:rsidRPr="009D6E94">
        <w:rPr>
          <w:rFonts w:ascii="宋体" w:hAnsi="宋体"/>
        </w:rPr>
        <w:t>存出</w:t>
      </w:r>
      <w:r w:rsidRPr="009D6E94">
        <w:rPr>
          <w:rFonts w:ascii="宋体" w:hAnsi="宋体" w:hint="eastAsia"/>
        </w:rPr>
        <w:t>保证金为人民币</w:t>
      </w:r>
      <w:r w:rsidR="006E6C11">
        <w:rPr>
          <w:rFonts w:ascii="宋体" w:hAnsi="宋体"/>
        </w:rPr>
        <w:t>14</w:t>
      </w:r>
      <w:r w:rsidR="0080674B">
        <w:rPr>
          <w:rFonts w:ascii="宋体" w:hAnsi="宋体"/>
        </w:rPr>
        <w:t>,</w:t>
      </w:r>
      <w:r w:rsidR="006E6C11">
        <w:rPr>
          <w:rFonts w:ascii="宋体" w:hAnsi="宋体"/>
        </w:rPr>
        <w:t>814</w:t>
      </w:r>
      <w:r w:rsidR="0080674B">
        <w:rPr>
          <w:rFonts w:ascii="宋体" w:hAnsi="宋体"/>
        </w:rPr>
        <w:t>.</w:t>
      </w:r>
      <w:r w:rsidR="006E6C11">
        <w:rPr>
          <w:rFonts w:ascii="宋体" w:hAnsi="宋体"/>
        </w:rPr>
        <w:t>52</w:t>
      </w:r>
      <w:r w:rsidRPr="009D6E94">
        <w:rPr>
          <w:rFonts w:ascii="宋体" w:hAnsi="宋体" w:hint="eastAsia"/>
        </w:rPr>
        <w:t>元</w:t>
      </w:r>
      <w:r w:rsidR="006E6C11">
        <w:rPr>
          <w:rFonts w:ascii="宋体" w:hAnsi="宋体" w:hint="eastAsia"/>
        </w:rPr>
        <w:t>，</w:t>
      </w:r>
      <w:r w:rsidR="006E6C11">
        <w:rPr>
          <w:rFonts w:ascii="宋体" w:hAnsi="宋体"/>
        </w:rPr>
        <w:t>无</w:t>
      </w:r>
      <w:r w:rsidR="006E6C11" w:rsidRPr="009D6E94">
        <w:rPr>
          <w:rFonts w:ascii="宋体" w:hAnsi="宋体" w:hint="eastAsia"/>
        </w:rPr>
        <w:t>结算备付金</w:t>
      </w:r>
      <w:r w:rsidR="009D6E94">
        <w:rPr>
          <w:rFonts w:ascii="宋体" w:hAnsi="宋体" w:hint="eastAsia"/>
        </w:rPr>
        <w:t>。</w:t>
      </w:r>
      <w:r w:rsidR="006E6C11" w:rsidRPr="009D6E94">
        <w:rPr>
          <w:rFonts w:ascii="宋体" w:hAnsi="宋体" w:hint="eastAsia"/>
        </w:rPr>
        <w:t>201</w:t>
      </w:r>
      <w:r w:rsidR="006E6C11">
        <w:rPr>
          <w:rFonts w:ascii="宋体" w:hAnsi="宋体"/>
        </w:rPr>
        <w:t>8</w:t>
      </w:r>
      <w:r w:rsidR="006E6C11" w:rsidRPr="009D6E94">
        <w:rPr>
          <w:rFonts w:ascii="宋体" w:hAnsi="宋体" w:hint="eastAsia"/>
        </w:rPr>
        <w:t>年</w:t>
      </w:r>
      <w:r w:rsidR="006E6C11">
        <w:rPr>
          <w:rFonts w:ascii="宋体" w:hAnsi="宋体"/>
        </w:rPr>
        <w:t>10</w:t>
      </w:r>
      <w:r w:rsidR="009D6E94" w:rsidRPr="009D6E94">
        <w:rPr>
          <w:rFonts w:ascii="宋体" w:hAnsi="宋体" w:hint="eastAsia"/>
        </w:rPr>
        <w:t>月</w:t>
      </w:r>
      <w:r w:rsidR="006E6C11">
        <w:rPr>
          <w:rFonts w:ascii="宋体" w:hAnsi="宋体"/>
        </w:rPr>
        <w:t>9</w:t>
      </w:r>
      <w:r w:rsidR="009D6E94" w:rsidRPr="009D6E94">
        <w:rPr>
          <w:rFonts w:ascii="宋体" w:hAnsi="宋体" w:hint="eastAsia"/>
        </w:rPr>
        <w:t>日</w:t>
      </w:r>
      <w:r w:rsidR="009D6E94">
        <w:rPr>
          <w:rFonts w:ascii="宋体" w:hAnsi="宋体" w:hint="eastAsia"/>
        </w:rPr>
        <w:t>，</w:t>
      </w:r>
      <w:r w:rsidR="009D6E94" w:rsidRPr="009D6E94">
        <w:rPr>
          <w:rFonts w:ascii="宋体" w:hAnsi="宋体" w:hint="eastAsia"/>
        </w:rPr>
        <w:t>备付金</w:t>
      </w:r>
      <w:r w:rsidR="0080674B">
        <w:rPr>
          <w:rFonts w:ascii="宋体" w:hAnsi="宋体" w:hint="eastAsia"/>
        </w:rPr>
        <w:t>调增</w:t>
      </w:r>
      <w:r w:rsidR="006E6C11">
        <w:rPr>
          <w:rFonts w:ascii="宋体" w:hAnsi="宋体"/>
        </w:rPr>
        <w:t>16</w:t>
      </w:r>
      <w:r w:rsidR="0080674B">
        <w:rPr>
          <w:rFonts w:ascii="宋体" w:hAnsi="宋体"/>
        </w:rPr>
        <w:t>,</w:t>
      </w:r>
      <w:r w:rsidR="006E6C11" w:rsidRPr="0080674B">
        <w:rPr>
          <w:rFonts w:ascii="宋体" w:hAnsi="宋体"/>
        </w:rPr>
        <w:t>13</w:t>
      </w:r>
      <w:r w:rsidR="006E6C11">
        <w:rPr>
          <w:rFonts w:ascii="宋体" w:hAnsi="宋体"/>
        </w:rPr>
        <w:t>8</w:t>
      </w:r>
      <w:r w:rsidR="0080674B" w:rsidRPr="0080674B">
        <w:rPr>
          <w:rFonts w:ascii="宋体" w:hAnsi="宋体"/>
        </w:rPr>
        <w:t>.</w:t>
      </w:r>
      <w:r w:rsidR="006E6C11">
        <w:rPr>
          <w:rFonts w:ascii="宋体" w:hAnsi="宋体"/>
        </w:rPr>
        <w:t>28</w:t>
      </w:r>
      <w:r w:rsidR="0080674B">
        <w:rPr>
          <w:rFonts w:ascii="宋体" w:hAnsi="宋体" w:hint="eastAsia"/>
        </w:rPr>
        <w:t>元</w:t>
      </w:r>
      <w:r w:rsidR="0080674B">
        <w:rPr>
          <w:rFonts w:ascii="宋体" w:hAnsi="宋体"/>
        </w:rPr>
        <w:t>，保证金</w:t>
      </w:r>
      <w:r w:rsidR="0080674B">
        <w:rPr>
          <w:rFonts w:ascii="宋体" w:hAnsi="宋体" w:hint="eastAsia"/>
        </w:rPr>
        <w:t>调减</w:t>
      </w:r>
      <w:r w:rsidR="006E6C11">
        <w:rPr>
          <w:rFonts w:ascii="宋体" w:hAnsi="宋体"/>
        </w:rPr>
        <w:t>3</w:t>
      </w:r>
      <w:r w:rsidR="0080674B" w:rsidRPr="0080674B">
        <w:rPr>
          <w:rFonts w:ascii="宋体" w:hAnsi="宋体"/>
        </w:rPr>
        <w:t>,</w:t>
      </w:r>
      <w:r w:rsidR="006E6C11">
        <w:rPr>
          <w:rFonts w:ascii="宋体" w:hAnsi="宋体"/>
        </w:rPr>
        <w:t>230</w:t>
      </w:r>
      <w:r w:rsidR="0080674B" w:rsidRPr="0080674B">
        <w:rPr>
          <w:rFonts w:ascii="宋体" w:hAnsi="宋体"/>
        </w:rPr>
        <w:t>.</w:t>
      </w:r>
      <w:r w:rsidR="006E6C11">
        <w:rPr>
          <w:rFonts w:ascii="宋体" w:hAnsi="宋体"/>
        </w:rPr>
        <w:t>48</w:t>
      </w:r>
      <w:r w:rsidR="003F12E6">
        <w:rPr>
          <w:rFonts w:ascii="宋体" w:hAnsi="宋体" w:hint="eastAsia"/>
        </w:rPr>
        <w:t>元</w:t>
      </w:r>
      <w:r w:rsidR="009D6E94" w:rsidRPr="009D6E94">
        <w:rPr>
          <w:rFonts w:ascii="宋体" w:hAnsi="宋体" w:hint="eastAsia"/>
        </w:rPr>
        <w:t>；</w:t>
      </w:r>
      <w:r w:rsidR="00C42CBA" w:rsidRPr="002878BD">
        <w:rPr>
          <w:rFonts w:ascii="宋体" w:hAnsi="宋体"/>
        </w:rPr>
        <w:t>2018</w:t>
      </w:r>
      <w:r w:rsidR="00C42CBA" w:rsidRPr="002878BD">
        <w:rPr>
          <w:rFonts w:ascii="宋体" w:hAnsi="宋体" w:hint="eastAsia"/>
        </w:rPr>
        <w:t>年</w:t>
      </w:r>
      <w:r w:rsidR="00C42CBA" w:rsidRPr="00721637">
        <w:rPr>
          <w:rFonts w:ascii="宋体" w:hAnsi="宋体"/>
        </w:rPr>
        <w:t>11</w:t>
      </w:r>
      <w:r w:rsidR="009D6E94" w:rsidRPr="00C0659A">
        <w:rPr>
          <w:rFonts w:ascii="宋体" w:hAnsi="宋体" w:hint="eastAsia"/>
        </w:rPr>
        <w:t>月</w:t>
      </w:r>
      <w:r w:rsidR="00C42CBA" w:rsidRPr="00721637">
        <w:rPr>
          <w:rFonts w:ascii="宋体" w:hAnsi="宋体"/>
        </w:rPr>
        <w:t>2</w:t>
      </w:r>
      <w:r w:rsidR="009D6E94" w:rsidRPr="00C0659A">
        <w:rPr>
          <w:rFonts w:ascii="宋体" w:hAnsi="宋体" w:hint="eastAsia"/>
        </w:rPr>
        <w:t>日</w:t>
      </w:r>
      <w:r w:rsidR="0080674B" w:rsidRPr="00C0659A">
        <w:rPr>
          <w:rFonts w:ascii="宋体" w:hAnsi="宋体" w:hint="eastAsia"/>
        </w:rPr>
        <w:t>，备付金调减</w:t>
      </w:r>
      <w:r w:rsidR="00C42CBA" w:rsidRPr="00721637">
        <w:rPr>
          <w:rFonts w:ascii="宋体" w:hAnsi="宋体"/>
        </w:rPr>
        <w:t>16,138.28</w:t>
      </w:r>
      <w:r w:rsidR="0080674B" w:rsidRPr="00C0659A">
        <w:rPr>
          <w:rFonts w:ascii="宋体" w:hAnsi="宋体" w:hint="eastAsia"/>
        </w:rPr>
        <w:t>元</w:t>
      </w:r>
      <w:r w:rsidR="00C42CBA" w:rsidRPr="00721637">
        <w:rPr>
          <w:rFonts w:ascii="宋体" w:hAnsi="宋体" w:hint="eastAsia"/>
        </w:rPr>
        <w:t>，保证金</w:t>
      </w:r>
      <w:r w:rsidR="00C42CBA" w:rsidRPr="00721637">
        <w:rPr>
          <w:rFonts w:ascii="宋体" w:hAnsi="宋体"/>
        </w:rPr>
        <w:t>调增</w:t>
      </w:r>
      <w:r w:rsidR="002878BD" w:rsidRPr="00721637">
        <w:rPr>
          <w:rFonts w:ascii="宋体" w:hAnsi="宋体"/>
        </w:rPr>
        <w:t>445.85</w:t>
      </w:r>
      <w:r w:rsidR="003F12E6">
        <w:rPr>
          <w:rFonts w:ascii="宋体" w:hAnsi="宋体" w:hint="eastAsia"/>
        </w:rPr>
        <w:t>元</w:t>
      </w:r>
      <w:r w:rsidRPr="00C0659A">
        <w:rPr>
          <w:rFonts w:ascii="宋体" w:hAnsi="宋体" w:hint="eastAsia"/>
        </w:rPr>
        <w:t>。</w:t>
      </w:r>
    </w:p>
    <w:p w14:paraId="4044DDD5" w14:textId="18910116" w:rsidR="00DC3906" w:rsidRPr="00FC3B02" w:rsidRDefault="00DC3906" w:rsidP="00380EB5">
      <w:pPr>
        <w:ind w:firstLine="408"/>
        <w:rPr>
          <w:rFonts w:ascii="宋体"/>
        </w:rPr>
      </w:pPr>
      <w:r w:rsidRPr="00FC3B02">
        <w:rPr>
          <w:rFonts w:ascii="宋体" w:hAnsi="宋体" w:hint="eastAsia"/>
        </w:rPr>
        <w:t>（</w:t>
      </w:r>
      <w:r w:rsidRPr="00FC3B02">
        <w:rPr>
          <w:rFonts w:ascii="宋体" w:hAnsi="宋体"/>
        </w:rPr>
        <w:t>2</w:t>
      </w:r>
      <w:r w:rsidRPr="00FC3B02">
        <w:rPr>
          <w:rFonts w:ascii="宋体" w:hAnsi="宋体" w:hint="eastAsia"/>
        </w:rPr>
        <w:t>）本基金最后运作日应收利息为人民币共计</w:t>
      </w:r>
      <w:r w:rsidR="00CE3EFB">
        <w:rPr>
          <w:rFonts w:ascii="宋体" w:hAnsi="宋体"/>
        </w:rPr>
        <w:t>565</w:t>
      </w:r>
      <w:r w:rsidR="0080674B" w:rsidRPr="0080674B">
        <w:rPr>
          <w:rFonts w:ascii="宋体" w:hAnsi="宋体"/>
        </w:rPr>
        <w:t>.</w:t>
      </w:r>
      <w:r w:rsidR="00CE3EFB">
        <w:rPr>
          <w:rFonts w:ascii="宋体" w:hAnsi="宋体"/>
        </w:rPr>
        <w:t>36</w:t>
      </w:r>
      <w:r w:rsidRPr="00FC3B02">
        <w:rPr>
          <w:rFonts w:ascii="宋体" w:hAnsi="宋体" w:hint="eastAsia"/>
        </w:rPr>
        <w:t>元</w:t>
      </w:r>
      <w:r w:rsidR="00FC3B02" w:rsidRPr="00FC3B02">
        <w:rPr>
          <w:rFonts w:ascii="宋体" w:hAnsi="宋体" w:hint="eastAsia"/>
        </w:rPr>
        <w:t>。</w:t>
      </w:r>
    </w:p>
    <w:p w14:paraId="2CFEFEDC" w14:textId="77777777" w:rsidR="00DC3906" w:rsidRPr="00FC3B02" w:rsidRDefault="00DC3906" w:rsidP="00380EB5">
      <w:pPr>
        <w:ind w:firstLine="408"/>
        <w:rPr>
          <w:rFonts w:ascii="宋体"/>
        </w:rPr>
      </w:pPr>
      <w:r w:rsidRPr="00FC3B02">
        <w:rPr>
          <w:rFonts w:ascii="宋体" w:hAnsi="宋体" w:hint="eastAsia"/>
        </w:rPr>
        <w:t>（</w:t>
      </w:r>
      <w:r w:rsidRPr="00FC3B02">
        <w:rPr>
          <w:rFonts w:ascii="宋体" w:hAnsi="宋体"/>
        </w:rPr>
        <w:t>3</w:t>
      </w:r>
      <w:r w:rsidRPr="00FC3B02">
        <w:rPr>
          <w:rFonts w:ascii="宋体" w:hAnsi="宋体" w:hint="eastAsia"/>
        </w:rPr>
        <w:t>）本基金最后运作日应收申购款为人民币</w:t>
      </w:r>
      <w:r w:rsidR="00A633EC" w:rsidRPr="00FC3B02">
        <w:rPr>
          <w:rFonts w:ascii="宋体" w:hAnsi="宋体"/>
        </w:rPr>
        <w:t>0</w:t>
      </w:r>
      <w:r w:rsidRPr="00FC3B02">
        <w:rPr>
          <w:rFonts w:ascii="宋体" w:hAnsi="宋体" w:hint="eastAsia"/>
        </w:rPr>
        <w:t>元。</w:t>
      </w:r>
    </w:p>
    <w:p w14:paraId="4D840687" w14:textId="77777777" w:rsidR="00DC3906" w:rsidRPr="00FC3B02" w:rsidRDefault="00DC3906" w:rsidP="00CA7C64">
      <w:pPr>
        <w:spacing w:beforeLines="50" w:before="156" w:afterLines="50" w:after="156"/>
        <w:rPr>
          <w:rFonts w:ascii="宋体"/>
          <w:b/>
        </w:rPr>
      </w:pPr>
      <w:r w:rsidRPr="00FC3B02">
        <w:rPr>
          <w:rFonts w:ascii="宋体" w:hAnsi="宋体"/>
          <w:b/>
        </w:rPr>
        <w:t>3</w:t>
      </w:r>
      <w:r w:rsidRPr="00FC3B02">
        <w:rPr>
          <w:rFonts w:ascii="宋体" w:hAnsi="宋体" w:hint="eastAsia"/>
          <w:b/>
        </w:rPr>
        <w:t>、负债清偿情况</w:t>
      </w:r>
    </w:p>
    <w:p w14:paraId="67BB5F52" w14:textId="6663EE23" w:rsidR="00D66915" w:rsidRDefault="00D66915" w:rsidP="00391171">
      <w:pPr>
        <w:ind w:firstLine="408"/>
        <w:rPr>
          <w:rFonts w:ascii="宋体" w:hAnsi="宋体"/>
        </w:rPr>
      </w:pPr>
      <w:r w:rsidRPr="00D66915">
        <w:rPr>
          <w:rFonts w:ascii="宋体" w:hAnsi="宋体" w:hint="eastAsia"/>
        </w:rPr>
        <w:t>（1） 本基金最后运作日应付赎回款为人民币1,462,581.51元，其中人民币476,423.63元已于2018年9月26日支付；人民币986,157.88元已于2018年9月27日支付。</w:t>
      </w:r>
    </w:p>
    <w:p w14:paraId="2E500921" w14:textId="6C2F2BEB" w:rsidR="00DC3906" w:rsidRPr="00FC3B02" w:rsidRDefault="00DC3906" w:rsidP="00391171">
      <w:pPr>
        <w:ind w:firstLine="408"/>
        <w:rPr>
          <w:rFonts w:ascii="宋体"/>
        </w:rPr>
      </w:pPr>
      <w:r w:rsidRPr="00FC3B02">
        <w:rPr>
          <w:rFonts w:ascii="宋体" w:hAnsi="宋体" w:hint="eastAsia"/>
        </w:rPr>
        <w:t>（</w:t>
      </w:r>
      <w:r w:rsidR="00D33914" w:rsidRPr="00FC3B02">
        <w:rPr>
          <w:rFonts w:ascii="宋体" w:hAnsi="宋体"/>
        </w:rPr>
        <w:t>2</w:t>
      </w:r>
      <w:r w:rsidRPr="00FC3B02">
        <w:rPr>
          <w:rFonts w:ascii="宋体" w:hAnsi="宋体" w:hint="eastAsia"/>
        </w:rPr>
        <w:t>）本基金最后运作日应付管理人报酬为人民币</w:t>
      </w:r>
      <w:r w:rsidR="00F13B0F" w:rsidRPr="00F13B0F">
        <w:rPr>
          <w:rFonts w:ascii="宋体" w:hAnsi="宋体"/>
        </w:rPr>
        <w:t>6</w:t>
      </w:r>
      <w:r w:rsidR="00F13B0F">
        <w:rPr>
          <w:rFonts w:ascii="宋体" w:hAnsi="宋体"/>
        </w:rPr>
        <w:t>,</w:t>
      </w:r>
      <w:r w:rsidR="00F13B0F" w:rsidRPr="00F13B0F">
        <w:rPr>
          <w:rFonts w:ascii="宋体" w:hAnsi="宋体"/>
        </w:rPr>
        <w:t>835.1</w:t>
      </w:r>
      <w:r w:rsidRPr="00FC3B02">
        <w:rPr>
          <w:rFonts w:ascii="宋体" w:hAnsi="宋体" w:hint="eastAsia"/>
        </w:rPr>
        <w:t>元，该款项于</w:t>
      </w:r>
      <w:r w:rsidR="00F13B0F" w:rsidRPr="00FC3B02">
        <w:rPr>
          <w:rFonts w:ascii="宋体" w:hAnsi="宋体"/>
        </w:rPr>
        <w:t>201</w:t>
      </w:r>
      <w:r w:rsidR="00F13B0F">
        <w:rPr>
          <w:rFonts w:ascii="宋体" w:hAnsi="宋体"/>
        </w:rPr>
        <w:t>8</w:t>
      </w:r>
      <w:r w:rsidR="00F13B0F" w:rsidRPr="00FC3B02">
        <w:rPr>
          <w:rFonts w:ascii="宋体" w:hAnsi="宋体" w:hint="eastAsia"/>
        </w:rPr>
        <w:t>年</w:t>
      </w:r>
      <w:r w:rsidR="00F13B0F">
        <w:rPr>
          <w:rFonts w:ascii="宋体" w:hAnsi="宋体"/>
        </w:rPr>
        <w:t>10</w:t>
      </w:r>
      <w:r w:rsidRPr="00FC3B02">
        <w:rPr>
          <w:rFonts w:ascii="宋体" w:hAnsi="宋体" w:hint="eastAsia"/>
        </w:rPr>
        <w:t>月</w:t>
      </w:r>
      <w:r w:rsidR="00F13B0F">
        <w:rPr>
          <w:rFonts w:ascii="宋体" w:hAnsi="宋体"/>
        </w:rPr>
        <w:t>10</w:t>
      </w:r>
      <w:r w:rsidRPr="00FC3B02">
        <w:rPr>
          <w:rFonts w:ascii="宋体" w:hAnsi="宋体" w:hint="eastAsia"/>
        </w:rPr>
        <w:t>日支付。</w:t>
      </w:r>
    </w:p>
    <w:p w14:paraId="4F7AFBC6" w14:textId="60EF284D" w:rsidR="00DC3906" w:rsidRPr="00FC3B02" w:rsidRDefault="00DC3906" w:rsidP="00391171">
      <w:pPr>
        <w:ind w:firstLine="408"/>
        <w:rPr>
          <w:rFonts w:ascii="宋体"/>
        </w:rPr>
      </w:pPr>
      <w:r w:rsidRPr="00FC3B02">
        <w:rPr>
          <w:rFonts w:ascii="宋体" w:hAnsi="宋体" w:hint="eastAsia"/>
        </w:rPr>
        <w:t>（</w:t>
      </w:r>
      <w:r w:rsidR="00D33914" w:rsidRPr="00FC3B02">
        <w:rPr>
          <w:rFonts w:ascii="宋体" w:hAnsi="宋体"/>
        </w:rPr>
        <w:t>3</w:t>
      </w:r>
      <w:r w:rsidRPr="00FC3B02">
        <w:rPr>
          <w:rFonts w:ascii="宋体" w:hAnsi="宋体" w:hint="eastAsia"/>
        </w:rPr>
        <w:t>）本基金最后运作日应付托管费为人民币</w:t>
      </w:r>
      <w:r w:rsidR="00F13B0F" w:rsidRPr="00F13B0F">
        <w:rPr>
          <w:rFonts w:ascii="宋体" w:hAnsi="宋体"/>
        </w:rPr>
        <w:t>2</w:t>
      </w:r>
      <w:r w:rsidR="00F13B0F">
        <w:rPr>
          <w:rFonts w:ascii="宋体" w:hAnsi="宋体" w:hint="eastAsia"/>
        </w:rPr>
        <w:t>,</w:t>
      </w:r>
      <w:r w:rsidR="00F13B0F" w:rsidRPr="00F13B0F">
        <w:rPr>
          <w:rFonts w:ascii="宋体" w:hAnsi="宋体"/>
        </w:rPr>
        <w:t>734.05</w:t>
      </w:r>
      <w:r w:rsidRPr="00FC3B02">
        <w:rPr>
          <w:rFonts w:ascii="宋体" w:hAnsi="宋体" w:hint="eastAsia"/>
        </w:rPr>
        <w:t>元，该款项于</w:t>
      </w:r>
      <w:r w:rsidR="00F13B0F" w:rsidRPr="00FC3B02">
        <w:rPr>
          <w:rFonts w:ascii="宋体" w:hAnsi="宋体"/>
        </w:rPr>
        <w:t>201</w:t>
      </w:r>
      <w:r w:rsidR="00F13B0F">
        <w:rPr>
          <w:rFonts w:ascii="宋体" w:hAnsi="宋体"/>
        </w:rPr>
        <w:t>8</w:t>
      </w:r>
      <w:r w:rsidR="00F13B0F" w:rsidRPr="00FC3B02">
        <w:rPr>
          <w:rFonts w:ascii="宋体" w:hAnsi="宋体" w:hint="eastAsia"/>
        </w:rPr>
        <w:t>年</w:t>
      </w:r>
      <w:r w:rsidR="00F13B0F">
        <w:rPr>
          <w:rFonts w:ascii="宋体" w:hAnsi="宋体"/>
        </w:rPr>
        <w:t>10</w:t>
      </w:r>
      <w:r w:rsidRPr="00FC3B02">
        <w:rPr>
          <w:rFonts w:ascii="宋体" w:hAnsi="宋体" w:hint="eastAsia"/>
        </w:rPr>
        <w:t>月</w:t>
      </w:r>
      <w:r w:rsidR="00F13B0F">
        <w:rPr>
          <w:rFonts w:ascii="宋体" w:hAnsi="宋体"/>
        </w:rPr>
        <w:t>10</w:t>
      </w:r>
      <w:r w:rsidRPr="00FC3B02">
        <w:rPr>
          <w:rFonts w:ascii="宋体" w:hAnsi="宋体" w:hint="eastAsia"/>
        </w:rPr>
        <w:t>日支付。</w:t>
      </w:r>
    </w:p>
    <w:p w14:paraId="3C19AB07" w14:textId="1655F8BF" w:rsidR="00DC3906" w:rsidRPr="00FC3B02" w:rsidRDefault="00DC3906" w:rsidP="00391171">
      <w:pPr>
        <w:ind w:firstLine="408"/>
        <w:rPr>
          <w:rFonts w:ascii="宋体"/>
        </w:rPr>
      </w:pPr>
      <w:r w:rsidRPr="00FC3B02">
        <w:rPr>
          <w:rFonts w:ascii="宋体" w:hAnsi="宋体" w:hint="eastAsia"/>
        </w:rPr>
        <w:t>（</w:t>
      </w:r>
      <w:r w:rsidR="00D33914" w:rsidRPr="00FC3B02">
        <w:rPr>
          <w:rFonts w:ascii="宋体" w:hAnsi="宋体"/>
        </w:rPr>
        <w:t>4</w:t>
      </w:r>
      <w:r w:rsidRPr="00FC3B02">
        <w:rPr>
          <w:rFonts w:ascii="宋体" w:hAnsi="宋体" w:hint="eastAsia"/>
        </w:rPr>
        <w:t>）本基金最后运作日应付销售服务费为人民币</w:t>
      </w:r>
      <w:r w:rsidR="00F13B0F">
        <w:rPr>
          <w:rFonts w:ascii="宋体" w:hAnsi="宋体"/>
        </w:rPr>
        <w:t>3.14</w:t>
      </w:r>
      <w:r w:rsidRPr="00FC3B02">
        <w:rPr>
          <w:rFonts w:ascii="宋体" w:hAnsi="宋体" w:hint="eastAsia"/>
        </w:rPr>
        <w:t>元</w:t>
      </w:r>
      <w:r w:rsidR="00F13B0F" w:rsidRPr="00FC3B02">
        <w:rPr>
          <w:rFonts w:ascii="宋体" w:hAnsi="宋体" w:hint="eastAsia"/>
        </w:rPr>
        <w:t>，该款项于</w:t>
      </w:r>
      <w:r w:rsidR="00F13B0F" w:rsidRPr="00FC3B02">
        <w:rPr>
          <w:rFonts w:ascii="宋体" w:hAnsi="宋体"/>
        </w:rPr>
        <w:t>201</w:t>
      </w:r>
      <w:r w:rsidR="00F13B0F">
        <w:rPr>
          <w:rFonts w:ascii="宋体" w:hAnsi="宋体"/>
        </w:rPr>
        <w:t>8</w:t>
      </w:r>
      <w:r w:rsidR="00F13B0F" w:rsidRPr="00FC3B02">
        <w:rPr>
          <w:rFonts w:ascii="宋体" w:hAnsi="宋体" w:hint="eastAsia"/>
        </w:rPr>
        <w:t>年</w:t>
      </w:r>
      <w:r w:rsidR="00F13B0F">
        <w:rPr>
          <w:rFonts w:ascii="宋体" w:hAnsi="宋体"/>
        </w:rPr>
        <w:t>10</w:t>
      </w:r>
      <w:r w:rsidR="00F13B0F" w:rsidRPr="00FC3B02">
        <w:rPr>
          <w:rFonts w:ascii="宋体" w:hAnsi="宋体" w:hint="eastAsia"/>
        </w:rPr>
        <w:t>月</w:t>
      </w:r>
      <w:r w:rsidR="00F13B0F">
        <w:rPr>
          <w:rFonts w:ascii="宋体" w:hAnsi="宋体"/>
        </w:rPr>
        <w:t>10</w:t>
      </w:r>
      <w:r w:rsidR="00F13B0F" w:rsidRPr="00FC3B02">
        <w:rPr>
          <w:rFonts w:ascii="宋体" w:hAnsi="宋体" w:hint="eastAsia"/>
        </w:rPr>
        <w:t>日支付。</w:t>
      </w:r>
    </w:p>
    <w:p w14:paraId="3FC30C0D" w14:textId="1448CECA" w:rsidR="00DC3906" w:rsidRDefault="00DC3906" w:rsidP="00391171">
      <w:pPr>
        <w:ind w:firstLine="408"/>
        <w:rPr>
          <w:rFonts w:ascii="宋体" w:hAnsi="宋体"/>
        </w:rPr>
      </w:pPr>
      <w:r w:rsidRPr="00FC3B02">
        <w:rPr>
          <w:rFonts w:ascii="宋体" w:hAnsi="宋体" w:hint="eastAsia"/>
        </w:rPr>
        <w:t>（</w:t>
      </w:r>
      <w:r w:rsidR="00D33914" w:rsidRPr="00FC3B02">
        <w:rPr>
          <w:rFonts w:ascii="宋体" w:hAnsi="宋体"/>
        </w:rPr>
        <w:t>5</w:t>
      </w:r>
      <w:r w:rsidRPr="00FC3B02">
        <w:rPr>
          <w:rFonts w:ascii="宋体" w:hAnsi="宋体" w:hint="eastAsia"/>
        </w:rPr>
        <w:t>）</w:t>
      </w:r>
      <w:r w:rsidR="00D33914" w:rsidRPr="00FC3B02">
        <w:rPr>
          <w:rFonts w:ascii="宋体" w:hAnsi="宋体" w:hint="eastAsia"/>
        </w:rPr>
        <w:t>本基金最后运作日应付交易费用为人民币</w:t>
      </w:r>
      <w:r w:rsidR="00F13B0F" w:rsidRPr="00F13B0F">
        <w:rPr>
          <w:rFonts w:ascii="宋体" w:hAnsi="宋体"/>
        </w:rPr>
        <w:t>4</w:t>
      </w:r>
      <w:r w:rsidR="00F13B0F">
        <w:rPr>
          <w:rFonts w:ascii="宋体" w:hAnsi="宋体"/>
        </w:rPr>
        <w:t>,</w:t>
      </w:r>
      <w:r w:rsidR="00F13B0F" w:rsidRPr="00F13B0F">
        <w:rPr>
          <w:rFonts w:ascii="宋体" w:hAnsi="宋体"/>
        </w:rPr>
        <w:t>164.34</w:t>
      </w:r>
      <w:r w:rsidR="00D33914" w:rsidRPr="00FC3B02">
        <w:rPr>
          <w:rFonts w:ascii="宋体" w:hAnsi="宋体" w:hint="eastAsia"/>
        </w:rPr>
        <w:t>元，其中人民币</w:t>
      </w:r>
      <w:r w:rsidR="0034525F">
        <w:rPr>
          <w:rFonts w:ascii="宋体" w:hAnsi="宋体"/>
        </w:rPr>
        <w:t>2</w:t>
      </w:r>
      <w:r w:rsidR="00DF1FAD">
        <w:rPr>
          <w:rFonts w:ascii="宋体" w:hAnsi="宋体" w:hint="eastAsia"/>
        </w:rPr>
        <w:t>,</w:t>
      </w:r>
      <w:r w:rsidR="0034525F">
        <w:rPr>
          <w:rFonts w:ascii="宋体" w:hAnsi="宋体"/>
        </w:rPr>
        <w:t>5</w:t>
      </w:r>
      <w:r w:rsidR="00DF1FAD">
        <w:rPr>
          <w:rFonts w:ascii="宋体" w:hAnsi="宋体" w:hint="eastAsia"/>
        </w:rPr>
        <w:t>40</w:t>
      </w:r>
      <w:r w:rsidR="00CA7C3E" w:rsidRPr="00CA7C3E">
        <w:rPr>
          <w:rFonts w:ascii="宋体" w:hAnsi="宋体"/>
        </w:rPr>
        <w:t>.</w:t>
      </w:r>
      <w:r w:rsidR="00DF1FAD">
        <w:rPr>
          <w:rFonts w:ascii="宋体" w:hAnsi="宋体"/>
        </w:rPr>
        <w:t>00</w:t>
      </w:r>
      <w:r w:rsidR="00D33914" w:rsidRPr="00FC3B02">
        <w:rPr>
          <w:rFonts w:ascii="宋体" w:hAnsi="宋体" w:hint="eastAsia"/>
        </w:rPr>
        <w:t>元已于</w:t>
      </w:r>
      <w:r w:rsidR="00DF1FAD" w:rsidRPr="00FC3B02">
        <w:rPr>
          <w:rFonts w:ascii="宋体" w:hAnsi="宋体" w:hint="eastAsia"/>
        </w:rPr>
        <w:t>201</w:t>
      </w:r>
      <w:r w:rsidR="00DF1FAD">
        <w:rPr>
          <w:rFonts w:ascii="宋体" w:hAnsi="宋体"/>
        </w:rPr>
        <w:t>8</w:t>
      </w:r>
      <w:r w:rsidR="00DF1FAD" w:rsidRPr="00FC3B02">
        <w:rPr>
          <w:rFonts w:ascii="宋体" w:hAnsi="宋体" w:hint="eastAsia"/>
        </w:rPr>
        <w:t>年</w:t>
      </w:r>
      <w:r w:rsidR="00DF1FAD">
        <w:rPr>
          <w:rFonts w:ascii="宋体" w:hAnsi="宋体"/>
        </w:rPr>
        <w:t>10</w:t>
      </w:r>
      <w:r w:rsidR="00D33914" w:rsidRPr="00FC3B02">
        <w:rPr>
          <w:rFonts w:ascii="宋体" w:hAnsi="宋体" w:hint="eastAsia"/>
        </w:rPr>
        <w:t>月</w:t>
      </w:r>
      <w:r w:rsidR="00DF1FAD">
        <w:rPr>
          <w:rFonts w:ascii="宋体" w:hAnsi="宋体"/>
        </w:rPr>
        <w:t>19</w:t>
      </w:r>
      <w:r w:rsidR="00D33914" w:rsidRPr="00FC3B02">
        <w:rPr>
          <w:rFonts w:ascii="宋体" w:hAnsi="宋体" w:hint="eastAsia"/>
        </w:rPr>
        <w:t>日支付，人民币</w:t>
      </w:r>
      <w:r w:rsidR="0034525F" w:rsidRPr="0034525F">
        <w:rPr>
          <w:rFonts w:ascii="宋体" w:hAnsi="宋体"/>
        </w:rPr>
        <w:t>1,103.98</w:t>
      </w:r>
      <w:r w:rsidR="00D33914" w:rsidRPr="00FC3B02">
        <w:rPr>
          <w:rFonts w:ascii="宋体" w:hAnsi="宋体" w:hint="eastAsia"/>
        </w:rPr>
        <w:t>元已于</w:t>
      </w:r>
      <w:r w:rsidR="0034525F" w:rsidRPr="00FC3B02">
        <w:rPr>
          <w:rFonts w:ascii="宋体" w:hAnsi="宋体"/>
        </w:rPr>
        <w:t>201</w:t>
      </w:r>
      <w:r w:rsidR="0034525F">
        <w:rPr>
          <w:rFonts w:ascii="宋体" w:hAnsi="宋体"/>
        </w:rPr>
        <w:t>8</w:t>
      </w:r>
      <w:r w:rsidR="0034525F" w:rsidRPr="00FC3B02">
        <w:rPr>
          <w:rFonts w:ascii="宋体" w:hAnsi="宋体" w:hint="eastAsia"/>
        </w:rPr>
        <w:t>年</w:t>
      </w:r>
      <w:r w:rsidR="0034525F">
        <w:rPr>
          <w:rFonts w:ascii="宋体" w:hAnsi="宋体"/>
        </w:rPr>
        <w:t>10</w:t>
      </w:r>
      <w:r w:rsidR="00D33914" w:rsidRPr="00FC3B02">
        <w:rPr>
          <w:rFonts w:ascii="宋体" w:hAnsi="宋体" w:hint="eastAsia"/>
        </w:rPr>
        <w:t>月</w:t>
      </w:r>
      <w:r w:rsidR="0034525F">
        <w:rPr>
          <w:rFonts w:ascii="宋体" w:hAnsi="宋体"/>
        </w:rPr>
        <w:t>23</w:t>
      </w:r>
      <w:r w:rsidR="00D33914" w:rsidRPr="00FC3B02">
        <w:rPr>
          <w:rFonts w:ascii="宋体" w:hAnsi="宋体" w:hint="eastAsia"/>
        </w:rPr>
        <w:t>日支付</w:t>
      </w:r>
      <w:r w:rsidR="00CA7C3E" w:rsidRPr="00C0659A">
        <w:rPr>
          <w:rFonts w:ascii="宋体" w:hAnsi="宋体" w:hint="eastAsia"/>
        </w:rPr>
        <w:t>，人民币</w:t>
      </w:r>
      <w:r w:rsidR="0034525F" w:rsidRPr="00C0659A">
        <w:rPr>
          <w:rFonts w:ascii="宋体" w:hAnsi="宋体"/>
        </w:rPr>
        <w:t>520.36</w:t>
      </w:r>
      <w:r w:rsidR="00CA7C3E" w:rsidRPr="00C0659A">
        <w:rPr>
          <w:rFonts w:ascii="宋体" w:hAnsi="宋体" w:hint="eastAsia"/>
        </w:rPr>
        <w:t>元已于</w:t>
      </w:r>
      <w:r w:rsidR="0034525F" w:rsidRPr="002878BD">
        <w:rPr>
          <w:rFonts w:ascii="宋体" w:hAnsi="宋体"/>
        </w:rPr>
        <w:t>2018</w:t>
      </w:r>
      <w:r w:rsidR="0034525F" w:rsidRPr="002878BD">
        <w:rPr>
          <w:rFonts w:ascii="宋体" w:hAnsi="宋体" w:hint="eastAsia"/>
        </w:rPr>
        <w:t>年</w:t>
      </w:r>
      <w:r w:rsidR="0034525F" w:rsidRPr="002878BD">
        <w:rPr>
          <w:rFonts w:ascii="宋体" w:hAnsi="宋体"/>
        </w:rPr>
        <w:t>10</w:t>
      </w:r>
      <w:r w:rsidR="00CA7C3E" w:rsidRPr="002878BD">
        <w:rPr>
          <w:rFonts w:ascii="宋体" w:hAnsi="宋体" w:hint="eastAsia"/>
        </w:rPr>
        <w:t>月</w:t>
      </w:r>
      <w:r w:rsidR="0034525F" w:rsidRPr="002878BD">
        <w:rPr>
          <w:rFonts w:ascii="宋体" w:hAnsi="宋体"/>
        </w:rPr>
        <w:t>25</w:t>
      </w:r>
      <w:r w:rsidR="00CA7C3E" w:rsidRPr="002878BD">
        <w:rPr>
          <w:rFonts w:ascii="宋体" w:hAnsi="宋体" w:hint="eastAsia"/>
        </w:rPr>
        <w:t>日支付</w:t>
      </w:r>
      <w:r w:rsidR="00D33914" w:rsidRPr="002878BD">
        <w:rPr>
          <w:rFonts w:ascii="宋体" w:hAnsi="宋体" w:hint="eastAsia"/>
        </w:rPr>
        <w:t>。</w:t>
      </w:r>
    </w:p>
    <w:p w14:paraId="48F172A5" w14:textId="2DECD526" w:rsidR="00E43AB7" w:rsidRPr="00721637" w:rsidRDefault="00E43AB7" w:rsidP="00391171">
      <w:pPr>
        <w:ind w:firstLine="408"/>
        <w:rPr>
          <w:rFonts w:ascii="宋体" w:hAnsi="宋体"/>
        </w:rPr>
      </w:pPr>
      <w:r w:rsidRPr="00FC3B02">
        <w:rPr>
          <w:rFonts w:ascii="宋体" w:hAnsi="宋体" w:hint="eastAsia"/>
        </w:rPr>
        <w:t>（</w:t>
      </w:r>
      <w:r w:rsidRPr="00FC3B02">
        <w:rPr>
          <w:rFonts w:ascii="宋体" w:hAnsi="宋体"/>
        </w:rPr>
        <w:t>6</w:t>
      </w:r>
      <w:r w:rsidRPr="00FC3B02">
        <w:rPr>
          <w:rFonts w:ascii="宋体" w:hAnsi="宋体" w:hint="eastAsia"/>
        </w:rPr>
        <w:t>）</w:t>
      </w:r>
      <w:r w:rsidRPr="00A91AF9">
        <w:rPr>
          <w:rFonts w:ascii="宋体" w:hAnsi="宋体" w:hint="eastAsia"/>
        </w:rPr>
        <w:t>应交税费为人民币482.04元，已于2018年10月12日支付</w:t>
      </w:r>
      <w:r>
        <w:rPr>
          <w:rFonts w:ascii="宋体" w:hAnsi="宋体" w:hint="eastAsia"/>
        </w:rPr>
        <w:t>。</w:t>
      </w:r>
    </w:p>
    <w:p w14:paraId="38B226C4" w14:textId="54CB356E" w:rsidR="00DC3906" w:rsidRDefault="00DC3906" w:rsidP="00E43AB7">
      <w:pPr>
        <w:ind w:firstLineChars="200" w:firstLine="400"/>
        <w:rPr>
          <w:rFonts w:ascii="宋体"/>
        </w:rPr>
      </w:pPr>
      <w:r w:rsidRPr="00FC3B02">
        <w:rPr>
          <w:rFonts w:ascii="宋体" w:hAnsi="宋体" w:hint="eastAsia"/>
        </w:rPr>
        <w:t>（</w:t>
      </w:r>
      <w:r w:rsidR="00E43AB7">
        <w:rPr>
          <w:rFonts w:ascii="宋体" w:hAnsi="宋体"/>
        </w:rPr>
        <w:t>7</w:t>
      </w:r>
      <w:r w:rsidRPr="00FC3B02">
        <w:rPr>
          <w:rFonts w:ascii="宋体" w:hAnsi="宋体" w:hint="eastAsia"/>
        </w:rPr>
        <w:t>）</w:t>
      </w:r>
      <w:r w:rsidR="00A91AF9" w:rsidRPr="00A91AF9">
        <w:rPr>
          <w:rFonts w:ascii="宋体" w:hAnsi="宋体" w:hint="eastAsia"/>
        </w:rPr>
        <w:t>本基金最后运作日其他负债为人民币</w:t>
      </w:r>
      <w:r w:rsidR="00E43AB7" w:rsidRPr="00E43AB7">
        <w:rPr>
          <w:rFonts w:ascii="宋体" w:hAnsi="宋体"/>
        </w:rPr>
        <w:t>177,916.95</w:t>
      </w:r>
      <w:r w:rsidR="00A91AF9" w:rsidRPr="00A91AF9">
        <w:rPr>
          <w:rFonts w:ascii="宋体" w:hAnsi="宋体" w:hint="eastAsia"/>
        </w:rPr>
        <w:t>元，其中预提银行汇划费人民币1500.00元；应付赎回费为人民币16.95元，已于2018年9月27日支付；应付2018年度审计费人民币44,000.00元于2018年10月12日支付；应付信息披露费人民币120,000.00元已于2018年9月26日支付。债券账户维护费为人民币12,400元，其中三季度上清维护费人民币</w:t>
      </w:r>
      <w:r w:rsidR="00E43AB7">
        <w:rPr>
          <w:rFonts w:ascii="宋体" w:hAnsi="宋体"/>
        </w:rPr>
        <w:t>4800.00</w:t>
      </w:r>
      <w:r w:rsidR="00A91AF9" w:rsidRPr="00A91AF9">
        <w:rPr>
          <w:rFonts w:ascii="宋体" w:hAnsi="宋体" w:hint="eastAsia"/>
        </w:rPr>
        <w:t>元已于2018年10月19日支付；三季度中债维护费人民币</w:t>
      </w:r>
      <w:r w:rsidR="00E43AB7">
        <w:rPr>
          <w:rFonts w:ascii="宋体" w:hAnsi="宋体"/>
        </w:rPr>
        <w:t>4500.00</w:t>
      </w:r>
      <w:r w:rsidR="00A91AF9" w:rsidRPr="00A91AF9">
        <w:rPr>
          <w:rFonts w:ascii="宋体" w:hAnsi="宋体" w:hint="eastAsia"/>
        </w:rPr>
        <w:t>元已于2018年10月23日支付；10月份中债维护费人民币1500.00元已于2018年10月25日支付、10月份上清维护费人民币1600.00元已于2018年11月6日支付。</w:t>
      </w:r>
    </w:p>
    <w:p w14:paraId="2585F117" w14:textId="77777777" w:rsidR="00DC3906" w:rsidRPr="00EA06D5" w:rsidRDefault="001F22F5" w:rsidP="00CA7C64">
      <w:pPr>
        <w:spacing w:beforeLines="50" w:before="156" w:afterLines="50" w:after="156"/>
        <w:rPr>
          <w:rFonts w:ascii="宋体"/>
          <w:b/>
        </w:rPr>
      </w:pPr>
      <w:r>
        <w:rPr>
          <w:rFonts w:ascii="宋体" w:hAnsi="宋体" w:hint="eastAsia"/>
          <w:b/>
        </w:rPr>
        <w:t>4</w:t>
      </w:r>
      <w:r w:rsidR="00DC3906" w:rsidRPr="00EA06D5">
        <w:rPr>
          <w:rFonts w:ascii="宋体" w:hAnsi="宋体" w:hint="eastAsia"/>
          <w:b/>
        </w:rPr>
        <w:t>、清算期间的损益情况</w:t>
      </w:r>
    </w:p>
    <w:p w14:paraId="1E7EC890" w14:textId="1ABFDA82" w:rsidR="00DC3906" w:rsidRPr="001D0BB8" w:rsidRDefault="00DC3906" w:rsidP="000308F8">
      <w:pPr>
        <w:jc w:val="center"/>
        <w:rPr>
          <w:rFonts w:ascii="宋体" w:hAnsi="宋体"/>
        </w:rPr>
      </w:pPr>
      <w:r w:rsidRPr="001D0BB8">
        <w:rPr>
          <w:rFonts w:ascii="宋体" w:hAnsi="宋体" w:hint="eastAsia"/>
        </w:rPr>
        <w:t>自</w:t>
      </w:r>
      <w:r w:rsidR="00B648CD" w:rsidRPr="001D0BB8">
        <w:rPr>
          <w:rFonts w:ascii="宋体" w:hAnsi="宋体"/>
        </w:rPr>
        <w:t>201</w:t>
      </w:r>
      <w:r w:rsidR="00B648CD">
        <w:rPr>
          <w:rFonts w:ascii="宋体" w:hAnsi="宋体"/>
        </w:rPr>
        <w:t>8</w:t>
      </w:r>
      <w:r w:rsidR="00B648CD" w:rsidRPr="001D0BB8">
        <w:rPr>
          <w:rFonts w:ascii="宋体" w:hAnsi="宋体" w:hint="eastAsia"/>
        </w:rPr>
        <w:t>年</w:t>
      </w:r>
      <w:r w:rsidR="00B648CD">
        <w:rPr>
          <w:rFonts w:ascii="宋体" w:hAnsi="宋体"/>
        </w:rPr>
        <w:t>9</w:t>
      </w:r>
      <w:r w:rsidRPr="001D0BB8">
        <w:rPr>
          <w:rFonts w:ascii="宋体" w:hAnsi="宋体" w:hint="eastAsia"/>
        </w:rPr>
        <w:t>月</w:t>
      </w:r>
      <w:r w:rsidR="00B648CD">
        <w:rPr>
          <w:rFonts w:ascii="宋体" w:hAnsi="宋体"/>
        </w:rPr>
        <w:t>2</w:t>
      </w:r>
      <w:r w:rsidR="00D2529D">
        <w:rPr>
          <w:rFonts w:ascii="宋体" w:hAnsi="宋体"/>
        </w:rPr>
        <w:t>6</w:t>
      </w:r>
      <w:r w:rsidRPr="001D0BB8">
        <w:rPr>
          <w:rFonts w:ascii="宋体" w:hAnsi="宋体" w:hint="eastAsia"/>
        </w:rPr>
        <w:t>日至</w:t>
      </w:r>
      <w:r w:rsidR="00C0659A" w:rsidRPr="00610D1B">
        <w:rPr>
          <w:rFonts w:ascii="宋体" w:hAnsi="宋体"/>
        </w:rPr>
        <w:t>2018</w:t>
      </w:r>
      <w:r w:rsidR="00C0659A" w:rsidRPr="00610D1B">
        <w:rPr>
          <w:rFonts w:ascii="宋体" w:hAnsi="宋体" w:hint="eastAsia"/>
        </w:rPr>
        <w:t>年</w:t>
      </w:r>
      <w:r w:rsidR="00C0659A" w:rsidRPr="00721637">
        <w:rPr>
          <w:rFonts w:ascii="宋体" w:hAnsi="宋体"/>
        </w:rPr>
        <w:t>11</w:t>
      </w:r>
      <w:r w:rsidRPr="00610D1B">
        <w:rPr>
          <w:rFonts w:ascii="宋体" w:hAnsi="宋体" w:hint="eastAsia"/>
        </w:rPr>
        <w:t>月</w:t>
      </w:r>
      <w:r w:rsidR="00C0659A" w:rsidRPr="00721637">
        <w:rPr>
          <w:rFonts w:ascii="宋体" w:hAnsi="宋体"/>
        </w:rPr>
        <w:t>6</w:t>
      </w:r>
      <w:r w:rsidRPr="00610D1B">
        <w:rPr>
          <w:rFonts w:ascii="宋体" w:hAnsi="宋体" w:hint="eastAsia"/>
        </w:rPr>
        <w:t>日</w:t>
      </w:r>
      <w:r w:rsidRPr="001D0BB8">
        <w:rPr>
          <w:rFonts w:ascii="宋体" w:hAnsi="宋体" w:hint="eastAsia"/>
        </w:rPr>
        <w:t>止清算期间</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150"/>
        <w:gridCol w:w="4146"/>
      </w:tblGrid>
      <w:tr w:rsidR="004932B6" w:rsidRPr="001D0BB8" w14:paraId="085EFC91" w14:textId="77777777" w:rsidTr="004932B6">
        <w:tc>
          <w:tcPr>
            <w:tcW w:w="4150" w:type="dxa"/>
            <w:tcBorders>
              <w:top w:val="single" w:sz="4" w:space="0" w:color="auto"/>
              <w:left w:val="single" w:sz="4" w:space="0" w:color="auto"/>
              <w:bottom w:val="single" w:sz="4" w:space="0" w:color="auto"/>
              <w:right w:val="single" w:sz="4" w:space="0" w:color="auto"/>
            </w:tcBorders>
          </w:tcPr>
          <w:p w14:paraId="00E1018D" w14:textId="77777777" w:rsidR="004932B6" w:rsidRPr="001D0BB8" w:rsidRDefault="004932B6" w:rsidP="00B43672">
            <w:pPr>
              <w:rPr>
                <w:rFonts w:ascii="宋体" w:hAnsi="宋体"/>
              </w:rPr>
            </w:pPr>
            <w:r w:rsidRPr="001D0BB8">
              <w:rPr>
                <w:rFonts w:ascii="宋体" w:hAnsi="宋体" w:hint="eastAsia"/>
              </w:rPr>
              <w:t>项目</w:t>
            </w:r>
          </w:p>
        </w:tc>
        <w:tc>
          <w:tcPr>
            <w:tcW w:w="4146" w:type="dxa"/>
            <w:tcBorders>
              <w:top w:val="single" w:sz="4" w:space="0" w:color="auto"/>
              <w:left w:val="single" w:sz="4" w:space="0" w:color="auto"/>
              <w:bottom w:val="single" w:sz="4" w:space="0" w:color="auto"/>
              <w:right w:val="single" w:sz="4" w:space="0" w:color="auto"/>
            </w:tcBorders>
          </w:tcPr>
          <w:p w14:paraId="53052B67" w14:textId="77777777" w:rsidR="004932B6" w:rsidRPr="001D0BB8" w:rsidRDefault="004932B6" w:rsidP="00B43672">
            <w:pPr>
              <w:rPr>
                <w:rFonts w:ascii="宋体" w:hAnsi="宋体"/>
              </w:rPr>
            </w:pPr>
            <w:r w:rsidRPr="001D0BB8">
              <w:rPr>
                <w:rFonts w:ascii="宋体" w:hAnsi="宋体" w:hint="eastAsia"/>
              </w:rPr>
              <w:t>金额（单位：人民币元）</w:t>
            </w:r>
          </w:p>
        </w:tc>
      </w:tr>
      <w:tr w:rsidR="004932B6" w:rsidRPr="001D0BB8" w14:paraId="11BF851D" w14:textId="77777777" w:rsidTr="004932B6">
        <w:tc>
          <w:tcPr>
            <w:tcW w:w="4150" w:type="dxa"/>
            <w:tcBorders>
              <w:top w:val="single" w:sz="4" w:space="0" w:color="auto"/>
              <w:left w:val="single" w:sz="4" w:space="0" w:color="auto"/>
              <w:bottom w:val="single" w:sz="4" w:space="0" w:color="auto"/>
              <w:right w:val="single" w:sz="4" w:space="0" w:color="auto"/>
            </w:tcBorders>
          </w:tcPr>
          <w:p w14:paraId="3F0C0611" w14:textId="77777777" w:rsidR="004932B6" w:rsidRPr="001D0BB8" w:rsidRDefault="004932B6" w:rsidP="00B43672">
            <w:pPr>
              <w:rPr>
                <w:rFonts w:ascii="宋体" w:hAnsi="宋体"/>
              </w:rPr>
            </w:pPr>
            <w:r w:rsidRPr="001D0BB8">
              <w:rPr>
                <w:rFonts w:ascii="宋体" w:hAnsi="宋体" w:hint="eastAsia"/>
              </w:rPr>
              <w:t>一、清算收益</w:t>
            </w:r>
          </w:p>
        </w:tc>
        <w:tc>
          <w:tcPr>
            <w:tcW w:w="4146" w:type="dxa"/>
            <w:tcBorders>
              <w:top w:val="single" w:sz="4" w:space="0" w:color="auto"/>
              <w:left w:val="single" w:sz="4" w:space="0" w:color="auto"/>
              <w:bottom w:val="single" w:sz="4" w:space="0" w:color="auto"/>
              <w:right w:val="single" w:sz="4" w:space="0" w:color="auto"/>
            </w:tcBorders>
          </w:tcPr>
          <w:p w14:paraId="4B518747" w14:textId="77777777" w:rsidR="004932B6" w:rsidRPr="001D0BB8" w:rsidRDefault="004932B6" w:rsidP="004932B6">
            <w:pPr>
              <w:rPr>
                <w:rFonts w:ascii="宋体" w:hAnsi="宋体"/>
              </w:rPr>
            </w:pPr>
          </w:p>
        </w:tc>
      </w:tr>
      <w:tr w:rsidR="004932B6" w:rsidRPr="001D0BB8" w14:paraId="6C2CBD62" w14:textId="77777777" w:rsidTr="004932B6">
        <w:tc>
          <w:tcPr>
            <w:tcW w:w="4150" w:type="dxa"/>
            <w:tcBorders>
              <w:top w:val="single" w:sz="4" w:space="0" w:color="auto"/>
              <w:left w:val="single" w:sz="4" w:space="0" w:color="auto"/>
              <w:bottom w:val="single" w:sz="4" w:space="0" w:color="auto"/>
              <w:right w:val="single" w:sz="4" w:space="0" w:color="auto"/>
            </w:tcBorders>
          </w:tcPr>
          <w:p w14:paraId="7B626699" w14:textId="77777777" w:rsidR="004932B6" w:rsidRPr="001D0BB8" w:rsidRDefault="004932B6" w:rsidP="00B43672">
            <w:pPr>
              <w:rPr>
                <w:rFonts w:ascii="宋体" w:hAnsi="宋体"/>
              </w:rPr>
            </w:pPr>
            <w:r w:rsidRPr="001D0BB8">
              <w:rPr>
                <w:rFonts w:ascii="宋体" w:hAnsi="宋体" w:hint="eastAsia"/>
              </w:rPr>
              <w:t>利息收入（注</w:t>
            </w:r>
            <w:r w:rsidRPr="001D0BB8">
              <w:rPr>
                <w:rFonts w:ascii="宋体" w:hAnsi="宋体"/>
              </w:rPr>
              <w:t>1）</w:t>
            </w:r>
          </w:p>
        </w:tc>
        <w:tc>
          <w:tcPr>
            <w:tcW w:w="4146" w:type="dxa"/>
            <w:tcBorders>
              <w:top w:val="single" w:sz="4" w:space="0" w:color="auto"/>
              <w:left w:val="single" w:sz="4" w:space="0" w:color="auto"/>
              <w:bottom w:val="single" w:sz="4" w:space="0" w:color="auto"/>
              <w:right w:val="single" w:sz="4" w:space="0" w:color="auto"/>
            </w:tcBorders>
          </w:tcPr>
          <w:p w14:paraId="0906FD36" w14:textId="0B37F6F0" w:rsidR="004932B6" w:rsidRPr="00BF751A" w:rsidRDefault="00721637" w:rsidP="00961826">
            <w:pPr>
              <w:rPr>
                <w:rFonts w:ascii="宋体" w:hAnsi="宋体"/>
              </w:rPr>
            </w:pPr>
            <w:r w:rsidRPr="00721637">
              <w:rPr>
                <w:rFonts w:ascii="宋体" w:hAnsi="宋体"/>
              </w:rPr>
              <w:t>9,150.43</w:t>
            </w:r>
          </w:p>
        </w:tc>
      </w:tr>
      <w:tr w:rsidR="004932B6" w14:paraId="088418F5" w14:textId="77777777" w:rsidTr="004932B6">
        <w:tc>
          <w:tcPr>
            <w:tcW w:w="4150" w:type="dxa"/>
            <w:tcBorders>
              <w:top w:val="single" w:sz="4" w:space="0" w:color="auto"/>
              <w:left w:val="single" w:sz="4" w:space="0" w:color="auto"/>
              <w:bottom w:val="single" w:sz="4" w:space="0" w:color="auto"/>
              <w:right w:val="single" w:sz="4" w:space="0" w:color="auto"/>
            </w:tcBorders>
          </w:tcPr>
          <w:p w14:paraId="0B6A3E5C" w14:textId="77777777" w:rsidR="004932B6" w:rsidRPr="001D0BB8" w:rsidRDefault="004932B6" w:rsidP="00B43672">
            <w:pPr>
              <w:rPr>
                <w:rFonts w:ascii="宋体" w:hAnsi="宋体"/>
              </w:rPr>
            </w:pPr>
            <w:r w:rsidRPr="001D0BB8">
              <w:rPr>
                <w:rFonts w:ascii="宋体" w:hAnsi="宋体" w:hint="eastAsia"/>
              </w:rPr>
              <w:t>债券利息收入</w:t>
            </w:r>
          </w:p>
        </w:tc>
        <w:tc>
          <w:tcPr>
            <w:tcW w:w="4146" w:type="dxa"/>
            <w:tcBorders>
              <w:top w:val="single" w:sz="4" w:space="0" w:color="auto"/>
              <w:left w:val="single" w:sz="4" w:space="0" w:color="auto"/>
              <w:bottom w:val="single" w:sz="4" w:space="0" w:color="auto"/>
              <w:right w:val="single" w:sz="4" w:space="0" w:color="auto"/>
            </w:tcBorders>
          </w:tcPr>
          <w:p w14:paraId="05E6F650" w14:textId="122A3BEC" w:rsidR="004932B6" w:rsidRPr="00BF751A" w:rsidRDefault="00961826" w:rsidP="004932B6">
            <w:pPr>
              <w:rPr>
                <w:rFonts w:ascii="宋体" w:hAnsi="宋体"/>
              </w:rPr>
            </w:pPr>
            <w:r>
              <w:rPr>
                <w:rFonts w:ascii="宋体" w:hAnsi="宋体" w:hint="eastAsia"/>
              </w:rPr>
              <w:t>-</w:t>
            </w:r>
          </w:p>
        </w:tc>
      </w:tr>
      <w:tr w:rsidR="004932B6" w:rsidRPr="00C80CAC" w14:paraId="6A4AE07A" w14:textId="77777777" w:rsidTr="004932B6">
        <w:tc>
          <w:tcPr>
            <w:tcW w:w="4150" w:type="dxa"/>
            <w:tcBorders>
              <w:top w:val="single" w:sz="4" w:space="0" w:color="auto"/>
              <w:left w:val="single" w:sz="4" w:space="0" w:color="auto"/>
              <w:bottom w:val="single" w:sz="4" w:space="0" w:color="auto"/>
              <w:right w:val="single" w:sz="4" w:space="0" w:color="auto"/>
            </w:tcBorders>
          </w:tcPr>
          <w:p w14:paraId="4EBE23D4" w14:textId="77777777" w:rsidR="004932B6" w:rsidRPr="00C80CAC" w:rsidRDefault="004932B6" w:rsidP="00B43672">
            <w:pPr>
              <w:rPr>
                <w:rFonts w:ascii="宋体" w:hAnsi="宋体"/>
              </w:rPr>
            </w:pPr>
            <w:r w:rsidRPr="00804ED2">
              <w:rPr>
                <w:rFonts w:ascii="宋体" w:hAnsi="宋体" w:hint="eastAsia"/>
              </w:rPr>
              <w:t>债券投资收益（损失以"-"填列）</w:t>
            </w:r>
          </w:p>
        </w:tc>
        <w:tc>
          <w:tcPr>
            <w:tcW w:w="4146" w:type="dxa"/>
            <w:tcBorders>
              <w:top w:val="single" w:sz="4" w:space="0" w:color="auto"/>
              <w:left w:val="single" w:sz="4" w:space="0" w:color="auto"/>
              <w:bottom w:val="single" w:sz="4" w:space="0" w:color="auto"/>
              <w:right w:val="single" w:sz="4" w:space="0" w:color="auto"/>
            </w:tcBorders>
          </w:tcPr>
          <w:p w14:paraId="6F715806" w14:textId="127258AF" w:rsidR="004932B6" w:rsidRPr="00BF751A" w:rsidRDefault="00961826" w:rsidP="004932B6">
            <w:pPr>
              <w:rPr>
                <w:rFonts w:ascii="宋体" w:hAnsi="宋体"/>
              </w:rPr>
            </w:pPr>
            <w:r>
              <w:rPr>
                <w:rFonts w:ascii="宋体" w:hAnsi="宋体"/>
              </w:rPr>
              <w:t>-</w:t>
            </w:r>
          </w:p>
        </w:tc>
      </w:tr>
      <w:tr w:rsidR="00615E0D" w:rsidRPr="00C80CAC" w14:paraId="14C55316" w14:textId="77777777" w:rsidTr="004932B6">
        <w:tc>
          <w:tcPr>
            <w:tcW w:w="4150" w:type="dxa"/>
            <w:tcBorders>
              <w:top w:val="single" w:sz="4" w:space="0" w:color="auto"/>
              <w:left w:val="single" w:sz="4" w:space="0" w:color="auto"/>
              <w:bottom w:val="single" w:sz="4" w:space="0" w:color="auto"/>
              <w:right w:val="single" w:sz="4" w:space="0" w:color="auto"/>
            </w:tcBorders>
          </w:tcPr>
          <w:p w14:paraId="5592A3BA" w14:textId="77777777" w:rsidR="00615E0D" w:rsidRPr="00804ED2" w:rsidRDefault="00615E0D" w:rsidP="00B43672">
            <w:pPr>
              <w:rPr>
                <w:rFonts w:ascii="宋体" w:hAnsi="宋体"/>
              </w:rPr>
            </w:pPr>
            <w:r>
              <w:rPr>
                <w:rFonts w:ascii="宋体" w:hAnsi="宋体" w:hint="eastAsia"/>
              </w:rPr>
              <w:t>股票</w:t>
            </w:r>
            <w:r w:rsidRPr="00804ED2">
              <w:rPr>
                <w:rFonts w:ascii="宋体" w:hAnsi="宋体" w:hint="eastAsia"/>
              </w:rPr>
              <w:t>投资收益（损失以"-"填列）</w:t>
            </w:r>
          </w:p>
        </w:tc>
        <w:tc>
          <w:tcPr>
            <w:tcW w:w="4146" w:type="dxa"/>
            <w:tcBorders>
              <w:top w:val="single" w:sz="4" w:space="0" w:color="auto"/>
              <w:left w:val="single" w:sz="4" w:space="0" w:color="auto"/>
              <w:bottom w:val="single" w:sz="4" w:space="0" w:color="auto"/>
              <w:right w:val="single" w:sz="4" w:space="0" w:color="auto"/>
            </w:tcBorders>
          </w:tcPr>
          <w:p w14:paraId="759FF6A0" w14:textId="4CD28465" w:rsidR="00615E0D" w:rsidRPr="00BF751A" w:rsidRDefault="00961826" w:rsidP="004932B6">
            <w:pPr>
              <w:rPr>
                <w:rFonts w:ascii="宋体" w:hAnsi="宋体"/>
              </w:rPr>
            </w:pPr>
            <w:r>
              <w:rPr>
                <w:rFonts w:ascii="宋体" w:hAnsi="宋体"/>
              </w:rPr>
              <w:t>-</w:t>
            </w:r>
          </w:p>
        </w:tc>
      </w:tr>
      <w:tr w:rsidR="004932B6" w:rsidRPr="00804ED2" w14:paraId="2FAE10F0" w14:textId="77777777" w:rsidTr="004932B6">
        <w:tc>
          <w:tcPr>
            <w:tcW w:w="4150" w:type="dxa"/>
            <w:tcBorders>
              <w:top w:val="single" w:sz="4" w:space="0" w:color="auto"/>
              <w:left w:val="single" w:sz="4" w:space="0" w:color="auto"/>
              <w:bottom w:val="single" w:sz="4" w:space="0" w:color="auto"/>
              <w:right w:val="single" w:sz="4" w:space="0" w:color="auto"/>
            </w:tcBorders>
          </w:tcPr>
          <w:p w14:paraId="71112950" w14:textId="77777777" w:rsidR="004932B6" w:rsidRPr="00804ED2" w:rsidRDefault="004932B6" w:rsidP="00B43672">
            <w:pPr>
              <w:rPr>
                <w:rFonts w:ascii="宋体" w:hAnsi="宋体"/>
              </w:rPr>
            </w:pPr>
            <w:r w:rsidRPr="00804ED2">
              <w:rPr>
                <w:rFonts w:ascii="宋体" w:hAnsi="宋体" w:hint="eastAsia"/>
              </w:rPr>
              <w:t>公允价值变动损益（损失以"-"填列）</w:t>
            </w:r>
          </w:p>
        </w:tc>
        <w:tc>
          <w:tcPr>
            <w:tcW w:w="4146" w:type="dxa"/>
            <w:tcBorders>
              <w:top w:val="single" w:sz="4" w:space="0" w:color="auto"/>
              <w:left w:val="single" w:sz="4" w:space="0" w:color="auto"/>
              <w:bottom w:val="single" w:sz="4" w:space="0" w:color="auto"/>
              <w:right w:val="single" w:sz="4" w:space="0" w:color="auto"/>
            </w:tcBorders>
          </w:tcPr>
          <w:p w14:paraId="3A6AD65A" w14:textId="432E01C4" w:rsidR="004932B6" w:rsidRPr="00BF751A" w:rsidRDefault="003B70BC" w:rsidP="00961826">
            <w:pPr>
              <w:rPr>
                <w:rFonts w:ascii="宋体" w:hAnsi="宋体"/>
              </w:rPr>
            </w:pPr>
            <w:r w:rsidRPr="00BF751A">
              <w:rPr>
                <w:rFonts w:ascii="宋体" w:hAnsi="宋体"/>
              </w:rPr>
              <w:t>-</w:t>
            </w:r>
          </w:p>
        </w:tc>
      </w:tr>
      <w:tr w:rsidR="004932B6" w:rsidRPr="00804ED2" w14:paraId="7F3AA08A" w14:textId="77777777" w:rsidTr="004932B6">
        <w:tc>
          <w:tcPr>
            <w:tcW w:w="4150" w:type="dxa"/>
            <w:tcBorders>
              <w:top w:val="single" w:sz="4" w:space="0" w:color="auto"/>
              <w:left w:val="single" w:sz="4" w:space="0" w:color="auto"/>
              <w:bottom w:val="single" w:sz="4" w:space="0" w:color="auto"/>
              <w:right w:val="single" w:sz="4" w:space="0" w:color="auto"/>
            </w:tcBorders>
          </w:tcPr>
          <w:p w14:paraId="43CCA3A6" w14:textId="77777777" w:rsidR="004932B6" w:rsidRPr="00804ED2" w:rsidRDefault="004932B6" w:rsidP="00B43672">
            <w:pPr>
              <w:rPr>
                <w:rFonts w:ascii="宋体" w:hAnsi="宋体"/>
              </w:rPr>
            </w:pPr>
            <w:r w:rsidRPr="00804ED2">
              <w:rPr>
                <w:rFonts w:ascii="宋体" w:hAnsi="宋体" w:hint="eastAsia"/>
              </w:rPr>
              <w:t>其他收入（损失以"-"填列）</w:t>
            </w:r>
          </w:p>
        </w:tc>
        <w:tc>
          <w:tcPr>
            <w:tcW w:w="4146" w:type="dxa"/>
            <w:tcBorders>
              <w:top w:val="single" w:sz="4" w:space="0" w:color="auto"/>
              <w:left w:val="single" w:sz="4" w:space="0" w:color="auto"/>
              <w:bottom w:val="single" w:sz="4" w:space="0" w:color="auto"/>
              <w:right w:val="single" w:sz="4" w:space="0" w:color="auto"/>
            </w:tcBorders>
          </w:tcPr>
          <w:p w14:paraId="1CAEF6B1" w14:textId="7D091446" w:rsidR="004932B6" w:rsidRPr="00BF751A" w:rsidRDefault="008F3C4A" w:rsidP="004932B6">
            <w:pPr>
              <w:rPr>
                <w:rFonts w:ascii="宋体" w:hAnsi="宋体"/>
              </w:rPr>
            </w:pPr>
            <w:r>
              <w:rPr>
                <w:rFonts w:ascii="宋体" w:hAnsi="宋体"/>
              </w:rPr>
              <w:t>41.70</w:t>
            </w:r>
          </w:p>
        </w:tc>
      </w:tr>
      <w:tr w:rsidR="004932B6" w:rsidRPr="0085735E" w14:paraId="07CE3216" w14:textId="77777777" w:rsidTr="004932B6">
        <w:tc>
          <w:tcPr>
            <w:tcW w:w="4150" w:type="dxa"/>
            <w:tcBorders>
              <w:top w:val="single" w:sz="4" w:space="0" w:color="auto"/>
              <w:left w:val="single" w:sz="4" w:space="0" w:color="auto"/>
              <w:bottom w:val="single" w:sz="4" w:space="0" w:color="auto"/>
              <w:right w:val="single" w:sz="4" w:space="0" w:color="auto"/>
            </w:tcBorders>
          </w:tcPr>
          <w:p w14:paraId="072DCFD6" w14:textId="77777777" w:rsidR="004932B6" w:rsidRPr="004932B6" w:rsidRDefault="004932B6" w:rsidP="00B43672">
            <w:pPr>
              <w:rPr>
                <w:rFonts w:ascii="宋体" w:hAnsi="宋体"/>
              </w:rPr>
            </w:pPr>
            <w:r w:rsidRPr="00CF69E3">
              <w:rPr>
                <w:rFonts w:ascii="宋体" w:hAnsi="宋体" w:hint="eastAsia"/>
              </w:rPr>
              <w:t>清算收入小计（</w:t>
            </w:r>
            <w:r w:rsidRPr="00CF69E3">
              <w:rPr>
                <w:rFonts w:ascii="宋体" w:hAnsi="宋体"/>
              </w:rPr>
              <w:t>1</w:t>
            </w:r>
            <w:r w:rsidRPr="00CF69E3">
              <w:rPr>
                <w:rFonts w:ascii="宋体" w:hAnsi="宋体" w:hint="eastAsia"/>
              </w:rPr>
              <w:t>）</w:t>
            </w:r>
          </w:p>
        </w:tc>
        <w:tc>
          <w:tcPr>
            <w:tcW w:w="4146" w:type="dxa"/>
            <w:tcBorders>
              <w:top w:val="single" w:sz="4" w:space="0" w:color="auto"/>
              <w:left w:val="single" w:sz="4" w:space="0" w:color="auto"/>
              <w:bottom w:val="single" w:sz="4" w:space="0" w:color="auto"/>
              <w:right w:val="single" w:sz="4" w:space="0" w:color="auto"/>
            </w:tcBorders>
          </w:tcPr>
          <w:p w14:paraId="038B0868" w14:textId="27D8A52A" w:rsidR="004932B6" w:rsidRPr="00BF751A" w:rsidRDefault="00721637" w:rsidP="004932B6">
            <w:pPr>
              <w:rPr>
                <w:rFonts w:ascii="宋体" w:hAnsi="宋体"/>
              </w:rPr>
            </w:pPr>
            <w:r w:rsidRPr="00721637">
              <w:rPr>
                <w:rFonts w:ascii="宋体" w:hAnsi="宋体"/>
              </w:rPr>
              <w:t>9,192.13</w:t>
            </w:r>
          </w:p>
        </w:tc>
      </w:tr>
      <w:tr w:rsidR="004932B6" w14:paraId="695D341E" w14:textId="77777777" w:rsidTr="004932B6">
        <w:tc>
          <w:tcPr>
            <w:tcW w:w="4150" w:type="dxa"/>
            <w:tcBorders>
              <w:top w:val="single" w:sz="4" w:space="0" w:color="auto"/>
              <w:left w:val="single" w:sz="4" w:space="0" w:color="auto"/>
              <w:bottom w:val="single" w:sz="4" w:space="0" w:color="auto"/>
              <w:right w:val="single" w:sz="4" w:space="0" w:color="auto"/>
            </w:tcBorders>
          </w:tcPr>
          <w:p w14:paraId="0C64213B" w14:textId="77777777" w:rsidR="004932B6" w:rsidRPr="00CF69E3" w:rsidRDefault="004932B6" w:rsidP="00B43672">
            <w:pPr>
              <w:rPr>
                <w:rFonts w:ascii="宋体" w:hAnsi="宋体"/>
              </w:rPr>
            </w:pPr>
          </w:p>
        </w:tc>
        <w:tc>
          <w:tcPr>
            <w:tcW w:w="4146" w:type="dxa"/>
            <w:tcBorders>
              <w:top w:val="single" w:sz="4" w:space="0" w:color="auto"/>
              <w:left w:val="single" w:sz="4" w:space="0" w:color="auto"/>
              <w:bottom w:val="single" w:sz="4" w:space="0" w:color="auto"/>
              <w:right w:val="single" w:sz="4" w:space="0" w:color="auto"/>
            </w:tcBorders>
          </w:tcPr>
          <w:p w14:paraId="785B807D" w14:textId="77777777" w:rsidR="004932B6" w:rsidRPr="00BF751A" w:rsidRDefault="004932B6" w:rsidP="004932B6">
            <w:pPr>
              <w:rPr>
                <w:rFonts w:ascii="宋体" w:hAnsi="宋体"/>
              </w:rPr>
            </w:pPr>
          </w:p>
        </w:tc>
      </w:tr>
      <w:tr w:rsidR="004932B6" w:rsidRPr="0085735E" w14:paraId="5E702347" w14:textId="77777777" w:rsidTr="004932B6">
        <w:tc>
          <w:tcPr>
            <w:tcW w:w="4150" w:type="dxa"/>
            <w:tcBorders>
              <w:top w:val="single" w:sz="4" w:space="0" w:color="auto"/>
              <w:left w:val="single" w:sz="4" w:space="0" w:color="auto"/>
              <w:bottom w:val="single" w:sz="4" w:space="0" w:color="auto"/>
              <w:right w:val="single" w:sz="4" w:space="0" w:color="auto"/>
            </w:tcBorders>
          </w:tcPr>
          <w:p w14:paraId="37A554B7" w14:textId="77777777" w:rsidR="004932B6" w:rsidRPr="004932B6" w:rsidRDefault="004932B6" w:rsidP="00B43672">
            <w:pPr>
              <w:rPr>
                <w:rFonts w:ascii="宋体" w:hAnsi="宋体"/>
              </w:rPr>
            </w:pPr>
            <w:r w:rsidRPr="00CF69E3">
              <w:rPr>
                <w:rFonts w:ascii="宋体" w:hAnsi="宋体" w:hint="eastAsia"/>
              </w:rPr>
              <w:t>二、清算费用</w:t>
            </w:r>
          </w:p>
        </w:tc>
        <w:tc>
          <w:tcPr>
            <w:tcW w:w="4146" w:type="dxa"/>
            <w:tcBorders>
              <w:top w:val="single" w:sz="4" w:space="0" w:color="auto"/>
              <w:left w:val="single" w:sz="4" w:space="0" w:color="auto"/>
              <w:bottom w:val="single" w:sz="4" w:space="0" w:color="auto"/>
              <w:right w:val="single" w:sz="4" w:space="0" w:color="auto"/>
            </w:tcBorders>
          </w:tcPr>
          <w:p w14:paraId="5CAFC6F2" w14:textId="77777777" w:rsidR="004932B6" w:rsidRPr="00BF751A" w:rsidRDefault="004932B6" w:rsidP="004932B6">
            <w:pPr>
              <w:rPr>
                <w:rFonts w:ascii="宋体" w:hAnsi="宋体"/>
              </w:rPr>
            </w:pPr>
          </w:p>
        </w:tc>
      </w:tr>
      <w:tr w:rsidR="004932B6" w:rsidRPr="0085735E" w14:paraId="7F399E09" w14:textId="77777777" w:rsidTr="004932B6">
        <w:tc>
          <w:tcPr>
            <w:tcW w:w="4150" w:type="dxa"/>
            <w:tcBorders>
              <w:top w:val="single" w:sz="4" w:space="0" w:color="auto"/>
              <w:left w:val="single" w:sz="4" w:space="0" w:color="auto"/>
              <w:bottom w:val="single" w:sz="4" w:space="0" w:color="auto"/>
              <w:right w:val="single" w:sz="4" w:space="0" w:color="auto"/>
            </w:tcBorders>
          </w:tcPr>
          <w:p w14:paraId="0F06542E" w14:textId="77777777" w:rsidR="004932B6" w:rsidRPr="004932B6" w:rsidRDefault="004932B6" w:rsidP="00B43672">
            <w:pPr>
              <w:rPr>
                <w:rFonts w:ascii="宋体" w:hAnsi="宋体"/>
              </w:rPr>
            </w:pPr>
            <w:r w:rsidRPr="00CF69E3">
              <w:rPr>
                <w:rFonts w:ascii="宋体" w:hAnsi="宋体" w:hint="eastAsia"/>
              </w:rPr>
              <w:t>银行划款手续费</w:t>
            </w:r>
          </w:p>
        </w:tc>
        <w:tc>
          <w:tcPr>
            <w:tcW w:w="4146" w:type="dxa"/>
            <w:tcBorders>
              <w:top w:val="single" w:sz="4" w:space="0" w:color="auto"/>
              <w:left w:val="single" w:sz="4" w:space="0" w:color="auto"/>
              <w:bottom w:val="single" w:sz="4" w:space="0" w:color="auto"/>
              <w:right w:val="single" w:sz="4" w:space="0" w:color="auto"/>
            </w:tcBorders>
          </w:tcPr>
          <w:p w14:paraId="00D82615" w14:textId="3D451007" w:rsidR="004932B6" w:rsidRPr="00BF751A" w:rsidRDefault="004932B6" w:rsidP="004932B6">
            <w:pPr>
              <w:rPr>
                <w:rFonts w:ascii="宋体" w:hAnsi="宋体"/>
              </w:rPr>
            </w:pPr>
          </w:p>
        </w:tc>
      </w:tr>
      <w:tr w:rsidR="004932B6" w14:paraId="4EC73A8C" w14:textId="77777777" w:rsidTr="004932B6">
        <w:tc>
          <w:tcPr>
            <w:tcW w:w="4150" w:type="dxa"/>
            <w:tcBorders>
              <w:top w:val="single" w:sz="4" w:space="0" w:color="auto"/>
              <w:left w:val="single" w:sz="4" w:space="0" w:color="auto"/>
              <w:bottom w:val="single" w:sz="4" w:space="0" w:color="auto"/>
              <w:right w:val="single" w:sz="4" w:space="0" w:color="auto"/>
            </w:tcBorders>
          </w:tcPr>
          <w:p w14:paraId="6070B821" w14:textId="77777777" w:rsidR="004932B6" w:rsidRPr="00CF69E3" w:rsidRDefault="004932B6" w:rsidP="00B43672">
            <w:pPr>
              <w:rPr>
                <w:rFonts w:ascii="宋体" w:hAnsi="宋体"/>
              </w:rPr>
            </w:pPr>
            <w:r w:rsidRPr="00804ED2">
              <w:rPr>
                <w:rFonts w:ascii="宋体" w:hAnsi="宋体" w:hint="eastAsia"/>
              </w:rPr>
              <w:t>交易费用</w:t>
            </w:r>
          </w:p>
        </w:tc>
        <w:tc>
          <w:tcPr>
            <w:tcW w:w="4146" w:type="dxa"/>
            <w:tcBorders>
              <w:top w:val="single" w:sz="4" w:space="0" w:color="auto"/>
              <w:left w:val="single" w:sz="4" w:space="0" w:color="auto"/>
              <w:bottom w:val="single" w:sz="4" w:space="0" w:color="auto"/>
              <w:right w:val="single" w:sz="4" w:space="0" w:color="auto"/>
            </w:tcBorders>
          </w:tcPr>
          <w:p w14:paraId="5F54AEEA" w14:textId="233AD5F7" w:rsidR="004932B6" w:rsidRPr="00BF751A" w:rsidRDefault="00961826" w:rsidP="004932B6">
            <w:pPr>
              <w:rPr>
                <w:rFonts w:ascii="宋体" w:hAnsi="宋体"/>
              </w:rPr>
            </w:pPr>
            <w:r>
              <w:rPr>
                <w:rFonts w:ascii="宋体" w:hAnsi="宋体"/>
              </w:rPr>
              <w:t>-</w:t>
            </w:r>
          </w:p>
        </w:tc>
      </w:tr>
      <w:tr w:rsidR="004932B6" w14:paraId="1BD4DD64" w14:textId="77777777" w:rsidTr="004932B6">
        <w:tc>
          <w:tcPr>
            <w:tcW w:w="4150" w:type="dxa"/>
            <w:tcBorders>
              <w:top w:val="single" w:sz="4" w:space="0" w:color="auto"/>
              <w:left w:val="single" w:sz="4" w:space="0" w:color="auto"/>
              <w:bottom w:val="single" w:sz="4" w:space="0" w:color="auto"/>
              <w:right w:val="single" w:sz="4" w:space="0" w:color="auto"/>
            </w:tcBorders>
          </w:tcPr>
          <w:p w14:paraId="4C1DEA25" w14:textId="77777777" w:rsidR="004932B6" w:rsidRPr="00804ED2" w:rsidRDefault="004932B6" w:rsidP="00B43672">
            <w:pPr>
              <w:rPr>
                <w:rFonts w:ascii="宋体" w:hAnsi="宋体"/>
              </w:rPr>
            </w:pPr>
            <w:r w:rsidRPr="00804ED2">
              <w:rPr>
                <w:rFonts w:ascii="宋体" w:hAnsi="宋体" w:hint="eastAsia"/>
              </w:rPr>
              <w:t>其他费用</w:t>
            </w:r>
          </w:p>
        </w:tc>
        <w:tc>
          <w:tcPr>
            <w:tcW w:w="4146" w:type="dxa"/>
            <w:tcBorders>
              <w:top w:val="single" w:sz="4" w:space="0" w:color="auto"/>
              <w:left w:val="single" w:sz="4" w:space="0" w:color="auto"/>
              <w:bottom w:val="single" w:sz="4" w:space="0" w:color="auto"/>
              <w:right w:val="single" w:sz="4" w:space="0" w:color="auto"/>
            </w:tcBorders>
          </w:tcPr>
          <w:p w14:paraId="32AC6CC0" w14:textId="40567AFF" w:rsidR="004932B6" w:rsidRPr="00BF751A" w:rsidRDefault="00B31785">
            <w:pPr>
              <w:rPr>
                <w:rFonts w:ascii="宋体" w:hAnsi="宋体"/>
              </w:rPr>
            </w:pPr>
            <w:r>
              <w:rPr>
                <w:rFonts w:ascii="宋体" w:hAnsi="宋体"/>
              </w:rPr>
              <w:t>-</w:t>
            </w:r>
          </w:p>
        </w:tc>
      </w:tr>
      <w:tr w:rsidR="00B31785" w14:paraId="2C21B89F" w14:textId="77777777" w:rsidTr="004932B6">
        <w:tc>
          <w:tcPr>
            <w:tcW w:w="4150" w:type="dxa"/>
            <w:tcBorders>
              <w:top w:val="single" w:sz="4" w:space="0" w:color="auto"/>
              <w:left w:val="single" w:sz="4" w:space="0" w:color="auto"/>
              <w:bottom w:val="single" w:sz="4" w:space="0" w:color="auto"/>
              <w:right w:val="single" w:sz="4" w:space="0" w:color="auto"/>
            </w:tcBorders>
          </w:tcPr>
          <w:p w14:paraId="797B716F" w14:textId="21534B67" w:rsidR="00B31785" w:rsidRPr="00804ED2" w:rsidRDefault="00B31785" w:rsidP="00B43672">
            <w:pPr>
              <w:rPr>
                <w:rFonts w:ascii="宋体" w:hAnsi="宋体"/>
              </w:rPr>
            </w:pPr>
            <w:r w:rsidRPr="00804ED2">
              <w:rPr>
                <w:rFonts w:ascii="宋体" w:hAnsi="宋体" w:hint="eastAsia"/>
              </w:rPr>
              <w:t>其他费用</w:t>
            </w:r>
            <w:r>
              <w:rPr>
                <w:rFonts w:ascii="宋体" w:hAnsi="宋体" w:hint="eastAsia"/>
              </w:rPr>
              <w:t>（</w:t>
            </w:r>
            <w:r>
              <w:rPr>
                <w:rFonts w:ascii="宋体" w:hAnsi="宋体"/>
              </w:rPr>
              <w:t>注</w:t>
            </w:r>
            <w:r>
              <w:rPr>
                <w:rFonts w:ascii="宋体" w:hAnsi="宋体" w:hint="eastAsia"/>
              </w:rPr>
              <w:t>2）</w:t>
            </w:r>
          </w:p>
        </w:tc>
        <w:tc>
          <w:tcPr>
            <w:tcW w:w="4146" w:type="dxa"/>
            <w:tcBorders>
              <w:top w:val="single" w:sz="4" w:space="0" w:color="auto"/>
              <w:left w:val="single" w:sz="4" w:space="0" w:color="auto"/>
              <w:bottom w:val="single" w:sz="4" w:space="0" w:color="auto"/>
              <w:right w:val="single" w:sz="4" w:space="0" w:color="auto"/>
            </w:tcBorders>
          </w:tcPr>
          <w:p w14:paraId="0FBBA125" w14:textId="1D84B93B" w:rsidR="00B31785" w:rsidRDefault="008F3C4A">
            <w:pPr>
              <w:rPr>
                <w:rFonts w:ascii="宋体" w:hAnsi="宋体"/>
              </w:rPr>
            </w:pPr>
            <w:r>
              <w:rPr>
                <w:rFonts w:ascii="宋体" w:hAnsi="宋体"/>
              </w:rPr>
              <w:t>653.33</w:t>
            </w:r>
          </w:p>
        </w:tc>
      </w:tr>
      <w:tr w:rsidR="004932B6" w:rsidRPr="0085735E" w14:paraId="0D80026B" w14:textId="77777777" w:rsidTr="004932B6">
        <w:tc>
          <w:tcPr>
            <w:tcW w:w="4150" w:type="dxa"/>
            <w:tcBorders>
              <w:top w:val="single" w:sz="4" w:space="0" w:color="auto"/>
              <w:left w:val="single" w:sz="4" w:space="0" w:color="auto"/>
              <w:bottom w:val="single" w:sz="4" w:space="0" w:color="auto"/>
              <w:right w:val="single" w:sz="4" w:space="0" w:color="auto"/>
            </w:tcBorders>
          </w:tcPr>
          <w:p w14:paraId="503DFE6C" w14:textId="77777777" w:rsidR="004932B6" w:rsidRPr="004932B6" w:rsidRDefault="004932B6" w:rsidP="00B43672">
            <w:pPr>
              <w:rPr>
                <w:rFonts w:ascii="宋体" w:hAnsi="宋体"/>
              </w:rPr>
            </w:pPr>
            <w:r w:rsidRPr="00CF69E3">
              <w:rPr>
                <w:rFonts w:ascii="宋体" w:hAnsi="宋体" w:hint="eastAsia"/>
              </w:rPr>
              <w:t>清算费用小计（</w:t>
            </w:r>
            <w:r w:rsidRPr="00CF69E3">
              <w:rPr>
                <w:rFonts w:ascii="宋体" w:hAnsi="宋体"/>
              </w:rPr>
              <w:t>2</w:t>
            </w:r>
            <w:r w:rsidRPr="00CF69E3">
              <w:rPr>
                <w:rFonts w:ascii="宋体" w:hAnsi="宋体" w:hint="eastAsia"/>
              </w:rPr>
              <w:t>）</w:t>
            </w:r>
          </w:p>
        </w:tc>
        <w:tc>
          <w:tcPr>
            <w:tcW w:w="4146" w:type="dxa"/>
            <w:tcBorders>
              <w:top w:val="single" w:sz="4" w:space="0" w:color="auto"/>
              <w:left w:val="single" w:sz="4" w:space="0" w:color="auto"/>
              <w:bottom w:val="single" w:sz="4" w:space="0" w:color="auto"/>
              <w:right w:val="single" w:sz="4" w:space="0" w:color="auto"/>
            </w:tcBorders>
          </w:tcPr>
          <w:p w14:paraId="75565ECE" w14:textId="07C2DA5D" w:rsidR="004932B6" w:rsidRPr="00BF751A" w:rsidRDefault="008F3C4A" w:rsidP="004932B6">
            <w:pPr>
              <w:rPr>
                <w:rFonts w:ascii="宋体" w:hAnsi="宋体"/>
              </w:rPr>
            </w:pPr>
            <w:r>
              <w:rPr>
                <w:rFonts w:ascii="宋体" w:hAnsi="宋体"/>
              </w:rPr>
              <w:t>653.33</w:t>
            </w:r>
          </w:p>
        </w:tc>
      </w:tr>
      <w:tr w:rsidR="004932B6" w:rsidRPr="00F82732" w14:paraId="496C2DB3" w14:textId="77777777" w:rsidTr="00721637">
        <w:trPr>
          <w:trHeight w:val="207"/>
        </w:trPr>
        <w:tc>
          <w:tcPr>
            <w:tcW w:w="4150" w:type="dxa"/>
            <w:tcBorders>
              <w:top w:val="single" w:sz="4" w:space="0" w:color="auto"/>
              <w:left w:val="single" w:sz="4" w:space="0" w:color="auto"/>
              <w:bottom w:val="single" w:sz="4" w:space="0" w:color="auto"/>
              <w:right w:val="single" w:sz="4" w:space="0" w:color="auto"/>
            </w:tcBorders>
          </w:tcPr>
          <w:p w14:paraId="02E986D6" w14:textId="77777777" w:rsidR="004932B6" w:rsidRPr="004932B6" w:rsidRDefault="004932B6" w:rsidP="00B43672">
            <w:pPr>
              <w:rPr>
                <w:rFonts w:ascii="宋体" w:hAnsi="宋体"/>
              </w:rPr>
            </w:pPr>
            <w:r w:rsidRPr="00CF69E3">
              <w:rPr>
                <w:rFonts w:ascii="宋体" w:hAnsi="宋体" w:hint="eastAsia"/>
              </w:rPr>
              <w:t>三、清算净收益（</w:t>
            </w:r>
            <w:r w:rsidRPr="00CF69E3">
              <w:rPr>
                <w:rFonts w:ascii="宋体" w:hAnsi="宋体"/>
              </w:rPr>
              <w:t>1</w:t>
            </w:r>
            <w:r w:rsidRPr="00CF69E3">
              <w:rPr>
                <w:rFonts w:ascii="宋体" w:hAnsi="宋体" w:hint="eastAsia"/>
              </w:rPr>
              <w:t>）</w:t>
            </w:r>
            <w:r w:rsidRPr="00CF69E3">
              <w:rPr>
                <w:rFonts w:ascii="宋体" w:hAnsi="宋体"/>
              </w:rPr>
              <w:t>-</w:t>
            </w:r>
            <w:r w:rsidRPr="00CF69E3">
              <w:rPr>
                <w:rFonts w:ascii="宋体" w:hAnsi="宋体" w:hint="eastAsia"/>
              </w:rPr>
              <w:t>（</w:t>
            </w:r>
            <w:r w:rsidRPr="00CF69E3">
              <w:rPr>
                <w:rFonts w:ascii="宋体" w:hAnsi="宋体"/>
              </w:rPr>
              <w:t>2</w:t>
            </w:r>
            <w:r w:rsidRPr="00CF69E3">
              <w:rPr>
                <w:rFonts w:ascii="宋体" w:hAnsi="宋体" w:hint="eastAsia"/>
              </w:rPr>
              <w:t>）</w:t>
            </w:r>
          </w:p>
        </w:tc>
        <w:tc>
          <w:tcPr>
            <w:tcW w:w="4146" w:type="dxa"/>
            <w:tcBorders>
              <w:top w:val="single" w:sz="4" w:space="0" w:color="auto"/>
              <w:left w:val="single" w:sz="4" w:space="0" w:color="auto"/>
              <w:bottom w:val="single" w:sz="4" w:space="0" w:color="auto"/>
              <w:right w:val="single" w:sz="4" w:space="0" w:color="auto"/>
            </w:tcBorders>
          </w:tcPr>
          <w:p w14:paraId="53E6698D" w14:textId="593FD1AA" w:rsidR="004932B6" w:rsidRPr="00BF751A" w:rsidRDefault="00721637" w:rsidP="004932B6">
            <w:pPr>
              <w:rPr>
                <w:rFonts w:ascii="宋体" w:hAnsi="宋体"/>
              </w:rPr>
            </w:pPr>
            <w:r w:rsidRPr="00721637">
              <w:rPr>
                <w:rFonts w:ascii="宋体" w:hAnsi="宋体"/>
              </w:rPr>
              <w:t>8,538.80</w:t>
            </w:r>
          </w:p>
        </w:tc>
      </w:tr>
    </w:tbl>
    <w:p w14:paraId="6B7A577A" w14:textId="1739786B" w:rsidR="00BF751A" w:rsidRDefault="00D33914" w:rsidP="00D33914">
      <w:pPr>
        <w:rPr>
          <w:rFonts w:ascii="宋体"/>
        </w:rPr>
      </w:pPr>
      <w:r w:rsidRPr="00D33914">
        <w:rPr>
          <w:rFonts w:ascii="宋体" w:hint="eastAsia"/>
        </w:rPr>
        <w:t>注</w:t>
      </w:r>
      <w:r w:rsidR="00BF751A">
        <w:rPr>
          <w:rFonts w:ascii="宋体" w:hint="eastAsia"/>
        </w:rPr>
        <w:t>:</w:t>
      </w:r>
      <w:r w:rsidR="00BF751A" w:rsidRPr="00BF751A">
        <w:rPr>
          <w:rFonts w:hint="eastAsia"/>
        </w:rPr>
        <w:t xml:space="preserve"> </w:t>
      </w:r>
      <w:r w:rsidR="00BF751A" w:rsidRPr="00BF751A">
        <w:rPr>
          <w:rFonts w:ascii="宋体" w:hint="eastAsia"/>
        </w:rPr>
        <w:t>上表所有的收入金额数据为包含了</w:t>
      </w:r>
      <w:r w:rsidR="0071415F">
        <w:rPr>
          <w:rFonts w:ascii="宋体"/>
        </w:rPr>
        <w:t>2018</w:t>
      </w:r>
      <w:r w:rsidR="0071415F">
        <w:rPr>
          <w:rFonts w:ascii="宋体" w:hint="eastAsia"/>
        </w:rPr>
        <w:t>年</w:t>
      </w:r>
      <w:r w:rsidR="0071415F">
        <w:rPr>
          <w:rFonts w:ascii="宋体"/>
        </w:rPr>
        <w:t>9</w:t>
      </w:r>
      <w:r w:rsidR="00B7536D">
        <w:rPr>
          <w:rFonts w:ascii="宋体" w:hint="eastAsia"/>
        </w:rPr>
        <w:t>月</w:t>
      </w:r>
      <w:r w:rsidR="0071415F">
        <w:rPr>
          <w:rFonts w:ascii="宋体"/>
        </w:rPr>
        <w:t>2</w:t>
      </w:r>
      <w:r w:rsidR="008F3C4A">
        <w:rPr>
          <w:rFonts w:ascii="宋体"/>
        </w:rPr>
        <w:t>6</w:t>
      </w:r>
      <w:r w:rsidR="00B7536D">
        <w:rPr>
          <w:rFonts w:ascii="宋体" w:hint="eastAsia"/>
        </w:rPr>
        <w:t>日至</w:t>
      </w:r>
      <w:r w:rsidR="0071415F">
        <w:rPr>
          <w:rFonts w:ascii="宋体"/>
        </w:rPr>
        <w:t>2018</w:t>
      </w:r>
      <w:r w:rsidR="0071415F">
        <w:rPr>
          <w:rFonts w:ascii="宋体" w:hint="eastAsia"/>
        </w:rPr>
        <w:t>年</w:t>
      </w:r>
      <w:r w:rsidR="0071415F">
        <w:rPr>
          <w:rFonts w:ascii="宋体"/>
        </w:rPr>
        <w:t>11</w:t>
      </w:r>
      <w:r w:rsidR="00B7536D">
        <w:rPr>
          <w:rFonts w:ascii="宋体" w:hint="eastAsia"/>
        </w:rPr>
        <w:t>月</w:t>
      </w:r>
      <w:r w:rsidR="0071415F">
        <w:rPr>
          <w:rFonts w:ascii="宋体"/>
        </w:rPr>
        <w:t>6</w:t>
      </w:r>
      <w:r w:rsidR="00B7536D">
        <w:rPr>
          <w:rFonts w:ascii="宋体" w:hint="eastAsia"/>
        </w:rPr>
        <w:t>日</w:t>
      </w:r>
      <w:r w:rsidR="00BF751A" w:rsidRPr="00BF751A">
        <w:rPr>
          <w:rFonts w:ascii="宋体" w:hint="eastAsia"/>
        </w:rPr>
        <w:t>的数据</w:t>
      </w:r>
      <w:r w:rsidR="00B7536D">
        <w:rPr>
          <w:rFonts w:ascii="宋体" w:hint="eastAsia"/>
        </w:rPr>
        <w:t>。</w:t>
      </w:r>
    </w:p>
    <w:p w14:paraId="562216F3" w14:textId="205C544D" w:rsidR="00D33914" w:rsidRDefault="00D33914" w:rsidP="00D33914">
      <w:pPr>
        <w:rPr>
          <w:rFonts w:ascii="宋体"/>
        </w:rPr>
      </w:pPr>
      <w:r w:rsidRPr="00D33914">
        <w:rPr>
          <w:rFonts w:ascii="宋体" w:hint="eastAsia"/>
        </w:rPr>
        <w:t>1：利息收入系计提的自</w:t>
      </w:r>
      <w:r w:rsidR="0071415F">
        <w:rPr>
          <w:rFonts w:ascii="宋体" w:hint="eastAsia"/>
        </w:rPr>
        <w:t>201</w:t>
      </w:r>
      <w:r w:rsidR="0071415F">
        <w:rPr>
          <w:rFonts w:ascii="宋体"/>
        </w:rPr>
        <w:t>8</w:t>
      </w:r>
      <w:r w:rsidR="0071415F" w:rsidRPr="00D33914">
        <w:rPr>
          <w:rFonts w:ascii="宋体" w:hint="eastAsia"/>
        </w:rPr>
        <w:t>年</w:t>
      </w:r>
      <w:r w:rsidR="0071415F">
        <w:rPr>
          <w:rFonts w:ascii="宋体"/>
        </w:rPr>
        <w:t>9</w:t>
      </w:r>
      <w:r w:rsidRPr="00D33914">
        <w:rPr>
          <w:rFonts w:ascii="宋体" w:hint="eastAsia"/>
        </w:rPr>
        <w:t>月</w:t>
      </w:r>
      <w:r w:rsidR="0071415F">
        <w:rPr>
          <w:rFonts w:ascii="宋体"/>
        </w:rPr>
        <w:t>2</w:t>
      </w:r>
      <w:r w:rsidR="008F3C4A">
        <w:rPr>
          <w:rFonts w:ascii="宋体"/>
        </w:rPr>
        <w:t>6</w:t>
      </w:r>
      <w:r w:rsidRPr="00D33914">
        <w:rPr>
          <w:rFonts w:ascii="宋体" w:hint="eastAsia"/>
        </w:rPr>
        <w:t>日至</w:t>
      </w:r>
      <w:r w:rsidR="0071415F">
        <w:rPr>
          <w:rFonts w:ascii="宋体" w:hint="eastAsia"/>
        </w:rPr>
        <w:t>201</w:t>
      </w:r>
      <w:r w:rsidR="0071415F">
        <w:rPr>
          <w:rFonts w:ascii="宋体"/>
        </w:rPr>
        <w:t>8</w:t>
      </w:r>
      <w:r w:rsidR="0071415F" w:rsidRPr="00D33914">
        <w:rPr>
          <w:rFonts w:ascii="宋体" w:hint="eastAsia"/>
        </w:rPr>
        <w:t>年</w:t>
      </w:r>
      <w:r w:rsidR="0071415F">
        <w:rPr>
          <w:rFonts w:ascii="宋体"/>
        </w:rPr>
        <w:t>11</w:t>
      </w:r>
      <w:r w:rsidRPr="00D33914">
        <w:rPr>
          <w:rFonts w:ascii="宋体" w:hint="eastAsia"/>
        </w:rPr>
        <w:t>月</w:t>
      </w:r>
      <w:r w:rsidR="0071415F">
        <w:rPr>
          <w:rFonts w:ascii="宋体"/>
        </w:rPr>
        <w:t>6</w:t>
      </w:r>
      <w:r w:rsidRPr="00D33914">
        <w:rPr>
          <w:rFonts w:ascii="宋体" w:hint="eastAsia"/>
        </w:rPr>
        <w:t>日</w:t>
      </w:r>
      <w:proofErr w:type="gramStart"/>
      <w:r w:rsidRPr="00D33914">
        <w:rPr>
          <w:rFonts w:ascii="宋体" w:hint="eastAsia"/>
        </w:rPr>
        <w:t>止</w:t>
      </w:r>
      <w:proofErr w:type="gramEnd"/>
      <w:r w:rsidRPr="00D33914">
        <w:rPr>
          <w:rFonts w:ascii="宋体" w:hint="eastAsia"/>
        </w:rPr>
        <w:t>清算期间的银行存款利息</w:t>
      </w:r>
      <w:r w:rsidR="00322DB3">
        <w:rPr>
          <w:rFonts w:ascii="宋体" w:hint="eastAsia"/>
        </w:rPr>
        <w:t>收入</w:t>
      </w:r>
      <w:r w:rsidR="004B0EB0">
        <w:rPr>
          <w:rFonts w:ascii="宋体" w:hint="eastAsia"/>
        </w:rPr>
        <w:t>、</w:t>
      </w:r>
      <w:r w:rsidR="004B0EB0">
        <w:rPr>
          <w:rFonts w:hint="eastAsia"/>
        </w:rPr>
        <w:t>清算备付金</w:t>
      </w:r>
      <w:r w:rsidR="004B0EB0">
        <w:t>利息收入</w:t>
      </w:r>
      <w:r w:rsidRPr="000D5DE1">
        <w:rPr>
          <w:rFonts w:ascii="宋体" w:hint="eastAsia"/>
        </w:rPr>
        <w:t>和存出保证金利息</w:t>
      </w:r>
      <w:r w:rsidR="00322DB3">
        <w:rPr>
          <w:rFonts w:ascii="宋体" w:hint="eastAsia"/>
        </w:rPr>
        <w:t>收入</w:t>
      </w:r>
      <w:r w:rsidRPr="000D5DE1">
        <w:rPr>
          <w:rFonts w:ascii="宋体" w:hint="eastAsia"/>
        </w:rPr>
        <w:t>。</w:t>
      </w:r>
    </w:p>
    <w:p w14:paraId="72B49225" w14:textId="4C59A6A7" w:rsidR="00B31785" w:rsidRPr="00B31785" w:rsidRDefault="00B31785" w:rsidP="00D33914">
      <w:pPr>
        <w:rPr>
          <w:rFonts w:ascii="宋体"/>
        </w:rPr>
      </w:pPr>
      <w:r>
        <w:rPr>
          <w:rFonts w:ascii="宋体" w:hint="eastAsia"/>
        </w:rPr>
        <w:t>2：</w:t>
      </w:r>
      <w:r>
        <w:rPr>
          <w:rFonts w:ascii="宋体"/>
        </w:rPr>
        <w:t>其他费用</w:t>
      </w:r>
      <w:r>
        <w:rPr>
          <w:rFonts w:ascii="宋体" w:hAnsi="宋体" w:hint="eastAsia"/>
        </w:rPr>
        <w:t>（</w:t>
      </w:r>
      <w:r>
        <w:rPr>
          <w:rFonts w:ascii="宋体" w:hAnsi="宋体"/>
        </w:rPr>
        <w:t>注</w:t>
      </w:r>
      <w:r>
        <w:rPr>
          <w:rFonts w:ascii="宋体" w:hAnsi="宋体" w:hint="eastAsia"/>
        </w:rPr>
        <w:t>2）</w:t>
      </w:r>
      <w:r>
        <w:rPr>
          <w:rFonts w:ascii="宋体" w:hint="eastAsia"/>
        </w:rPr>
        <w:t>人民币</w:t>
      </w:r>
      <w:r w:rsidR="008F3C4A">
        <w:rPr>
          <w:rFonts w:ascii="宋体" w:hAnsi="宋体"/>
        </w:rPr>
        <w:t>653</w:t>
      </w:r>
      <w:r w:rsidRPr="00B31785">
        <w:rPr>
          <w:rFonts w:ascii="宋体" w:hAnsi="宋体"/>
        </w:rPr>
        <w:t>.</w:t>
      </w:r>
      <w:r w:rsidR="008F3C4A">
        <w:rPr>
          <w:rFonts w:ascii="宋体" w:hAnsi="宋体"/>
        </w:rPr>
        <w:t>33</w:t>
      </w:r>
      <w:r>
        <w:rPr>
          <w:rFonts w:ascii="宋体" w:hAnsi="宋体" w:hint="eastAsia"/>
        </w:rPr>
        <w:t>元</w:t>
      </w:r>
      <w:r w:rsidR="008F3C4A">
        <w:rPr>
          <w:rFonts w:ascii="宋体" w:hAnsi="宋体" w:hint="eastAsia"/>
        </w:rPr>
        <w:t>系银行手续费</w:t>
      </w:r>
      <w:r>
        <w:rPr>
          <w:rFonts w:ascii="宋体" w:hAnsi="宋体"/>
        </w:rPr>
        <w:t>。</w:t>
      </w:r>
    </w:p>
    <w:p w14:paraId="74D749D5" w14:textId="6B212C7C" w:rsidR="00DC3906" w:rsidRPr="00D33914" w:rsidRDefault="00B31785" w:rsidP="00D33914">
      <w:pPr>
        <w:rPr>
          <w:rFonts w:ascii="宋体"/>
        </w:rPr>
      </w:pPr>
      <w:r>
        <w:rPr>
          <w:rFonts w:ascii="宋体"/>
        </w:rPr>
        <w:t>3</w:t>
      </w:r>
      <w:r w:rsidR="00D33914" w:rsidRPr="004B0EB0">
        <w:rPr>
          <w:rFonts w:ascii="宋体" w:hint="eastAsia"/>
        </w:rPr>
        <w:t>：本基金清算期间的律师费由基金管理人承担。</w:t>
      </w:r>
    </w:p>
    <w:p w14:paraId="02385D41" w14:textId="77777777" w:rsidR="00DC3906" w:rsidRPr="00EA06D5" w:rsidRDefault="001F22F5" w:rsidP="00CA7C64">
      <w:pPr>
        <w:spacing w:beforeLines="50" w:before="156" w:afterLines="50" w:after="156"/>
        <w:rPr>
          <w:rFonts w:ascii="宋体"/>
          <w:b/>
        </w:rPr>
      </w:pPr>
      <w:r>
        <w:rPr>
          <w:rFonts w:ascii="宋体" w:hAnsi="宋体" w:hint="eastAsia"/>
          <w:b/>
        </w:rPr>
        <w:t>5</w:t>
      </w:r>
      <w:r w:rsidR="00DC3906" w:rsidRPr="00EA06D5">
        <w:rPr>
          <w:rFonts w:ascii="宋体" w:hAnsi="宋体" w:hint="eastAsia"/>
          <w:b/>
        </w:rPr>
        <w:t>、资产处置及负债清偿后的剩余资产分配情况</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4390"/>
        <w:gridCol w:w="3906"/>
      </w:tblGrid>
      <w:tr w:rsidR="00DC3906" w14:paraId="5B688317" w14:textId="77777777" w:rsidTr="00721637">
        <w:tc>
          <w:tcPr>
            <w:tcW w:w="4390" w:type="dxa"/>
          </w:tcPr>
          <w:p w14:paraId="475E373E" w14:textId="77777777" w:rsidR="00DC3906" w:rsidRPr="00CF69E3" w:rsidRDefault="00DC3906" w:rsidP="00380EB5">
            <w:pPr>
              <w:rPr>
                <w:rFonts w:ascii="宋体"/>
              </w:rPr>
            </w:pPr>
            <w:r w:rsidRPr="00CF69E3">
              <w:rPr>
                <w:rFonts w:ascii="宋体" w:hAnsi="宋体" w:hint="eastAsia"/>
              </w:rPr>
              <w:t>项目</w:t>
            </w:r>
          </w:p>
        </w:tc>
        <w:tc>
          <w:tcPr>
            <w:tcW w:w="3906" w:type="dxa"/>
          </w:tcPr>
          <w:p w14:paraId="047A1AF3" w14:textId="77777777" w:rsidR="00DC3906" w:rsidRPr="00CF69E3" w:rsidRDefault="00DC3906" w:rsidP="00380EB5">
            <w:pPr>
              <w:rPr>
                <w:rFonts w:ascii="宋体"/>
              </w:rPr>
            </w:pPr>
            <w:r w:rsidRPr="00CF69E3">
              <w:rPr>
                <w:rFonts w:ascii="宋体" w:hAnsi="宋体" w:hint="eastAsia"/>
              </w:rPr>
              <w:t>金额（单位：人民币元）</w:t>
            </w:r>
          </w:p>
        </w:tc>
      </w:tr>
      <w:tr w:rsidR="00DC3906" w:rsidRPr="00BF751A" w14:paraId="2A38E01B" w14:textId="77777777" w:rsidTr="00721637">
        <w:tc>
          <w:tcPr>
            <w:tcW w:w="4390" w:type="dxa"/>
          </w:tcPr>
          <w:p w14:paraId="5379E6A4" w14:textId="1CF25BC1" w:rsidR="00DC3906" w:rsidRPr="00BF751A" w:rsidRDefault="00DC3906">
            <w:pPr>
              <w:rPr>
                <w:rFonts w:ascii="宋体"/>
              </w:rPr>
            </w:pPr>
            <w:r w:rsidRPr="00BF751A">
              <w:rPr>
                <w:rFonts w:ascii="宋体" w:hAnsi="宋体" w:hint="eastAsia"/>
              </w:rPr>
              <w:t>一、最后运作日</w:t>
            </w:r>
            <w:r w:rsidR="009D6130" w:rsidRPr="00BF751A">
              <w:rPr>
                <w:rFonts w:ascii="宋体" w:hAnsi="宋体"/>
              </w:rPr>
              <w:t>201</w:t>
            </w:r>
            <w:r w:rsidR="009D6130">
              <w:rPr>
                <w:rFonts w:ascii="宋体" w:hAnsi="宋体"/>
              </w:rPr>
              <w:t>8</w:t>
            </w:r>
            <w:r w:rsidR="009D6130" w:rsidRPr="00BF751A">
              <w:rPr>
                <w:rFonts w:ascii="宋体" w:hAnsi="宋体" w:hint="eastAsia"/>
              </w:rPr>
              <w:t>年</w:t>
            </w:r>
            <w:r w:rsidR="009D6130">
              <w:rPr>
                <w:rFonts w:ascii="宋体" w:hAnsi="宋体"/>
              </w:rPr>
              <w:t>9</w:t>
            </w:r>
            <w:r w:rsidRPr="00BF751A">
              <w:rPr>
                <w:rFonts w:ascii="宋体" w:hAnsi="宋体" w:hint="eastAsia"/>
              </w:rPr>
              <w:t>月</w:t>
            </w:r>
            <w:r w:rsidR="009D6130">
              <w:rPr>
                <w:rFonts w:ascii="宋体" w:hAnsi="宋体"/>
              </w:rPr>
              <w:t>25</w:t>
            </w:r>
            <w:r w:rsidRPr="00BF751A">
              <w:rPr>
                <w:rFonts w:ascii="宋体" w:hAnsi="宋体" w:hint="eastAsia"/>
              </w:rPr>
              <w:t>日基金净资产</w:t>
            </w:r>
          </w:p>
        </w:tc>
        <w:tc>
          <w:tcPr>
            <w:tcW w:w="3906" w:type="dxa"/>
          </w:tcPr>
          <w:p w14:paraId="069200E4" w14:textId="024516DD" w:rsidR="00DC3906" w:rsidRPr="00BF751A" w:rsidRDefault="009D6130" w:rsidP="0006571A">
            <w:pPr>
              <w:jc w:val="right"/>
              <w:rPr>
                <w:rFonts w:ascii="宋体" w:hAnsi="宋体"/>
              </w:rPr>
            </w:pPr>
            <w:r w:rsidRPr="009D6130">
              <w:rPr>
                <w:rFonts w:ascii="宋体" w:hAnsi="宋体"/>
              </w:rPr>
              <w:t>11,221,297.14</w:t>
            </w:r>
          </w:p>
        </w:tc>
      </w:tr>
      <w:tr w:rsidR="00DC3906" w:rsidRPr="00BF751A" w14:paraId="486807FD" w14:textId="77777777" w:rsidTr="00721637">
        <w:tc>
          <w:tcPr>
            <w:tcW w:w="4390" w:type="dxa"/>
          </w:tcPr>
          <w:p w14:paraId="62FA24E7" w14:textId="77777777" w:rsidR="00DC3906" w:rsidRPr="00BF751A" w:rsidRDefault="00DC3906" w:rsidP="00380EB5">
            <w:pPr>
              <w:rPr>
                <w:rFonts w:ascii="宋体"/>
              </w:rPr>
            </w:pPr>
            <w:r w:rsidRPr="00BF751A">
              <w:rPr>
                <w:rFonts w:ascii="宋体" w:hAnsi="宋体" w:hint="eastAsia"/>
              </w:rPr>
              <w:t>加：清算期间净收益</w:t>
            </w:r>
          </w:p>
        </w:tc>
        <w:tc>
          <w:tcPr>
            <w:tcW w:w="3906" w:type="dxa"/>
          </w:tcPr>
          <w:p w14:paraId="31669B7E" w14:textId="2F8ABADB" w:rsidR="00DC3906" w:rsidRPr="00BF751A" w:rsidRDefault="00721637" w:rsidP="003F3765">
            <w:pPr>
              <w:jc w:val="right"/>
              <w:rPr>
                <w:rFonts w:ascii="宋体" w:hAnsi="宋体"/>
              </w:rPr>
            </w:pPr>
            <w:r w:rsidRPr="00721637">
              <w:rPr>
                <w:rFonts w:ascii="宋体" w:hAnsi="宋体"/>
              </w:rPr>
              <w:t>8,538.80</w:t>
            </w:r>
          </w:p>
        </w:tc>
      </w:tr>
      <w:tr w:rsidR="0006571A" w:rsidRPr="00BF751A" w14:paraId="30782192" w14:textId="77777777" w:rsidTr="00721637">
        <w:tc>
          <w:tcPr>
            <w:tcW w:w="4390" w:type="dxa"/>
          </w:tcPr>
          <w:p w14:paraId="5A075F3B" w14:textId="401004AF" w:rsidR="0006571A" w:rsidRPr="00BF751A" w:rsidRDefault="0006571A">
            <w:pPr>
              <w:rPr>
                <w:rFonts w:ascii="宋体" w:hAnsi="宋体"/>
                <w:color w:val="FF0000"/>
              </w:rPr>
            </w:pPr>
            <w:r w:rsidRPr="00BF751A">
              <w:rPr>
                <w:rFonts w:ascii="宋体" w:hAnsi="宋体" w:hint="eastAsia"/>
              </w:rPr>
              <w:t>减：</w:t>
            </w:r>
            <w:r w:rsidR="00381A1F" w:rsidRPr="00BF751A">
              <w:rPr>
                <w:rFonts w:ascii="宋体" w:hAnsi="宋体" w:hint="eastAsia"/>
              </w:rPr>
              <w:t>201</w:t>
            </w:r>
            <w:r w:rsidR="00381A1F">
              <w:rPr>
                <w:rFonts w:ascii="宋体" w:hAnsi="宋体"/>
              </w:rPr>
              <w:t>8</w:t>
            </w:r>
            <w:r w:rsidR="00381A1F" w:rsidRPr="00BF751A">
              <w:rPr>
                <w:rFonts w:ascii="宋体" w:hAnsi="宋体" w:hint="eastAsia"/>
              </w:rPr>
              <w:t>年</w:t>
            </w:r>
            <w:r w:rsidR="00381A1F">
              <w:rPr>
                <w:rFonts w:ascii="宋体" w:hAnsi="宋体"/>
              </w:rPr>
              <w:t>9</w:t>
            </w:r>
            <w:r w:rsidR="00A64EE8" w:rsidRPr="00BF751A">
              <w:rPr>
                <w:rFonts w:ascii="宋体" w:hAnsi="宋体" w:hint="eastAsia"/>
              </w:rPr>
              <w:t>月</w:t>
            </w:r>
            <w:r w:rsidR="00381A1F">
              <w:rPr>
                <w:rFonts w:ascii="宋体" w:hAnsi="宋体"/>
              </w:rPr>
              <w:t>26</w:t>
            </w:r>
            <w:r w:rsidR="00A64EE8" w:rsidRPr="00BF751A">
              <w:rPr>
                <w:rFonts w:ascii="宋体" w:hAnsi="宋体" w:hint="eastAsia"/>
              </w:rPr>
              <w:t>日确认的净</w:t>
            </w:r>
            <w:proofErr w:type="gramStart"/>
            <w:r w:rsidR="00A64EE8" w:rsidRPr="00BF751A">
              <w:rPr>
                <w:rFonts w:ascii="宋体" w:hAnsi="宋体" w:hint="eastAsia"/>
              </w:rPr>
              <w:t>赎回款</w:t>
            </w:r>
            <w:proofErr w:type="gramEnd"/>
          </w:p>
        </w:tc>
        <w:tc>
          <w:tcPr>
            <w:tcW w:w="3906" w:type="dxa"/>
          </w:tcPr>
          <w:p w14:paraId="67DD50F8" w14:textId="406283AA" w:rsidR="0006571A" w:rsidRPr="00BF751A" w:rsidRDefault="00381A1F" w:rsidP="00890137">
            <w:pPr>
              <w:jc w:val="right"/>
              <w:rPr>
                <w:rFonts w:ascii="宋体" w:hAnsi="宋体"/>
              </w:rPr>
            </w:pPr>
            <w:r w:rsidRPr="00381A1F">
              <w:rPr>
                <w:rFonts w:ascii="宋体" w:hAnsi="宋体"/>
              </w:rPr>
              <w:t>4</w:t>
            </w:r>
            <w:r w:rsidR="004B4B87">
              <w:rPr>
                <w:rFonts w:ascii="宋体" w:hAnsi="宋体"/>
              </w:rPr>
              <w:t>30</w:t>
            </w:r>
            <w:r>
              <w:rPr>
                <w:rFonts w:ascii="宋体" w:hAnsi="宋体"/>
              </w:rPr>
              <w:t>,</w:t>
            </w:r>
            <w:r w:rsidR="004B4B87">
              <w:rPr>
                <w:rFonts w:ascii="宋体" w:hAnsi="宋体"/>
              </w:rPr>
              <w:t>210</w:t>
            </w:r>
            <w:r w:rsidRPr="00381A1F">
              <w:rPr>
                <w:rFonts w:ascii="宋体" w:hAnsi="宋体"/>
              </w:rPr>
              <w:t>.</w:t>
            </w:r>
            <w:r w:rsidR="00890137">
              <w:rPr>
                <w:rFonts w:ascii="宋体" w:hAnsi="宋体"/>
              </w:rPr>
              <w:t>1</w:t>
            </w:r>
            <w:r w:rsidR="004B4B87">
              <w:rPr>
                <w:rFonts w:ascii="宋体" w:hAnsi="宋体"/>
              </w:rPr>
              <w:t>5</w:t>
            </w:r>
          </w:p>
        </w:tc>
      </w:tr>
      <w:tr w:rsidR="00DC3906" w:rsidRPr="00BF751A" w14:paraId="12565C2D" w14:textId="77777777" w:rsidTr="00721637">
        <w:tc>
          <w:tcPr>
            <w:tcW w:w="4390" w:type="dxa"/>
          </w:tcPr>
          <w:p w14:paraId="0BACB1F6" w14:textId="624D8F5C" w:rsidR="00DC3906" w:rsidRPr="00BF751A" w:rsidRDefault="00DC3906">
            <w:pPr>
              <w:rPr>
                <w:rFonts w:ascii="宋体"/>
              </w:rPr>
            </w:pPr>
            <w:r w:rsidRPr="00BF751A">
              <w:rPr>
                <w:rFonts w:ascii="宋体" w:hAnsi="宋体" w:hint="eastAsia"/>
              </w:rPr>
              <w:t>二、</w:t>
            </w:r>
            <w:r w:rsidR="00381A1F" w:rsidRPr="00BF751A">
              <w:rPr>
                <w:rFonts w:ascii="宋体" w:hAnsi="宋体"/>
              </w:rPr>
              <w:t>201</w:t>
            </w:r>
            <w:r w:rsidR="00381A1F">
              <w:rPr>
                <w:rFonts w:ascii="宋体" w:hAnsi="宋体"/>
              </w:rPr>
              <w:t>8</w:t>
            </w:r>
            <w:r w:rsidR="00381A1F" w:rsidRPr="00BF751A">
              <w:rPr>
                <w:rFonts w:ascii="宋体" w:hAnsi="宋体" w:hint="eastAsia"/>
              </w:rPr>
              <w:t>年</w:t>
            </w:r>
            <w:r w:rsidR="0071415F">
              <w:rPr>
                <w:rFonts w:ascii="宋体" w:hAnsi="宋体"/>
              </w:rPr>
              <w:t>11</w:t>
            </w:r>
            <w:r w:rsidRPr="00BF751A">
              <w:rPr>
                <w:rFonts w:ascii="宋体" w:hAnsi="宋体" w:hint="eastAsia"/>
              </w:rPr>
              <w:t>月</w:t>
            </w:r>
            <w:r w:rsidR="0071415F">
              <w:rPr>
                <w:rFonts w:ascii="宋体" w:hAnsi="宋体"/>
              </w:rPr>
              <w:t>6</w:t>
            </w:r>
            <w:r w:rsidRPr="00BF751A">
              <w:rPr>
                <w:rFonts w:ascii="宋体" w:hAnsi="宋体" w:hint="eastAsia"/>
              </w:rPr>
              <w:t>日基金净资产</w:t>
            </w:r>
          </w:p>
        </w:tc>
        <w:tc>
          <w:tcPr>
            <w:tcW w:w="3906" w:type="dxa"/>
          </w:tcPr>
          <w:p w14:paraId="7B33EEA0" w14:textId="67F66F44" w:rsidR="00DC3906" w:rsidRPr="00BF751A" w:rsidRDefault="004B7BCF" w:rsidP="0006571A">
            <w:pPr>
              <w:jc w:val="right"/>
              <w:rPr>
                <w:rFonts w:ascii="宋体"/>
              </w:rPr>
            </w:pPr>
            <w:r>
              <w:rPr>
                <w:rFonts w:ascii="宋体"/>
              </w:rPr>
              <w:t>10,799,625.79</w:t>
            </w:r>
          </w:p>
        </w:tc>
      </w:tr>
    </w:tbl>
    <w:p w14:paraId="161ADB21" w14:textId="5FA1CCEE" w:rsidR="009961D2" w:rsidRDefault="00DC3906" w:rsidP="00F530F3">
      <w:pPr>
        <w:ind w:firstLineChars="200" w:firstLine="400"/>
        <w:rPr>
          <w:rFonts w:ascii="宋体"/>
        </w:rPr>
      </w:pPr>
      <w:r w:rsidRPr="00BF751A">
        <w:rPr>
          <w:rFonts w:ascii="宋体" w:hAnsi="宋体" w:hint="eastAsia"/>
        </w:rPr>
        <w:t>资产处置及负债清偿后，</w:t>
      </w:r>
      <w:r w:rsidR="00381A1F" w:rsidRPr="00BF751A">
        <w:rPr>
          <w:rFonts w:ascii="宋体" w:hAnsi="宋体"/>
        </w:rPr>
        <w:t>201</w:t>
      </w:r>
      <w:r w:rsidR="00381A1F">
        <w:rPr>
          <w:rFonts w:ascii="宋体" w:hAnsi="宋体"/>
        </w:rPr>
        <w:t>8</w:t>
      </w:r>
      <w:r w:rsidR="00381A1F" w:rsidRPr="00BF751A">
        <w:rPr>
          <w:rFonts w:ascii="宋体" w:hAnsi="宋体" w:hint="eastAsia"/>
        </w:rPr>
        <w:t>年</w:t>
      </w:r>
      <w:r w:rsidR="0071415F">
        <w:rPr>
          <w:rFonts w:ascii="宋体" w:hAnsi="宋体"/>
        </w:rPr>
        <w:t>11</w:t>
      </w:r>
      <w:r w:rsidRPr="00BF751A">
        <w:rPr>
          <w:rFonts w:ascii="宋体" w:hAnsi="宋体" w:hint="eastAsia"/>
        </w:rPr>
        <w:t>月</w:t>
      </w:r>
      <w:r w:rsidR="0071415F">
        <w:rPr>
          <w:rFonts w:ascii="宋体" w:hAnsi="宋体"/>
        </w:rPr>
        <w:t>6</w:t>
      </w:r>
      <w:r w:rsidRPr="00BF751A">
        <w:rPr>
          <w:rFonts w:ascii="宋体" w:hAnsi="宋体" w:hint="eastAsia"/>
        </w:rPr>
        <w:t>日本基金剩余财产为人民币</w:t>
      </w:r>
      <w:r w:rsidR="00721637" w:rsidRPr="00721637">
        <w:rPr>
          <w:rFonts w:ascii="宋体" w:hAnsi="宋体"/>
        </w:rPr>
        <w:t>10,799,625.79</w:t>
      </w:r>
      <w:r w:rsidRPr="00BF751A">
        <w:rPr>
          <w:rFonts w:ascii="宋体" w:hAnsi="宋体" w:hint="eastAsia"/>
        </w:rPr>
        <w:t>元，根据本基金的基金合同约定，依据基金从财产清算的分配方案，将基金财产清算后的全部剩</w:t>
      </w:r>
      <w:r>
        <w:rPr>
          <w:rFonts w:ascii="宋体" w:hAnsi="宋体" w:hint="eastAsia"/>
        </w:rPr>
        <w:t>余资产扣除基金财产清算费用、缴纳所欠税款并清偿基金债务后，按基金份额持有人持有的基金份额比例进行分配。</w:t>
      </w:r>
      <w:r w:rsidR="0096721B">
        <w:rPr>
          <w:rFonts w:ascii="宋体" w:hAnsi="宋体" w:hint="eastAsia"/>
        </w:rPr>
        <w:t>若</w:t>
      </w:r>
      <w:r w:rsidR="0096721B" w:rsidRPr="0096721B">
        <w:rPr>
          <w:rFonts w:ascii="宋体" w:hAnsi="宋体" w:hint="eastAsia"/>
        </w:rPr>
        <w:t>后续清算中出现资产不足以支付债务</w:t>
      </w:r>
      <w:r w:rsidR="0096721B">
        <w:rPr>
          <w:rFonts w:ascii="宋体" w:hAnsi="宋体" w:hint="eastAsia"/>
        </w:rPr>
        <w:t>的</w:t>
      </w:r>
      <w:r w:rsidR="0096721B">
        <w:rPr>
          <w:rFonts w:ascii="宋体" w:hAnsi="宋体"/>
        </w:rPr>
        <w:t>情况，</w:t>
      </w:r>
      <w:r w:rsidR="0096721B" w:rsidRPr="0096721B">
        <w:rPr>
          <w:rFonts w:ascii="宋体" w:hAnsi="宋体" w:hint="eastAsia"/>
        </w:rPr>
        <w:t>以持有人利益考虑，由管理人承担。</w:t>
      </w:r>
    </w:p>
    <w:p w14:paraId="1F553DFB" w14:textId="30A83B54" w:rsidR="001D2408" w:rsidRDefault="00A64EE8" w:rsidP="00CA7C64">
      <w:pPr>
        <w:spacing w:beforeLines="50" w:before="156" w:afterLines="50" w:after="156"/>
        <w:ind w:firstLineChars="200" w:firstLine="400"/>
        <w:rPr>
          <w:rFonts w:ascii="宋体" w:hAnsi="宋体"/>
        </w:rPr>
      </w:pPr>
      <w:r w:rsidRPr="00A64EE8">
        <w:rPr>
          <w:rFonts w:ascii="宋体" w:hAnsi="宋体" w:hint="eastAsia"/>
        </w:rPr>
        <w:t>清算起始日</w:t>
      </w:r>
      <w:r w:rsidR="00381A1F">
        <w:rPr>
          <w:rFonts w:ascii="宋体" w:hAnsi="宋体" w:hint="eastAsia"/>
        </w:rPr>
        <w:t>201</w:t>
      </w:r>
      <w:r w:rsidR="00381A1F">
        <w:rPr>
          <w:rFonts w:ascii="宋体" w:hAnsi="宋体"/>
        </w:rPr>
        <w:t>8</w:t>
      </w:r>
      <w:r w:rsidR="00381A1F" w:rsidRPr="00A64EE8">
        <w:rPr>
          <w:rFonts w:ascii="宋体" w:hAnsi="宋体" w:hint="eastAsia"/>
        </w:rPr>
        <w:t>年</w:t>
      </w:r>
      <w:r w:rsidR="00381A1F">
        <w:rPr>
          <w:rFonts w:ascii="宋体" w:hAnsi="宋体"/>
        </w:rPr>
        <w:t>9</w:t>
      </w:r>
      <w:r w:rsidRPr="00A64EE8">
        <w:rPr>
          <w:rFonts w:ascii="宋体" w:hAnsi="宋体" w:hint="eastAsia"/>
        </w:rPr>
        <w:t>月</w:t>
      </w:r>
      <w:r w:rsidR="00381A1F">
        <w:rPr>
          <w:rFonts w:ascii="宋体" w:hAnsi="宋体"/>
        </w:rPr>
        <w:t>26</w:t>
      </w:r>
      <w:r w:rsidRPr="00A64EE8">
        <w:rPr>
          <w:rFonts w:ascii="宋体" w:hAnsi="宋体" w:hint="eastAsia"/>
        </w:rPr>
        <w:t>日至</w:t>
      </w:r>
      <w:proofErr w:type="gramStart"/>
      <w:r w:rsidRPr="00A64EE8">
        <w:rPr>
          <w:rFonts w:ascii="宋体" w:hAnsi="宋体" w:hint="eastAsia"/>
        </w:rPr>
        <w:t>清算款</w:t>
      </w:r>
      <w:proofErr w:type="gramEnd"/>
      <w:r w:rsidRPr="00A64EE8">
        <w:rPr>
          <w:rFonts w:ascii="宋体" w:hAnsi="宋体" w:hint="eastAsia"/>
        </w:rPr>
        <w:t>划出日前一日的银行存款产生的利息亦属份额持有人所有。截至</w:t>
      </w:r>
      <w:r w:rsidR="00381A1F">
        <w:rPr>
          <w:rFonts w:ascii="宋体" w:hAnsi="宋体" w:hint="eastAsia"/>
        </w:rPr>
        <w:t>201</w:t>
      </w:r>
      <w:r w:rsidR="00381A1F">
        <w:rPr>
          <w:rFonts w:ascii="宋体" w:hAnsi="宋体"/>
        </w:rPr>
        <w:t>8</w:t>
      </w:r>
      <w:r w:rsidR="00381A1F" w:rsidRPr="00A64EE8">
        <w:rPr>
          <w:rFonts w:ascii="宋体" w:hAnsi="宋体" w:hint="eastAsia"/>
        </w:rPr>
        <w:t>年</w:t>
      </w:r>
      <w:r w:rsidR="0071415F">
        <w:rPr>
          <w:rFonts w:ascii="宋体" w:hAnsi="宋体"/>
        </w:rPr>
        <w:t>11</w:t>
      </w:r>
      <w:r w:rsidRPr="00A64EE8">
        <w:rPr>
          <w:rFonts w:ascii="宋体" w:hAnsi="宋体" w:hint="eastAsia"/>
        </w:rPr>
        <w:t>月</w:t>
      </w:r>
      <w:r w:rsidR="0071415F">
        <w:rPr>
          <w:rFonts w:ascii="宋体" w:hAnsi="宋体"/>
        </w:rPr>
        <w:t>6</w:t>
      </w:r>
      <w:r w:rsidRPr="00A64EE8">
        <w:rPr>
          <w:rFonts w:ascii="宋体" w:hAnsi="宋体" w:hint="eastAsia"/>
        </w:rPr>
        <w:t>日止的应收利息共计</w:t>
      </w:r>
      <w:r w:rsidRPr="00BF751A">
        <w:rPr>
          <w:rFonts w:ascii="宋体" w:hAnsi="宋体" w:hint="eastAsia"/>
        </w:rPr>
        <w:t>人民币</w:t>
      </w:r>
      <w:r w:rsidR="00721637">
        <w:rPr>
          <w:rFonts w:ascii="宋体" w:hAnsi="宋体"/>
        </w:rPr>
        <w:t>9,714.70</w:t>
      </w:r>
      <w:r w:rsidRPr="00BF751A">
        <w:rPr>
          <w:rFonts w:ascii="宋体" w:hAnsi="宋体" w:hint="eastAsia"/>
        </w:rPr>
        <w:t>元（以当</w:t>
      </w:r>
      <w:r w:rsidRPr="00A64EE8">
        <w:rPr>
          <w:rFonts w:ascii="宋体" w:hAnsi="宋体" w:hint="eastAsia"/>
        </w:rPr>
        <w:t>前适用的利率预估），将由基金管理人以自有资金垫付，于</w:t>
      </w:r>
      <w:proofErr w:type="gramStart"/>
      <w:r w:rsidRPr="00A64EE8">
        <w:rPr>
          <w:rFonts w:ascii="宋体" w:hAnsi="宋体" w:hint="eastAsia"/>
        </w:rPr>
        <w:t>清算款</w:t>
      </w:r>
      <w:proofErr w:type="gramEnd"/>
      <w:r w:rsidRPr="00A64EE8">
        <w:rPr>
          <w:rFonts w:ascii="宋体" w:hAnsi="宋体" w:hint="eastAsia"/>
        </w:rPr>
        <w:t>划出日前划入托管账户。</w:t>
      </w:r>
      <w:r w:rsidR="00381A1F" w:rsidRPr="00721637">
        <w:rPr>
          <w:rFonts w:ascii="宋体" w:hAnsi="宋体"/>
        </w:rPr>
        <w:t>2018</w:t>
      </w:r>
      <w:r w:rsidR="00381A1F" w:rsidRPr="00721637">
        <w:rPr>
          <w:rFonts w:ascii="宋体" w:hAnsi="宋体" w:hint="eastAsia"/>
        </w:rPr>
        <w:t>年</w:t>
      </w:r>
      <w:r w:rsidR="0071415F" w:rsidRPr="00721637">
        <w:rPr>
          <w:rFonts w:ascii="宋体" w:hAnsi="宋体"/>
        </w:rPr>
        <w:t>11</w:t>
      </w:r>
      <w:r w:rsidRPr="00721637">
        <w:rPr>
          <w:rFonts w:ascii="宋体" w:hAnsi="宋体" w:hint="eastAsia"/>
        </w:rPr>
        <w:t>月</w:t>
      </w:r>
      <w:r w:rsidR="00721637" w:rsidRPr="00721637">
        <w:rPr>
          <w:rFonts w:ascii="宋体" w:hAnsi="宋体"/>
        </w:rPr>
        <w:t>6</w:t>
      </w:r>
      <w:r w:rsidRPr="00721637">
        <w:rPr>
          <w:rFonts w:ascii="宋体" w:hAnsi="宋体" w:hint="eastAsia"/>
        </w:rPr>
        <w:t>日</w:t>
      </w:r>
      <w:r w:rsidRPr="00A64EE8">
        <w:rPr>
          <w:rFonts w:ascii="宋体" w:hAnsi="宋体" w:hint="eastAsia"/>
        </w:rPr>
        <w:t>至</w:t>
      </w:r>
      <w:proofErr w:type="gramStart"/>
      <w:r w:rsidRPr="00A64EE8">
        <w:rPr>
          <w:rFonts w:ascii="宋体" w:hAnsi="宋体" w:hint="eastAsia"/>
        </w:rPr>
        <w:t>清算款</w:t>
      </w:r>
      <w:proofErr w:type="gramEnd"/>
      <w:r w:rsidRPr="00A64EE8">
        <w:rPr>
          <w:rFonts w:ascii="宋体" w:hAnsi="宋体" w:hint="eastAsia"/>
        </w:rPr>
        <w:t>划出日前一日的银行存款产生的利息亦由基金管理人以自有资金垫付。实际结息金额与垫付金额的尾差由基金管理人承担。</w:t>
      </w:r>
    </w:p>
    <w:p w14:paraId="24379A7B" w14:textId="77777777" w:rsidR="00DC3906" w:rsidRPr="00EA06D5" w:rsidRDefault="00A64EE8" w:rsidP="00CA7C64">
      <w:pPr>
        <w:spacing w:beforeLines="50" w:before="156" w:afterLines="50" w:after="156"/>
        <w:rPr>
          <w:rFonts w:ascii="宋体"/>
          <w:b/>
        </w:rPr>
      </w:pPr>
      <w:r>
        <w:rPr>
          <w:rFonts w:ascii="宋体" w:hAnsi="宋体"/>
          <w:b/>
        </w:rPr>
        <w:t>6</w:t>
      </w:r>
      <w:r w:rsidR="00DC3906" w:rsidRPr="00EA06D5">
        <w:rPr>
          <w:rFonts w:ascii="宋体" w:hAnsi="宋体" w:hint="eastAsia"/>
          <w:b/>
        </w:rPr>
        <w:t>、基金财产清算报告的告知安排</w:t>
      </w:r>
    </w:p>
    <w:p w14:paraId="042E216D" w14:textId="77777777" w:rsidR="00DC3906" w:rsidRDefault="00DC3906" w:rsidP="00C95394">
      <w:pPr>
        <w:ind w:firstLine="408"/>
        <w:rPr>
          <w:rFonts w:ascii="宋体"/>
        </w:rPr>
      </w:pPr>
      <w:r>
        <w:rPr>
          <w:rFonts w:ascii="宋体" w:hAnsi="宋体" w:hint="eastAsia"/>
        </w:rPr>
        <w:t>清算报告已经基金托管人复核，在经会计师事务所审计、律师事务所出具法律意见书后，报中国证监会备案后向基金份额持有人公告。</w:t>
      </w:r>
    </w:p>
    <w:p w14:paraId="78C503AC" w14:textId="77777777" w:rsidR="00DC3906" w:rsidRDefault="00DC3906" w:rsidP="00C95394">
      <w:pPr>
        <w:rPr>
          <w:rFonts w:ascii="宋体"/>
        </w:rPr>
      </w:pPr>
    </w:p>
    <w:p w14:paraId="392ADCB7" w14:textId="77777777" w:rsidR="00DC3906" w:rsidRPr="00EA06D5" w:rsidRDefault="00DC3906" w:rsidP="00CA7C64">
      <w:pPr>
        <w:spacing w:afterLines="100" w:after="312"/>
        <w:rPr>
          <w:rStyle w:val="a8"/>
        </w:rPr>
      </w:pPr>
      <w:r w:rsidRPr="00EA06D5">
        <w:rPr>
          <w:rStyle w:val="a8"/>
          <w:rFonts w:hint="eastAsia"/>
        </w:rPr>
        <w:t>六、备查</w:t>
      </w:r>
      <w:r w:rsidRPr="00655438">
        <w:rPr>
          <w:rStyle w:val="a8"/>
          <w:rFonts w:hint="eastAsia"/>
        </w:rPr>
        <w:t>文件目录</w:t>
      </w:r>
    </w:p>
    <w:p w14:paraId="3C621C71" w14:textId="77777777" w:rsidR="00BA0F3F" w:rsidRDefault="00DC3906" w:rsidP="00CA7C64">
      <w:pPr>
        <w:spacing w:afterLines="50" w:after="156"/>
        <w:rPr>
          <w:rFonts w:ascii="宋体"/>
          <w:b/>
        </w:rPr>
      </w:pPr>
      <w:r w:rsidRPr="00EA06D5">
        <w:rPr>
          <w:rFonts w:ascii="宋体" w:hAnsi="宋体"/>
          <w:b/>
        </w:rPr>
        <w:t>1</w:t>
      </w:r>
      <w:r w:rsidRPr="00EA06D5">
        <w:rPr>
          <w:rFonts w:ascii="宋体" w:hAnsi="宋体" w:hint="eastAsia"/>
          <w:b/>
        </w:rPr>
        <w:t>、备查文件目录</w:t>
      </w:r>
    </w:p>
    <w:p w14:paraId="1AE9EB3A" w14:textId="4F103B6C" w:rsidR="00DC3906" w:rsidRDefault="00DC3906" w:rsidP="00C95394">
      <w:pPr>
        <w:ind w:firstLine="396"/>
        <w:rPr>
          <w:rFonts w:ascii="宋体"/>
        </w:rPr>
      </w:pPr>
      <w:r>
        <w:rPr>
          <w:rFonts w:ascii="宋体" w:hAnsi="宋体" w:hint="eastAsia"/>
        </w:rPr>
        <w:t>（</w:t>
      </w:r>
      <w:r>
        <w:rPr>
          <w:rFonts w:ascii="宋体" w:hAnsi="宋体"/>
        </w:rPr>
        <w:t>1</w:t>
      </w:r>
      <w:r>
        <w:rPr>
          <w:rFonts w:ascii="宋体" w:hAnsi="宋体" w:hint="eastAsia"/>
        </w:rPr>
        <w:t>）《</w:t>
      </w:r>
      <w:r w:rsidR="0047482D">
        <w:rPr>
          <w:rFonts w:ascii="宋体" w:hAnsi="宋体" w:hint="eastAsia"/>
        </w:rPr>
        <w:t>交银施罗德卓越回报灵活配置混合型证券投资基金</w:t>
      </w:r>
      <w:r>
        <w:rPr>
          <w:rFonts w:ascii="宋体" w:hAnsi="宋体" w:hint="eastAsia"/>
        </w:rPr>
        <w:t>清算审计报告》；</w:t>
      </w:r>
    </w:p>
    <w:p w14:paraId="1AF1D130" w14:textId="5861C105" w:rsidR="00DC3906" w:rsidRDefault="00DC3906" w:rsidP="00C95394">
      <w:pPr>
        <w:ind w:firstLine="396"/>
        <w:rPr>
          <w:rFonts w:ascii="宋体"/>
        </w:rPr>
      </w:pPr>
      <w:r>
        <w:rPr>
          <w:rFonts w:ascii="宋体" w:hAnsi="宋体" w:hint="eastAsia"/>
        </w:rPr>
        <w:t>（</w:t>
      </w:r>
      <w:r>
        <w:rPr>
          <w:rFonts w:ascii="宋体" w:hAnsi="宋体"/>
        </w:rPr>
        <w:t>2</w:t>
      </w:r>
      <w:r>
        <w:rPr>
          <w:rFonts w:ascii="宋体" w:hAnsi="宋体" w:hint="eastAsia"/>
        </w:rPr>
        <w:t>）《</w:t>
      </w:r>
      <w:r w:rsidR="0047482D">
        <w:rPr>
          <w:rFonts w:ascii="宋体" w:hAnsi="宋体" w:hint="eastAsia"/>
        </w:rPr>
        <w:t>交银施罗德卓越回报灵活配置混合型证券投资基金</w:t>
      </w:r>
      <w:r>
        <w:rPr>
          <w:rFonts w:ascii="宋体" w:hAnsi="宋体" w:hint="eastAsia"/>
        </w:rPr>
        <w:t>清算报告》的法律意见。</w:t>
      </w:r>
    </w:p>
    <w:p w14:paraId="49F2CBFE" w14:textId="77777777" w:rsidR="00DC3906" w:rsidRPr="00EA06D5" w:rsidRDefault="00DC3906" w:rsidP="00CA7C64">
      <w:pPr>
        <w:spacing w:beforeLines="50" w:before="156" w:afterLines="50" w:after="156"/>
        <w:rPr>
          <w:rFonts w:ascii="宋体"/>
          <w:b/>
        </w:rPr>
      </w:pPr>
      <w:r w:rsidRPr="00EA06D5">
        <w:rPr>
          <w:rFonts w:ascii="宋体" w:hAnsi="宋体"/>
          <w:b/>
        </w:rPr>
        <w:t>2</w:t>
      </w:r>
      <w:r w:rsidRPr="00EA06D5">
        <w:rPr>
          <w:rFonts w:ascii="宋体" w:hAnsi="宋体" w:hint="eastAsia"/>
          <w:b/>
        </w:rPr>
        <w:t>、存放地点</w:t>
      </w:r>
    </w:p>
    <w:p w14:paraId="0288B9E7" w14:textId="77777777" w:rsidR="00DC3906" w:rsidRDefault="00DC3906" w:rsidP="00C95394">
      <w:pPr>
        <w:ind w:firstLine="408"/>
        <w:rPr>
          <w:rFonts w:ascii="宋体"/>
        </w:rPr>
      </w:pPr>
      <w:r>
        <w:rPr>
          <w:rFonts w:ascii="宋体" w:hAnsi="宋体" w:hint="eastAsia"/>
        </w:rPr>
        <w:t>上述备查文本存放在本基金管理人办公场所，投资者可免费查阅，在支付工本费后，可在合理时间内取得上述文件的复制件或复印件。相关公开披露的法律文件，投资者还可在本基金管理人网站（</w:t>
      </w:r>
      <w:r w:rsidR="00EF397F" w:rsidRPr="00EF397F">
        <w:t>http://www.fund001.com</w:t>
      </w:r>
      <w:r>
        <w:rPr>
          <w:rFonts w:ascii="宋体" w:hAnsi="宋体" w:hint="eastAsia"/>
        </w:rPr>
        <w:t>）查阅。</w:t>
      </w:r>
    </w:p>
    <w:p w14:paraId="5250723D" w14:textId="77777777" w:rsidR="00DC3906" w:rsidRPr="00EA06D5" w:rsidRDefault="00DC3906" w:rsidP="00CA7C64">
      <w:pPr>
        <w:spacing w:beforeLines="50" w:before="156" w:afterLines="50" w:after="156"/>
        <w:rPr>
          <w:rFonts w:ascii="宋体"/>
          <w:b/>
        </w:rPr>
      </w:pPr>
      <w:r w:rsidRPr="00EA06D5">
        <w:rPr>
          <w:rFonts w:ascii="宋体" w:hAnsi="宋体"/>
          <w:b/>
        </w:rPr>
        <w:t>3</w:t>
      </w:r>
      <w:r w:rsidRPr="00EA06D5">
        <w:rPr>
          <w:rFonts w:ascii="宋体" w:hAnsi="宋体" w:hint="eastAsia"/>
          <w:b/>
        </w:rPr>
        <w:t>、查阅方式</w:t>
      </w:r>
    </w:p>
    <w:p w14:paraId="733B6527" w14:textId="77777777" w:rsidR="00DC3906" w:rsidRDefault="00DC3906" w:rsidP="00C95394">
      <w:pPr>
        <w:ind w:firstLine="396"/>
        <w:rPr>
          <w:rFonts w:ascii="宋体"/>
        </w:rPr>
      </w:pPr>
      <w:r>
        <w:rPr>
          <w:rFonts w:ascii="宋体" w:hAnsi="宋体" w:hint="eastAsia"/>
        </w:rPr>
        <w:t>本报告存放在本基金管理人及托管人住所，供公众查阅、复制。</w:t>
      </w:r>
    </w:p>
    <w:p w14:paraId="683FF566" w14:textId="77777777" w:rsidR="00DC3906" w:rsidRDefault="00DC3906" w:rsidP="00BB3470">
      <w:pPr>
        <w:rPr>
          <w:rFonts w:ascii="宋体"/>
        </w:rPr>
      </w:pPr>
    </w:p>
    <w:p w14:paraId="78B63832" w14:textId="070F2E69" w:rsidR="00ED4016" w:rsidRDefault="0047482D" w:rsidP="00C95394">
      <w:pPr>
        <w:ind w:firstLine="396"/>
        <w:jc w:val="right"/>
        <w:rPr>
          <w:rFonts w:ascii="宋体" w:hAnsi="宋体"/>
        </w:rPr>
      </w:pPr>
      <w:r>
        <w:rPr>
          <w:rFonts w:ascii="宋体" w:hAnsi="宋体" w:hint="eastAsia"/>
        </w:rPr>
        <w:t>交银施罗德卓越回报灵活配置混合型证券投资基金</w:t>
      </w:r>
    </w:p>
    <w:p w14:paraId="0196D6D2" w14:textId="77777777" w:rsidR="00DC3906" w:rsidRDefault="00DC3906" w:rsidP="00C95394">
      <w:pPr>
        <w:ind w:firstLine="396"/>
        <w:jc w:val="right"/>
        <w:rPr>
          <w:rFonts w:ascii="宋体"/>
        </w:rPr>
      </w:pPr>
      <w:r>
        <w:rPr>
          <w:rFonts w:ascii="宋体" w:hAnsi="宋体" w:hint="eastAsia"/>
        </w:rPr>
        <w:t>基金财产清算小组</w:t>
      </w:r>
    </w:p>
    <w:p w14:paraId="4F23320B" w14:textId="1BC6E8CF" w:rsidR="00DC3906" w:rsidRPr="000667F3" w:rsidRDefault="00F021DE" w:rsidP="00BB3470">
      <w:pPr>
        <w:ind w:firstLine="396"/>
        <w:jc w:val="right"/>
        <w:rPr>
          <w:rFonts w:ascii="宋体"/>
        </w:rPr>
      </w:pPr>
      <w:r>
        <w:rPr>
          <w:rFonts w:ascii="宋体" w:hAnsi="宋体"/>
        </w:rPr>
        <w:t>2018</w:t>
      </w:r>
      <w:r>
        <w:rPr>
          <w:rFonts w:ascii="宋体" w:hAnsi="宋体" w:hint="eastAsia"/>
        </w:rPr>
        <w:t>年</w:t>
      </w:r>
      <w:r w:rsidR="00013D55">
        <w:rPr>
          <w:rFonts w:ascii="宋体" w:hAnsi="宋体"/>
        </w:rPr>
        <w:t>12</w:t>
      </w:r>
      <w:r w:rsidR="00DC3906">
        <w:rPr>
          <w:rFonts w:ascii="宋体" w:hAnsi="宋体" w:hint="eastAsia"/>
        </w:rPr>
        <w:t>月</w:t>
      </w:r>
      <w:r w:rsidR="00460BA1">
        <w:rPr>
          <w:rFonts w:ascii="宋体" w:hAnsi="宋体"/>
        </w:rPr>
        <w:t>8</w:t>
      </w:r>
      <w:r w:rsidR="00DC3906">
        <w:rPr>
          <w:rFonts w:ascii="宋体" w:hAnsi="宋体" w:hint="eastAsia"/>
        </w:rPr>
        <w:t>日</w:t>
      </w:r>
    </w:p>
    <w:sectPr w:rsidR="00DC3906" w:rsidRPr="000667F3" w:rsidSect="00B74E18">
      <w:headerReference w:type="default" r:id="rId8"/>
      <w:footerReference w:type="default" r:id="rId9"/>
      <w:pgSz w:w="11906" w:h="16838"/>
      <w:pgMar w:top="1440" w:right="1800" w:bottom="1440" w:left="1800" w:header="851" w:footer="992" w:gutter="0"/>
      <w:cols w:space="425"/>
      <w:docGrid w:type="lines" w:linePitch="312"/>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5E3A34C" w14:textId="77777777" w:rsidR="004F50F1" w:rsidRDefault="004F50F1" w:rsidP="00D53D73">
      <w:r>
        <w:separator/>
      </w:r>
    </w:p>
  </w:endnote>
  <w:endnote w:type="continuationSeparator" w:id="0">
    <w:p w14:paraId="4BB5475D" w14:textId="77777777" w:rsidR="004F50F1" w:rsidRDefault="004F50F1" w:rsidP="00D53D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677065B" w14:textId="77777777" w:rsidR="00B43672" w:rsidRDefault="00B43672">
    <w:pPr>
      <w:pStyle w:val="a4"/>
      <w:jc w:val="center"/>
    </w:pPr>
    <w:r>
      <w:rPr>
        <w:lang w:val="zh-CN"/>
      </w:rPr>
      <w:t xml:space="preserve"> </w:t>
    </w:r>
    <w:r>
      <w:rPr>
        <w:b/>
      </w:rPr>
      <w:fldChar w:fldCharType="begin"/>
    </w:r>
    <w:r>
      <w:rPr>
        <w:b/>
      </w:rPr>
      <w:instrText>PAGE</w:instrText>
    </w:r>
    <w:r>
      <w:rPr>
        <w:b/>
      </w:rPr>
      <w:fldChar w:fldCharType="separate"/>
    </w:r>
    <w:r w:rsidR="00912E8C">
      <w:rPr>
        <w:b/>
        <w:noProof/>
      </w:rPr>
      <w:t>7</w:t>
    </w:r>
    <w:r>
      <w:rPr>
        <w:b/>
      </w:rPr>
      <w:fldChar w:fldCharType="end"/>
    </w:r>
    <w:r>
      <w:rPr>
        <w:lang w:val="zh-CN"/>
      </w:rPr>
      <w:t xml:space="preserve"> / </w:t>
    </w:r>
    <w:r>
      <w:rPr>
        <w:b/>
      </w:rPr>
      <w:fldChar w:fldCharType="begin"/>
    </w:r>
    <w:r>
      <w:rPr>
        <w:b/>
      </w:rPr>
      <w:instrText>NUMPAGES</w:instrText>
    </w:r>
    <w:r>
      <w:rPr>
        <w:b/>
      </w:rPr>
      <w:fldChar w:fldCharType="separate"/>
    </w:r>
    <w:r w:rsidR="00912E8C">
      <w:rPr>
        <w:b/>
        <w:noProof/>
      </w:rPr>
      <w:t>8</w:t>
    </w:r>
    <w:r>
      <w:rPr>
        <w:b/>
      </w:rPr>
      <w:fldChar w:fldCharType="end"/>
    </w:r>
  </w:p>
  <w:p w14:paraId="1F3B9027" w14:textId="77777777" w:rsidR="00B43672" w:rsidRDefault="00B43672">
    <w:pPr>
      <w:pStyle w:val="a4"/>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900E828" w14:textId="77777777" w:rsidR="004F50F1" w:rsidRDefault="004F50F1" w:rsidP="00D53D73">
      <w:r>
        <w:separator/>
      </w:r>
    </w:p>
  </w:footnote>
  <w:footnote w:type="continuationSeparator" w:id="0">
    <w:p w14:paraId="056E66BE" w14:textId="77777777" w:rsidR="004F50F1" w:rsidRDefault="004F50F1" w:rsidP="00D53D7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7E171D1" w14:textId="5B68EA83" w:rsidR="00B43672" w:rsidRDefault="0047482D" w:rsidP="003D668D">
    <w:pPr>
      <w:pStyle w:val="a3"/>
    </w:pPr>
    <w:r w:rsidRPr="0047482D">
      <w:rPr>
        <w:rFonts w:hint="eastAsia"/>
      </w:rPr>
      <w:t>交银施罗德卓越回报灵活配置混合型证券投资基金</w:t>
    </w:r>
    <w:r w:rsidR="00B43672">
      <w:rPr>
        <w:rFonts w:ascii="宋体" w:hAnsi="宋体" w:cs="宋体" w:hint="eastAsia"/>
      </w:rPr>
      <w:t>清算报告</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4A310BAE"/>
    <w:multiLevelType w:val="hybridMultilevel"/>
    <w:tmpl w:val="9E023226"/>
    <w:lvl w:ilvl="0" w:tplc="EF400EA8">
      <w:start w:val="1"/>
      <w:numFmt w:val="decimal"/>
      <w:lvlText w:val="%1&gt;"/>
      <w:lvlJc w:val="left"/>
      <w:pPr>
        <w:ind w:left="360" w:hanging="360"/>
      </w:pPr>
      <w:rPr>
        <w:rFonts w:ascii="Times New Roman" w:hAnsi="Times New Roman" w:cs="Times New Roman" w:hint="default"/>
        <w:color w:val="auto"/>
        <w:sz w:val="20"/>
      </w:rPr>
    </w:lvl>
    <w:lvl w:ilvl="1" w:tplc="04090019" w:tentative="1">
      <w:start w:val="1"/>
      <w:numFmt w:val="lowerLetter"/>
      <w:lvlText w:val="%2)"/>
      <w:lvlJc w:val="left"/>
      <w:pPr>
        <w:ind w:left="840" w:hanging="420"/>
      </w:pPr>
    </w:lvl>
    <w:lvl w:ilvl="2" w:tplc="0409001B" w:tentative="1">
      <w:start w:val="1"/>
      <w:numFmt w:val="lowerRoman"/>
      <w:lvlText w:val="%3."/>
      <w:lvlJc w:val="right"/>
      <w:pPr>
        <w:ind w:left="1260" w:hanging="420"/>
      </w:pPr>
    </w:lvl>
    <w:lvl w:ilvl="3" w:tplc="0409000F" w:tentative="1">
      <w:start w:val="1"/>
      <w:numFmt w:val="decimal"/>
      <w:lvlText w:val="%4."/>
      <w:lvlJc w:val="left"/>
      <w:pPr>
        <w:ind w:left="1680" w:hanging="420"/>
      </w:pPr>
    </w:lvl>
    <w:lvl w:ilvl="4" w:tplc="04090019" w:tentative="1">
      <w:start w:val="1"/>
      <w:numFmt w:val="lowerLetter"/>
      <w:lvlText w:val="%5)"/>
      <w:lvlJc w:val="left"/>
      <w:pPr>
        <w:ind w:left="2100" w:hanging="420"/>
      </w:pPr>
    </w:lvl>
    <w:lvl w:ilvl="5" w:tplc="0409001B" w:tentative="1">
      <w:start w:val="1"/>
      <w:numFmt w:val="lowerRoman"/>
      <w:lvlText w:val="%6."/>
      <w:lvlJc w:val="right"/>
      <w:pPr>
        <w:ind w:left="2520" w:hanging="420"/>
      </w:pPr>
    </w:lvl>
    <w:lvl w:ilvl="6" w:tplc="0409000F" w:tentative="1">
      <w:start w:val="1"/>
      <w:numFmt w:val="decimal"/>
      <w:lvlText w:val="%7."/>
      <w:lvlJc w:val="left"/>
      <w:pPr>
        <w:ind w:left="2940" w:hanging="420"/>
      </w:pPr>
    </w:lvl>
    <w:lvl w:ilvl="7" w:tplc="04090019" w:tentative="1">
      <w:start w:val="1"/>
      <w:numFmt w:val="lowerLetter"/>
      <w:lvlText w:val="%8)"/>
      <w:lvlJc w:val="left"/>
      <w:pPr>
        <w:ind w:left="3360" w:hanging="420"/>
      </w:pPr>
    </w:lvl>
    <w:lvl w:ilvl="8" w:tplc="0409001B" w:tentative="1">
      <w:start w:val="1"/>
      <w:numFmt w:val="lowerRoman"/>
      <w:lvlText w:val="%9."/>
      <w:lvlJc w:val="right"/>
      <w:pPr>
        <w:ind w:left="3780" w:hanging="42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clean"/>
  <w:trackRevisions/>
  <w:defaultTabStop w:val="420"/>
  <w:drawingGridVerticalSpacing w:val="156"/>
  <w:displayHorizontalDrawingGridEvery w:val="0"/>
  <w:displayVerticalDrawingGridEvery w:val="2"/>
  <w:characterSpacingControl w:val="compressPunctuation"/>
  <w:noLineBreaksAfter w:lang="zh-CN" w:val="$([{£¥·‘“〈《「『【〔〖〝﹙﹛﹝＄（．［｛￡￥"/>
  <w:noLineBreaksBefore w:lang="zh-CN" w:val="!%),.:;&gt;?]}¢¨°·ˇˉ―‖’”…‰′″›℃∶、。〃〉》」』】〕〗〞︶︺︾﹀﹄﹚﹜﹞！＂％＇），．：；？］｀｜｝～￠"/>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53D73"/>
    <w:rsid w:val="00003342"/>
    <w:rsid w:val="00003397"/>
    <w:rsid w:val="00004C87"/>
    <w:rsid w:val="00013D55"/>
    <w:rsid w:val="000165AB"/>
    <w:rsid w:val="00024F9F"/>
    <w:rsid w:val="000308F8"/>
    <w:rsid w:val="00041179"/>
    <w:rsid w:val="00047577"/>
    <w:rsid w:val="000635AB"/>
    <w:rsid w:val="0006571A"/>
    <w:rsid w:val="000667F3"/>
    <w:rsid w:val="000770E7"/>
    <w:rsid w:val="00081056"/>
    <w:rsid w:val="00083B02"/>
    <w:rsid w:val="00086426"/>
    <w:rsid w:val="00087A25"/>
    <w:rsid w:val="000A6784"/>
    <w:rsid w:val="000B1A05"/>
    <w:rsid w:val="000B253B"/>
    <w:rsid w:val="000B257B"/>
    <w:rsid w:val="000B6D18"/>
    <w:rsid w:val="000D4429"/>
    <w:rsid w:val="000D5DE1"/>
    <w:rsid w:val="000E1C02"/>
    <w:rsid w:val="000F5EA3"/>
    <w:rsid w:val="000F62B1"/>
    <w:rsid w:val="000F6D2E"/>
    <w:rsid w:val="0010427A"/>
    <w:rsid w:val="00104D0B"/>
    <w:rsid w:val="0010609D"/>
    <w:rsid w:val="00116696"/>
    <w:rsid w:val="00124B3D"/>
    <w:rsid w:val="001328C0"/>
    <w:rsid w:val="0014090E"/>
    <w:rsid w:val="00145EDE"/>
    <w:rsid w:val="001519D7"/>
    <w:rsid w:val="00152371"/>
    <w:rsid w:val="0016262F"/>
    <w:rsid w:val="0018253F"/>
    <w:rsid w:val="001839B2"/>
    <w:rsid w:val="001A48E6"/>
    <w:rsid w:val="001A63F4"/>
    <w:rsid w:val="001C147C"/>
    <w:rsid w:val="001C7ACD"/>
    <w:rsid w:val="001D0BB8"/>
    <w:rsid w:val="001D2408"/>
    <w:rsid w:val="001D35CF"/>
    <w:rsid w:val="001D65A6"/>
    <w:rsid w:val="001D663B"/>
    <w:rsid w:val="001F0B55"/>
    <w:rsid w:val="001F22F5"/>
    <w:rsid w:val="00207AF6"/>
    <w:rsid w:val="00215F4F"/>
    <w:rsid w:val="00216357"/>
    <w:rsid w:val="00217302"/>
    <w:rsid w:val="00222866"/>
    <w:rsid w:val="00232D71"/>
    <w:rsid w:val="00233F5E"/>
    <w:rsid w:val="0025249A"/>
    <w:rsid w:val="002747E2"/>
    <w:rsid w:val="002776B0"/>
    <w:rsid w:val="002819E4"/>
    <w:rsid w:val="00281CCF"/>
    <w:rsid w:val="002878BD"/>
    <w:rsid w:val="00290253"/>
    <w:rsid w:val="00294F6C"/>
    <w:rsid w:val="002A1625"/>
    <w:rsid w:val="002B2418"/>
    <w:rsid w:val="002C0BA3"/>
    <w:rsid w:val="002C2CAE"/>
    <w:rsid w:val="002D60B9"/>
    <w:rsid w:val="002D7D4E"/>
    <w:rsid w:val="002E2255"/>
    <w:rsid w:val="002F08D1"/>
    <w:rsid w:val="002F14AC"/>
    <w:rsid w:val="002F423D"/>
    <w:rsid w:val="002F6065"/>
    <w:rsid w:val="00302882"/>
    <w:rsid w:val="00312942"/>
    <w:rsid w:val="0031513A"/>
    <w:rsid w:val="003179F4"/>
    <w:rsid w:val="00322DB3"/>
    <w:rsid w:val="00324E38"/>
    <w:rsid w:val="00326DDB"/>
    <w:rsid w:val="0034525F"/>
    <w:rsid w:val="00347436"/>
    <w:rsid w:val="00350AC2"/>
    <w:rsid w:val="003514C4"/>
    <w:rsid w:val="00361006"/>
    <w:rsid w:val="00363514"/>
    <w:rsid w:val="003717BE"/>
    <w:rsid w:val="003759E5"/>
    <w:rsid w:val="00380EB5"/>
    <w:rsid w:val="00381A1F"/>
    <w:rsid w:val="00387CFF"/>
    <w:rsid w:val="00391171"/>
    <w:rsid w:val="00392A0C"/>
    <w:rsid w:val="00396AD2"/>
    <w:rsid w:val="003B2660"/>
    <w:rsid w:val="003B496E"/>
    <w:rsid w:val="003B5599"/>
    <w:rsid w:val="003B70BC"/>
    <w:rsid w:val="003C4958"/>
    <w:rsid w:val="003C7775"/>
    <w:rsid w:val="003D0BF1"/>
    <w:rsid w:val="003D54AA"/>
    <w:rsid w:val="003D668D"/>
    <w:rsid w:val="003F12E6"/>
    <w:rsid w:val="003F3765"/>
    <w:rsid w:val="003F5981"/>
    <w:rsid w:val="00403F97"/>
    <w:rsid w:val="00413595"/>
    <w:rsid w:val="00432DB3"/>
    <w:rsid w:val="00434F5A"/>
    <w:rsid w:val="00437CE9"/>
    <w:rsid w:val="0044741A"/>
    <w:rsid w:val="00452316"/>
    <w:rsid w:val="004542B7"/>
    <w:rsid w:val="00460BA1"/>
    <w:rsid w:val="00463517"/>
    <w:rsid w:val="004653A6"/>
    <w:rsid w:val="00466ADB"/>
    <w:rsid w:val="0047482D"/>
    <w:rsid w:val="00477040"/>
    <w:rsid w:val="004803BF"/>
    <w:rsid w:val="004844A8"/>
    <w:rsid w:val="00486B53"/>
    <w:rsid w:val="00487020"/>
    <w:rsid w:val="0049073C"/>
    <w:rsid w:val="004932B6"/>
    <w:rsid w:val="004972F4"/>
    <w:rsid w:val="00497A3D"/>
    <w:rsid w:val="004A398B"/>
    <w:rsid w:val="004A418D"/>
    <w:rsid w:val="004B0EB0"/>
    <w:rsid w:val="004B285A"/>
    <w:rsid w:val="004B4B87"/>
    <w:rsid w:val="004B7BCF"/>
    <w:rsid w:val="004C2EC7"/>
    <w:rsid w:val="004C781C"/>
    <w:rsid w:val="004E2B6F"/>
    <w:rsid w:val="004E43FD"/>
    <w:rsid w:val="004F50F1"/>
    <w:rsid w:val="004F7582"/>
    <w:rsid w:val="00501855"/>
    <w:rsid w:val="00502320"/>
    <w:rsid w:val="005126D9"/>
    <w:rsid w:val="00513347"/>
    <w:rsid w:val="00517426"/>
    <w:rsid w:val="00523C14"/>
    <w:rsid w:val="00553182"/>
    <w:rsid w:val="00555724"/>
    <w:rsid w:val="00556CBC"/>
    <w:rsid w:val="005603F0"/>
    <w:rsid w:val="00570FD4"/>
    <w:rsid w:val="00584B96"/>
    <w:rsid w:val="005B35D5"/>
    <w:rsid w:val="005C6205"/>
    <w:rsid w:val="005E648B"/>
    <w:rsid w:val="005F2103"/>
    <w:rsid w:val="005F67AB"/>
    <w:rsid w:val="00606889"/>
    <w:rsid w:val="00610688"/>
    <w:rsid w:val="00610D1B"/>
    <w:rsid w:val="00615E0D"/>
    <w:rsid w:val="0061744A"/>
    <w:rsid w:val="0062033F"/>
    <w:rsid w:val="00630A4F"/>
    <w:rsid w:val="0063163F"/>
    <w:rsid w:val="00633AB8"/>
    <w:rsid w:val="00647B6B"/>
    <w:rsid w:val="00653258"/>
    <w:rsid w:val="006537C5"/>
    <w:rsid w:val="00655438"/>
    <w:rsid w:val="00671BD0"/>
    <w:rsid w:val="00685493"/>
    <w:rsid w:val="00686E18"/>
    <w:rsid w:val="00695EC6"/>
    <w:rsid w:val="006A1DAA"/>
    <w:rsid w:val="006A479C"/>
    <w:rsid w:val="006A6031"/>
    <w:rsid w:val="006B69EA"/>
    <w:rsid w:val="006E6C11"/>
    <w:rsid w:val="006E70A8"/>
    <w:rsid w:val="006F11C6"/>
    <w:rsid w:val="00702CFC"/>
    <w:rsid w:val="00704551"/>
    <w:rsid w:val="007078C1"/>
    <w:rsid w:val="00707986"/>
    <w:rsid w:val="00711DD2"/>
    <w:rsid w:val="0071415F"/>
    <w:rsid w:val="00721637"/>
    <w:rsid w:val="007265C1"/>
    <w:rsid w:val="007345AB"/>
    <w:rsid w:val="0073471B"/>
    <w:rsid w:val="007348E3"/>
    <w:rsid w:val="00742A8C"/>
    <w:rsid w:val="007447B0"/>
    <w:rsid w:val="007455B2"/>
    <w:rsid w:val="007839C4"/>
    <w:rsid w:val="00791E0E"/>
    <w:rsid w:val="007923AB"/>
    <w:rsid w:val="00795524"/>
    <w:rsid w:val="007A0445"/>
    <w:rsid w:val="007A24DA"/>
    <w:rsid w:val="007A2F35"/>
    <w:rsid w:val="007B530C"/>
    <w:rsid w:val="007B6201"/>
    <w:rsid w:val="007B7805"/>
    <w:rsid w:val="007C03B7"/>
    <w:rsid w:val="007C05AF"/>
    <w:rsid w:val="007C3A50"/>
    <w:rsid w:val="007E300F"/>
    <w:rsid w:val="007E61F5"/>
    <w:rsid w:val="007E62E9"/>
    <w:rsid w:val="007F2FDD"/>
    <w:rsid w:val="00801893"/>
    <w:rsid w:val="00802145"/>
    <w:rsid w:val="0080674B"/>
    <w:rsid w:val="00807A5F"/>
    <w:rsid w:val="00822B78"/>
    <w:rsid w:val="008258B6"/>
    <w:rsid w:val="00830473"/>
    <w:rsid w:val="00843A50"/>
    <w:rsid w:val="00843A79"/>
    <w:rsid w:val="0085735E"/>
    <w:rsid w:val="00860A0D"/>
    <w:rsid w:val="00880E4F"/>
    <w:rsid w:val="00890137"/>
    <w:rsid w:val="00891EB1"/>
    <w:rsid w:val="008A1D7A"/>
    <w:rsid w:val="008A44A3"/>
    <w:rsid w:val="008A7521"/>
    <w:rsid w:val="008E2893"/>
    <w:rsid w:val="008E2D42"/>
    <w:rsid w:val="008F262E"/>
    <w:rsid w:val="008F2A1B"/>
    <w:rsid w:val="008F3C4A"/>
    <w:rsid w:val="008F5E06"/>
    <w:rsid w:val="00903958"/>
    <w:rsid w:val="0090505E"/>
    <w:rsid w:val="00912E8C"/>
    <w:rsid w:val="009207C8"/>
    <w:rsid w:val="009344B6"/>
    <w:rsid w:val="00934E68"/>
    <w:rsid w:val="00936C10"/>
    <w:rsid w:val="00941525"/>
    <w:rsid w:val="00953D21"/>
    <w:rsid w:val="00961826"/>
    <w:rsid w:val="0096721B"/>
    <w:rsid w:val="00995547"/>
    <w:rsid w:val="0099554F"/>
    <w:rsid w:val="009961D2"/>
    <w:rsid w:val="009A5C35"/>
    <w:rsid w:val="009A644C"/>
    <w:rsid w:val="009B1679"/>
    <w:rsid w:val="009B75F3"/>
    <w:rsid w:val="009B7BA3"/>
    <w:rsid w:val="009D6130"/>
    <w:rsid w:val="009D6E94"/>
    <w:rsid w:val="009D79CD"/>
    <w:rsid w:val="009F2F09"/>
    <w:rsid w:val="00A013F0"/>
    <w:rsid w:val="00A12110"/>
    <w:rsid w:val="00A15D9E"/>
    <w:rsid w:val="00A24D0E"/>
    <w:rsid w:val="00A25BB8"/>
    <w:rsid w:val="00A33D06"/>
    <w:rsid w:val="00A340DF"/>
    <w:rsid w:val="00A36543"/>
    <w:rsid w:val="00A47669"/>
    <w:rsid w:val="00A50782"/>
    <w:rsid w:val="00A63346"/>
    <w:rsid w:val="00A633EC"/>
    <w:rsid w:val="00A64EE8"/>
    <w:rsid w:val="00A71D89"/>
    <w:rsid w:val="00A90D9B"/>
    <w:rsid w:val="00A91AF9"/>
    <w:rsid w:val="00A92200"/>
    <w:rsid w:val="00AA19E6"/>
    <w:rsid w:val="00AB14E2"/>
    <w:rsid w:val="00AB33BA"/>
    <w:rsid w:val="00AC04BC"/>
    <w:rsid w:val="00AC637A"/>
    <w:rsid w:val="00AE1CF6"/>
    <w:rsid w:val="00AE3A1C"/>
    <w:rsid w:val="00AE3B5A"/>
    <w:rsid w:val="00B12CDD"/>
    <w:rsid w:val="00B176F3"/>
    <w:rsid w:val="00B21790"/>
    <w:rsid w:val="00B21E1D"/>
    <w:rsid w:val="00B22D2C"/>
    <w:rsid w:val="00B24FFA"/>
    <w:rsid w:val="00B31785"/>
    <w:rsid w:val="00B31A0B"/>
    <w:rsid w:val="00B34AE0"/>
    <w:rsid w:val="00B43672"/>
    <w:rsid w:val="00B505B6"/>
    <w:rsid w:val="00B648CD"/>
    <w:rsid w:val="00B64CA4"/>
    <w:rsid w:val="00B73D67"/>
    <w:rsid w:val="00B74E18"/>
    <w:rsid w:val="00B7536D"/>
    <w:rsid w:val="00B76168"/>
    <w:rsid w:val="00B938F7"/>
    <w:rsid w:val="00BA0F3F"/>
    <w:rsid w:val="00BA1039"/>
    <w:rsid w:val="00BA41FD"/>
    <w:rsid w:val="00BA7891"/>
    <w:rsid w:val="00BB15B5"/>
    <w:rsid w:val="00BB3470"/>
    <w:rsid w:val="00BB5C21"/>
    <w:rsid w:val="00BE7E10"/>
    <w:rsid w:val="00BF0602"/>
    <w:rsid w:val="00BF74ED"/>
    <w:rsid w:val="00BF751A"/>
    <w:rsid w:val="00C04892"/>
    <w:rsid w:val="00C0659A"/>
    <w:rsid w:val="00C067DD"/>
    <w:rsid w:val="00C13F53"/>
    <w:rsid w:val="00C17285"/>
    <w:rsid w:val="00C36E1C"/>
    <w:rsid w:val="00C42CBA"/>
    <w:rsid w:val="00C43916"/>
    <w:rsid w:val="00C87A16"/>
    <w:rsid w:val="00C93386"/>
    <w:rsid w:val="00C95394"/>
    <w:rsid w:val="00CA4D26"/>
    <w:rsid w:val="00CA7C3E"/>
    <w:rsid w:val="00CA7C64"/>
    <w:rsid w:val="00CB1A0B"/>
    <w:rsid w:val="00CD06DA"/>
    <w:rsid w:val="00CD6F74"/>
    <w:rsid w:val="00CD7142"/>
    <w:rsid w:val="00CE3EFB"/>
    <w:rsid w:val="00CE5FDA"/>
    <w:rsid w:val="00CF1DEA"/>
    <w:rsid w:val="00CF69E3"/>
    <w:rsid w:val="00D16C1D"/>
    <w:rsid w:val="00D2529D"/>
    <w:rsid w:val="00D257D3"/>
    <w:rsid w:val="00D2690D"/>
    <w:rsid w:val="00D33914"/>
    <w:rsid w:val="00D53D73"/>
    <w:rsid w:val="00D66915"/>
    <w:rsid w:val="00D878D7"/>
    <w:rsid w:val="00D92FE1"/>
    <w:rsid w:val="00DC1D3E"/>
    <w:rsid w:val="00DC3906"/>
    <w:rsid w:val="00DC7D1E"/>
    <w:rsid w:val="00DD78BF"/>
    <w:rsid w:val="00DE2B2E"/>
    <w:rsid w:val="00DF1FAD"/>
    <w:rsid w:val="00E03A07"/>
    <w:rsid w:val="00E07013"/>
    <w:rsid w:val="00E110F1"/>
    <w:rsid w:val="00E131B7"/>
    <w:rsid w:val="00E21BF1"/>
    <w:rsid w:val="00E32FC2"/>
    <w:rsid w:val="00E43AB7"/>
    <w:rsid w:val="00E5623B"/>
    <w:rsid w:val="00E82751"/>
    <w:rsid w:val="00E84A89"/>
    <w:rsid w:val="00E903DF"/>
    <w:rsid w:val="00E907E3"/>
    <w:rsid w:val="00EA06D5"/>
    <w:rsid w:val="00EA1986"/>
    <w:rsid w:val="00EA50E9"/>
    <w:rsid w:val="00EB0BF5"/>
    <w:rsid w:val="00EC1CCC"/>
    <w:rsid w:val="00ED04D8"/>
    <w:rsid w:val="00ED1FAE"/>
    <w:rsid w:val="00ED2EA3"/>
    <w:rsid w:val="00ED3524"/>
    <w:rsid w:val="00ED4016"/>
    <w:rsid w:val="00ED425C"/>
    <w:rsid w:val="00ED54CA"/>
    <w:rsid w:val="00ED5971"/>
    <w:rsid w:val="00EE3FD2"/>
    <w:rsid w:val="00EF397F"/>
    <w:rsid w:val="00EF4435"/>
    <w:rsid w:val="00EF5114"/>
    <w:rsid w:val="00F021DE"/>
    <w:rsid w:val="00F127E3"/>
    <w:rsid w:val="00F13B0F"/>
    <w:rsid w:val="00F165B0"/>
    <w:rsid w:val="00F341D4"/>
    <w:rsid w:val="00F46754"/>
    <w:rsid w:val="00F530F3"/>
    <w:rsid w:val="00F57828"/>
    <w:rsid w:val="00F867ED"/>
    <w:rsid w:val="00FA1505"/>
    <w:rsid w:val="00FA4863"/>
    <w:rsid w:val="00FC3B02"/>
    <w:rsid w:val="00FD0E37"/>
    <w:rsid w:val="00FD2093"/>
    <w:rsid w:val="00FE5A05"/>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097"/>
    <o:shapelayout v:ext="edit">
      <o:idmap v:ext="edit" data="1"/>
    </o:shapelayout>
  </w:shapeDefaults>
  <w:decimalSymbol w:val="."/>
  <w:listSeparator w:val=","/>
  <w14:docId w14:val="231F65DD"/>
  <w15:docId w15:val="{794A636C-2596-41FF-8DDC-46B00BBFF57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zh-CN" w:bidi="ar-SA"/>
      </w:rPr>
    </w:rPrDefault>
    <w:pPrDefault/>
  </w:docDefaults>
  <w:latentStyles w:defLockedState="0" w:defUIPriority="99" w:defSemiHidden="0" w:defUnhideWhenUsed="0" w:defQFormat="0" w:count="371">
    <w:lsdException w:name="Normal" w:locked="1" w:uiPriority="0" w:qFormat="1"/>
    <w:lsdException w:name="heading 1" w:locked="1" w:uiPriority="0" w:qFormat="1"/>
    <w:lsdException w:name="heading 2" w:locked="1" w:uiPriority="0" w:qFormat="1"/>
    <w:lsdException w:name="heading 3" w:locked="1" w:semiHidden="1" w:uiPriority="0" w:unhideWhenUsed="1" w:qFormat="1"/>
    <w:lsdException w:name="heading 4" w:locked="1" w:semiHidden="1" w:uiPriority="0" w:unhideWhenUsed="1" w:qFormat="1"/>
    <w:lsdException w:name="heading 5" w:locked="1" w:semiHidden="1" w:uiPriority="0" w:unhideWhenUsed="1" w:qFormat="1"/>
    <w:lsdException w:name="heading 6" w:locked="1" w:semiHidden="1" w:uiPriority="0" w:unhideWhenUsed="1" w:qFormat="1"/>
    <w:lsdException w:name="heading 7" w:locked="1" w:semiHidden="1" w:uiPriority="0" w:unhideWhenUsed="1" w:qFormat="1"/>
    <w:lsdException w:name="heading 8" w:locked="1" w:semiHidden="1" w:uiPriority="0" w:unhideWhenUsed="1" w:qFormat="1"/>
    <w:lsdException w:name="heading 9" w:locked="1"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locked="1" w:uiPriority="0"/>
    <w:lsdException w:name="toc 2" w:locked="1" w:uiPriority="0"/>
    <w:lsdException w:name="toc 3" w:locked="1" w:uiPriority="0"/>
    <w:lsdException w:name="toc 4" w:locked="1" w:uiPriority="0"/>
    <w:lsdException w:name="toc 5" w:locked="1" w:uiPriority="0"/>
    <w:lsdException w:name="toc 6" w:locked="1" w:uiPriority="0"/>
    <w:lsdException w:name="toc 7" w:locked="1" w:uiPriority="0"/>
    <w:lsdException w:name="toc 8" w:locked="1" w:uiPriority="0"/>
    <w:lsdException w:name="toc 9" w:locked="1" w:uiPriority="0"/>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locked="1" w:uiPriority="0" w:qFormat="1"/>
    <w:lsdException w:name="Closing" w:semiHidden="1" w:unhideWhenUsed="1"/>
    <w:lsdException w:name="Signature" w:semiHidden="1" w:unhideWhenUsed="1"/>
    <w:lsdException w:name="Default Paragraph Font" w:locked="1" w:uiPriority="0"/>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locked="1" w:uiPriority="0" w:qFormat="1"/>
    <w:lsdException w:name="Emphasis" w:locked="1"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locked="1"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74E18"/>
    <w:pPr>
      <w:widowControl w:val="0"/>
      <w:adjustRightInd w:val="0"/>
      <w:spacing w:line="360" w:lineRule="atLeast"/>
      <w:jc w:val="both"/>
      <w:textAlignment w:val="baseline"/>
    </w:pPr>
    <w:rPr>
      <w:rFonts w:ascii="Times New Roman" w:hAnsi="Times New Roman"/>
    </w:rPr>
  </w:style>
  <w:style w:type="paragraph" w:styleId="1">
    <w:name w:val="heading 1"/>
    <w:basedOn w:val="a"/>
    <w:next w:val="a"/>
    <w:link w:val="1Char"/>
    <w:qFormat/>
    <w:locked/>
    <w:rsid w:val="00D92FE1"/>
    <w:pPr>
      <w:keepNext/>
      <w:keepLines/>
      <w:spacing w:before="340" w:after="330" w:line="578" w:lineRule="atLeast"/>
      <w:outlineLvl w:val="0"/>
    </w:pPr>
    <w:rPr>
      <w:b/>
      <w:bCs/>
      <w:kern w:val="44"/>
      <w:sz w:val="44"/>
      <w:szCs w:val="44"/>
    </w:rPr>
  </w:style>
  <w:style w:type="paragraph" w:styleId="2">
    <w:name w:val="heading 2"/>
    <w:basedOn w:val="a"/>
    <w:next w:val="a"/>
    <w:link w:val="2Char"/>
    <w:uiPriority w:val="99"/>
    <w:qFormat/>
    <w:rsid w:val="00D53D73"/>
    <w:pPr>
      <w:keepNext/>
      <w:keepLines/>
      <w:spacing w:before="260" w:after="260" w:line="416" w:lineRule="auto"/>
      <w:outlineLvl w:val="1"/>
    </w:pPr>
    <w:rPr>
      <w:rFonts w:ascii="Cambria" w:hAnsi="Cambria"/>
      <w:b/>
      <w:bCs/>
      <w:sz w:val="32"/>
      <w:szCs w:val="3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Char">
    <w:name w:val="标题 2 Char"/>
    <w:basedOn w:val="a0"/>
    <w:link w:val="2"/>
    <w:uiPriority w:val="99"/>
    <w:locked/>
    <w:rsid w:val="00D53D73"/>
    <w:rPr>
      <w:rFonts w:ascii="Cambria" w:eastAsia="宋体" w:hAnsi="Cambria" w:cs="Times New Roman"/>
      <w:b/>
      <w:bCs/>
      <w:sz w:val="32"/>
      <w:szCs w:val="32"/>
    </w:rPr>
  </w:style>
  <w:style w:type="paragraph" w:styleId="a3">
    <w:name w:val="header"/>
    <w:basedOn w:val="a"/>
    <w:link w:val="Char"/>
    <w:uiPriority w:val="99"/>
    <w:rsid w:val="00D53D73"/>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locked/>
    <w:rsid w:val="00D53D73"/>
    <w:rPr>
      <w:rFonts w:cs="Times New Roman"/>
      <w:sz w:val="18"/>
      <w:szCs w:val="18"/>
    </w:rPr>
  </w:style>
  <w:style w:type="paragraph" w:styleId="a4">
    <w:name w:val="footer"/>
    <w:basedOn w:val="a"/>
    <w:link w:val="Char0"/>
    <w:uiPriority w:val="99"/>
    <w:rsid w:val="00D53D73"/>
    <w:pPr>
      <w:tabs>
        <w:tab w:val="center" w:pos="4153"/>
        <w:tab w:val="right" w:pos="8306"/>
      </w:tabs>
      <w:snapToGrid w:val="0"/>
      <w:jc w:val="left"/>
    </w:pPr>
    <w:rPr>
      <w:sz w:val="18"/>
      <w:szCs w:val="18"/>
    </w:rPr>
  </w:style>
  <w:style w:type="character" w:customStyle="1" w:styleId="Char0">
    <w:name w:val="页脚 Char"/>
    <w:basedOn w:val="a0"/>
    <w:link w:val="a4"/>
    <w:uiPriority w:val="99"/>
    <w:locked/>
    <w:rsid w:val="00D53D73"/>
    <w:rPr>
      <w:rFonts w:cs="Times New Roman"/>
      <w:sz w:val="18"/>
      <w:szCs w:val="18"/>
    </w:rPr>
  </w:style>
  <w:style w:type="paragraph" w:styleId="a5">
    <w:name w:val="Balloon Text"/>
    <w:basedOn w:val="a"/>
    <w:link w:val="Char1"/>
    <w:uiPriority w:val="99"/>
    <w:semiHidden/>
    <w:rsid w:val="003D668D"/>
    <w:rPr>
      <w:sz w:val="18"/>
      <w:szCs w:val="18"/>
    </w:rPr>
  </w:style>
  <w:style w:type="character" w:customStyle="1" w:styleId="Char1">
    <w:name w:val="批注框文本 Char"/>
    <w:basedOn w:val="a0"/>
    <w:link w:val="a5"/>
    <w:uiPriority w:val="99"/>
    <w:semiHidden/>
    <w:locked/>
    <w:rsid w:val="003D668D"/>
    <w:rPr>
      <w:rFonts w:cs="Times New Roman"/>
      <w:sz w:val="18"/>
      <w:szCs w:val="18"/>
    </w:rPr>
  </w:style>
  <w:style w:type="table" w:styleId="a6">
    <w:name w:val="Table Grid"/>
    <w:basedOn w:val="a1"/>
    <w:uiPriority w:val="99"/>
    <w:rsid w:val="00C4391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7">
    <w:name w:val="Hyperlink"/>
    <w:basedOn w:val="a0"/>
    <w:uiPriority w:val="99"/>
    <w:rsid w:val="00C95394"/>
    <w:rPr>
      <w:rFonts w:cs="Times New Roman"/>
      <w:color w:val="0000FF"/>
      <w:u w:val="single"/>
    </w:rPr>
  </w:style>
  <w:style w:type="character" w:styleId="a8">
    <w:name w:val="Strong"/>
    <w:basedOn w:val="a0"/>
    <w:uiPriority w:val="99"/>
    <w:qFormat/>
    <w:rsid w:val="00C95394"/>
    <w:rPr>
      <w:rFonts w:cs="Times New Roman"/>
      <w:b/>
      <w:bCs/>
    </w:rPr>
  </w:style>
  <w:style w:type="character" w:styleId="a9">
    <w:name w:val="annotation reference"/>
    <w:basedOn w:val="a0"/>
    <w:uiPriority w:val="99"/>
    <w:semiHidden/>
    <w:rsid w:val="0031513A"/>
    <w:rPr>
      <w:rFonts w:cs="Times New Roman"/>
      <w:sz w:val="21"/>
      <w:szCs w:val="21"/>
    </w:rPr>
  </w:style>
  <w:style w:type="paragraph" w:styleId="aa">
    <w:name w:val="annotation text"/>
    <w:basedOn w:val="a"/>
    <w:link w:val="Char2"/>
    <w:uiPriority w:val="99"/>
    <w:semiHidden/>
    <w:rsid w:val="0031513A"/>
    <w:pPr>
      <w:jc w:val="left"/>
    </w:pPr>
  </w:style>
  <w:style w:type="character" w:customStyle="1" w:styleId="Char2">
    <w:name w:val="批注文字 Char"/>
    <w:basedOn w:val="a0"/>
    <w:link w:val="aa"/>
    <w:uiPriority w:val="99"/>
    <w:semiHidden/>
    <w:locked/>
    <w:rsid w:val="0031513A"/>
    <w:rPr>
      <w:rFonts w:ascii="Times New Roman" w:hAnsi="Times New Roman" w:cs="Times New Roman"/>
      <w:kern w:val="0"/>
      <w:sz w:val="20"/>
      <w:szCs w:val="20"/>
    </w:rPr>
  </w:style>
  <w:style w:type="paragraph" w:styleId="ab">
    <w:name w:val="annotation subject"/>
    <w:basedOn w:val="aa"/>
    <w:next w:val="aa"/>
    <w:link w:val="Char3"/>
    <w:uiPriority w:val="99"/>
    <w:semiHidden/>
    <w:rsid w:val="0031513A"/>
    <w:rPr>
      <w:b/>
      <w:bCs/>
    </w:rPr>
  </w:style>
  <w:style w:type="character" w:customStyle="1" w:styleId="Char3">
    <w:name w:val="批注主题 Char"/>
    <w:basedOn w:val="Char2"/>
    <w:link w:val="ab"/>
    <w:uiPriority w:val="99"/>
    <w:semiHidden/>
    <w:locked/>
    <w:rsid w:val="0031513A"/>
    <w:rPr>
      <w:rFonts w:ascii="Times New Roman" w:hAnsi="Times New Roman" w:cs="Times New Roman"/>
      <w:b/>
      <w:bCs/>
      <w:kern w:val="0"/>
      <w:sz w:val="20"/>
      <w:szCs w:val="20"/>
    </w:rPr>
  </w:style>
  <w:style w:type="paragraph" w:styleId="ac">
    <w:name w:val="Revision"/>
    <w:hidden/>
    <w:uiPriority w:val="99"/>
    <w:semiHidden/>
    <w:rsid w:val="00ED1FAE"/>
    <w:rPr>
      <w:rFonts w:ascii="Times New Roman" w:hAnsi="Times New Roman"/>
    </w:rPr>
  </w:style>
  <w:style w:type="character" w:customStyle="1" w:styleId="1Char">
    <w:name w:val="标题 1 Char"/>
    <w:basedOn w:val="a0"/>
    <w:link w:val="1"/>
    <w:rsid w:val="00D92FE1"/>
    <w:rPr>
      <w:rFonts w:ascii="Times New Roman" w:hAnsi="Times New Roman"/>
      <w:b/>
      <w:bCs/>
      <w:kern w:val="44"/>
      <w:sz w:val="44"/>
      <w:szCs w:val="44"/>
    </w:rPr>
  </w:style>
  <w:style w:type="paragraph" w:styleId="ad">
    <w:name w:val="List Paragraph"/>
    <w:basedOn w:val="a"/>
    <w:uiPriority w:val="34"/>
    <w:qFormat/>
    <w:rsid w:val="00B31A0B"/>
    <w:pPr>
      <w:ind w:firstLineChars="200" w:firstLine="4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576640">
      <w:bodyDiv w:val="1"/>
      <w:marLeft w:val="0"/>
      <w:marRight w:val="0"/>
      <w:marTop w:val="0"/>
      <w:marBottom w:val="0"/>
      <w:divBdr>
        <w:top w:val="none" w:sz="0" w:space="0" w:color="auto"/>
        <w:left w:val="none" w:sz="0" w:space="0" w:color="auto"/>
        <w:bottom w:val="none" w:sz="0" w:space="0" w:color="auto"/>
        <w:right w:val="none" w:sz="0" w:space="0" w:color="auto"/>
      </w:divBdr>
    </w:div>
    <w:div w:id="82149340">
      <w:bodyDiv w:val="1"/>
      <w:marLeft w:val="0"/>
      <w:marRight w:val="0"/>
      <w:marTop w:val="0"/>
      <w:marBottom w:val="0"/>
      <w:divBdr>
        <w:top w:val="none" w:sz="0" w:space="0" w:color="auto"/>
        <w:left w:val="none" w:sz="0" w:space="0" w:color="auto"/>
        <w:bottom w:val="none" w:sz="0" w:space="0" w:color="auto"/>
        <w:right w:val="none" w:sz="0" w:space="0" w:color="auto"/>
      </w:divBdr>
    </w:div>
    <w:div w:id="90471740">
      <w:bodyDiv w:val="1"/>
      <w:marLeft w:val="0"/>
      <w:marRight w:val="0"/>
      <w:marTop w:val="0"/>
      <w:marBottom w:val="0"/>
      <w:divBdr>
        <w:top w:val="none" w:sz="0" w:space="0" w:color="auto"/>
        <w:left w:val="none" w:sz="0" w:space="0" w:color="auto"/>
        <w:bottom w:val="none" w:sz="0" w:space="0" w:color="auto"/>
        <w:right w:val="none" w:sz="0" w:space="0" w:color="auto"/>
      </w:divBdr>
    </w:div>
    <w:div w:id="117377579">
      <w:bodyDiv w:val="1"/>
      <w:marLeft w:val="0"/>
      <w:marRight w:val="0"/>
      <w:marTop w:val="0"/>
      <w:marBottom w:val="0"/>
      <w:divBdr>
        <w:top w:val="none" w:sz="0" w:space="0" w:color="auto"/>
        <w:left w:val="none" w:sz="0" w:space="0" w:color="auto"/>
        <w:bottom w:val="none" w:sz="0" w:space="0" w:color="auto"/>
        <w:right w:val="none" w:sz="0" w:space="0" w:color="auto"/>
      </w:divBdr>
    </w:div>
    <w:div w:id="134103109">
      <w:bodyDiv w:val="1"/>
      <w:marLeft w:val="0"/>
      <w:marRight w:val="0"/>
      <w:marTop w:val="0"/>
      <w:marBottom w:val="0"/>
      <w:divBdr>
        <w:top w:val="none" w:sz="0" w:space="0" w:color="auto"/>
        <w:left w:val="none" w:sz="0" w:space="0" w:color="auto"/>
        <w:bottom w:val="none" w:sz="0" w:space="0" w:color="auto"/>
        <w:right w:val="none" w:sz="0" w:space="0" w:color="auto"/>
      </w:divBdr>
    </w:div>
    <w:div w:id="166673293">
      <w:bodyDiv w:val="1"/>
      <w:marLeft w:val="0"/>
      <w:marRight w:val="0"/>
      <w:marTop w:val="0"/>
      <w:marBottom w:val="0"/>
      <w:divBdr>
        <w:top w:val="none" w:sz="0" w:space="0" w:color="auto"/>
        <w:left w:val="none" w:sz="0" w:space="0" w:color="auto"/>
        <w:bottom w:val="none" w:sz="0" w:space="0" w:color="auto"/>
        <w:right w:val="none" w:sz="0" w:space="0" w:color="auto"/>
      </w:divBdr>
    </w:div>
    <w:div w:id="205340479">
      <w:bodyDiv w:val="1"/>
      <w:marLeft w:val="0"/>
      <w:marRight w:val="0"/>
      <w:marTop w:val="0"/>
      <w:marBottom w:val="0"/>
      <w:divBdr>
        <w:top w:val="none" w:sz="0" w:space="0" w:color="auto"/>
        <w:left w:val="none" w:sz="0" w:space="0" w:color="auto"/>
        <w:bottom w:val="none" w:sz="0" w:space="0" w:color="auto"/>
        <w:right w:val="none" w:sz="0" w:space="0" w:color="auto"/>
      </w:divBdr>
    </w:div>
    <w:div w:id="215548180">
      <w:bodyDiv w:val="1"/>
      <w:marLeft w:val="0"/>
      <w:marRight w:val="0"/>
      <w:marTop w:val="0"/>
      <w:marBottom w:val="0"/>
      <w:divBdr>
        <w:top w:val="none" w:sz="0" w:space="0" w:color="auto"/>
        <w:left w:val="none" w:sz="0" w:space="0" w:color="auto"/>
        <w:bottom w:val="none" w:sz="0" w:space="0" w:color="auto"/>
        <w:right w:val="none" w:sz="0" w:space="0" w:color="auto"/>
      </w:divBdr>
    </w:div>
    <w:div w:id="225381497">
      <w:bodyDiv w:val="1"/>
      <w:marLeft w:val="0"/>
      <w:marRight w:val="0"/>
      <w:marTop w:val="0"/>
      <w:marBottom w:val="0"/>
      <w:divBdr>
        <w:top w:val="none" w:sz="0" w:space="0" w:color="auto"/>
        <w:left w:val="none" w:sz="0" w:space="0" w:color="auto"/>
        <w:bottom w:val="none" w:sz="0" w:space="0" w:color="auto"/>
        <w:right w:val="none" w:sz="0" w:space="0" w:color="auto"/>
      </w:divBdr>
    </w:div>
    <w:div w:id="239339180">
      <w:bodyDiv w:val="1"/>
      <w:marLeft w:val="0"/>
      <w:marRight w:val="0"/>
      <w:marTop w:val="0"/>
      <w:marBottom w:val="0"/>
      <w:divBdr>
        <w:top w:val="none" w:sz="0" w:space="0" w:color="auto"/>
        <w:left w:val="none" w:sz="0" w:space="0" w:color="auto"/>
        <w:bottom w:val="none" w:sz="0" w:space="0" w:color="auto"/>
        <w:right w:val="none" w:sz="0" w:space="0" w:color="auto"/>
      </w:divBdr>
    </w:div>
    <w:div w:id="258952332">
      <w:bodyDiv w:val="1"/>
      <w:marLeft w:val="0"/>
      <w:marRight w:val="0"/>
      <w:marTop w:val="0"/>
      <w:marBottom w:val="0"/>
      <w:divBdr>
        <w:top w:val="none" w:sz="0" w:space="0" w:color="auto"/>
        <w:left w:val="none" w:sz="0" w:space="0" w:color="auto"/>
        <w:bottom w:val="none" w:sz="0" w:space="0" w:color="auto"/>
        <w:right w:val="none" w:sz="0" w:space="0" w:color="auto"/>
      </w:divBdr>
    </w:div>
    <w:div w:id="267397432">
      <w:bodyDiv w:val="1"/>
      <w:marLeft w:val="0"/>
      <w:marRight w:val="0"/>
      <w:marTop w:val="0"/>
      <w:marBottom w:val="0"/>
      <w:divBdr>
        <w:top w:val="none" w:sz="0" w:space="0" w:color="auto"/>
        <w:left w:val="none" w:sz="0" w:space="0" w:color="auto"/>
        <w:bottom w:val="none" w:sz="0" w:space="0" w:color="auto"/>
        <w:right w:val="none" w:sz="0" w:space="0" w:color="auto"/>
      </w:divBdr>
    </w:div>
    <w:div w:id="278415861">
      <w:bodyDiv w:val="1"/>
      <w:marLeft w:val="0"/>
      <w:marRight w:val="0"/>
      <w:marTop w:val="0"/>
      <w:marBottom w:val="0"/>
      <w:divBdr>
        <w:top w:val="none" w:sz="0" w:space="0" w:color="auto"/>
        <w:left w:val="none" w:sz="0" w:space="0" w:color="auto"/>
        <w:bottom w:val="none" w:sz="0" w:space="0" w:color="auto"/>
        <w:right w:val="none" w:sz="0" w:space="0" w:color="auto"/>
      </w:divBdr>
    </w:div>
    <w:div w:id="290981798">
      <w:bodyDiv w:val="1"/>
      <w:marLeft w:val="0"/>
      <w:marRight w:val="0"/>
      <w:marTop w:val="0"/>
      <w:marBottom w:val="0"/>
      <w:divBdr>
        <w:top w:val="none" w:sz="0" w:space="0" w:color="auto"/>
        <w:left w:val="none" w:sz="0" w:space="0" w:color="auto"/>
        <w:bottom w:val="none" w:sz="0" w:space="0" w:color="auto"/>
        <w:right w:val="none" w:sz="0" w:space="0" w:color="auto"/>
      </w:divBdr>
    </w:div>
    <w:div w:id="298844622">
      <w:bodyDiv w:val="1"/>
      <w:marLeft w:val="0"/>
      <w:marRight w:val="0"/>
      <w:marTop w:val="0"/>
      <w:marBottom w:val="0"/>
      <w:divBdr>
        <w:top w:val="none" w:sz="0" w:space="0" w:color="auto"/>
        <w:left w:val="none" w:sz="0" w:space="0" w:color="auto"/>
        <w:bottom w:val="none" w:sz="0" w:space="0" w:color="auto"/>
        <w:right w:val="none" w:sz="0" w:space="0" w:color="auto"/>
      </w:divBdr>
    </w:div>
    <w:div w:id="395468351">
      <w:bodyDiv w:val="1"/>
      <w:marLeft w:val="0"/>
      <w:marRight w:val="0"/>
      <w:marTop w:val="0"/>
      <w:marBottom w:val="0"/>
      <w:divBdr>
        <w:top w:val="none" w:sz="0" w:space="0" w:color="auto"/>
        <w:left w:val="none" w:sz="0" w:space="0" w:color="auto"/>
        <w:bottom w:val="none" w:sz="0" w:space="0" w:color="auto"/>
        <w:right w:val="none" w:sz="0" w:space="0" w:color="auto"/>
      </w:divBdr>
    </w:div>
    <w:div w:id="412046577">
      <w:bodyDiv w:val="1"/>
      <w:marLeft w:val="0"/>
      <w:marRight w:val="0"/>
      <w:marTop w:val="0"/>
      <w:marBottom w:val="0"/>
      <w:divBdr>
        <w:top w:val="none" w:sz="0" w:space="0" w:color="auto"/>
        <w:left w:val="none" w:sz="0" w:space="0" w:color="auto"/>
        <w:bottom w:val="none" w:sz="0" w:space="0" w:color="auto"/>
        <w:right w:val="none" w:sz="0" w:space="0" w:color="auto"/>
      </w:divBdr>
    </w:div>
    <w:div w:id="458112334">
      <w:bodyDiv w:val="1"/>
      <w:marLeft w:val="0"/>
      <w:marRight w:val="0"/>
      <w:marTop w:val="0"/>
      <w:marBottom w:val="0"/>
      <w:divBdr>
        <w:top w:val="none" w:sz="0" w:space="0" w:color="auto"/>
        <w:left w:val="none" w:sz="0" w:space="0" w:color="auto"/>
        <w:bottom w:val="none" w:sz="0" w:space="0" w:color="auto"/>
        <w:right w:val="none" w:sz="0" w:space="0" w:color="auto"/>
      </w:divBdr>
    </w:div>
    <w:div w:id="515728098">
      <w:bodyDiv w:val="1"/>
      <w:marLeft w:val="0"/>
      <w:marRight w:val="0"/>
      <w:marTop w:val="0"/>
      <w:marBottom w:val="0"/>
      <w:divBdr>
        <w:top w:val="none" w:sz="0" w:space="0" w:color="auto"/>
        <w:left w:val="none" w:sz="0" w:space="0" w:color="auto"/>
        <w:bottom w:val="none" w:sz="0" w:space="0" w:color="auto"/>
        <w:right w:val="none" w:sz="0" w:space="0" w:color="auto"/>
      </w:divBdr>
    </w:div>
    <w:div w:id="525364047">
      <w:bodyDiv w:val="1"/>
      <w:marLeft w:val="0"/>
      <w:marRight w:val="0"/>
      <w:marTop w:val="0"/>
      <w:marBottom w:val="0"/>
      <w:divBdr>
        <w:top w:val="none" w:sz="0" w:space="0" w:color="auto"/>
        <w:left w:val="none" w:sz="0" w:space="0" w:color="auto"/>
        <w:bottom w:val="none" w:sz="0" w:space="0" w:color="auto"/>
        <w:right w:val="none" w:sz="0" w:space="0" w:color="auto"/>
      </w:divBdr>
    </w:div>
    <w:div w:id="547381633">
      <w:bodyDiv w:val="1"/>
      <w:marLeft w:val="0"/>
      <w:marRight w:val="0"/>
      <w:marTop w:val="0"/>
      <w:marBottom w:val="0"/>
      <w:divBdr>
        <w:top w:val="none" w:sz="0" w:space="0" w:color="auto"/>
        <w:left w:val="none" w:sz="0" w:space="0" w:color="auto"/>
        <w:bottom w:val="none" w:sz="0" w:space="0" w:color="auto"/>
        <w:right w:val="none" w:sz="0" w:space="0" w:color="auto"/>
      </w:divBdr>
    </w:div>
    <w:div w:id="562060732">
      <w:bodyDiv w:val="1"/>
      <w:marLeft w:val="0"/>
      <w:marRight w:val="0"/>
      <w:marTop w:val="0"/>
      <w:marBottom w:val="0"/>
      <w:divBdr>
        <w:top w:val="none" w:sz="0" w:space="0" w:color="auto"/>
        <w:left w:val="none" w:sz="0" w:space="0" w:color="auto"/>
        <w:bottom w:val="none" w:sz="0" w:space="0" w:color="auto"/>
        <w:right w:val="none" w:sz="0" w:space="0" w:color="auto"/>
      </w:divBdr>
    </w:div>
    <w:div w:id="571550516">
      <w:bodyDiv w:val="1"/>
      <w:marLeft w:val="0"/>
      <w:marRight w:val="0"/>
      <w:marTop w:val="0"/>
      <w:marBottom w:val="0"/>
      <w:divBdr>
        <w:top w:val="none" w:sz="0" w:space="0" w:color="auto"/>
        <w:left w:val="none" w:sz="0" w:space="0" w:color="auto"/>
        <w:bottom w:val="none" w:sz="0" w:space="0" w:color="auto"/>
        <w:right w:val="none" w:sz="0" w:space="0" w:color="auto"/>
      </w:divBdr>
      <w:divsChild>
        <w:div w:id="87115348">
          <w:marLeft w:val="0"/>
          <w:marRight w:val="0"/>
          <w:marTop w:val="0"/>
          <w:marBottom w:val="0"/>
          <w:divBdr>
            <w:top w:val="none" w:sz="0" w:space="0" w:color="auto"/>
            <w:left w:val="single" w:sz="6" w:space="0" w:color="BCBCBC"/>
            <w:bottom w:val="none" w:sz="0" w:space="0" w:color="auto"/>
            <w:right w:val="single" w:sz="6" w:space="0" w:color="BCBCBC"/>
          </w:divBdr>
          <w:divsChild>
            <w:div w:id="1540508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94480098">
      <w:bodyDiv w:val="1"/>
      <w:marLeft w:val="0"/>
      <w:marRight w:val="0"/>
      <w:marTop w:val="0"/>
      <w:marBottom w:val="0"/>
      <w:divBdr>
        <w:top w:val="none" w:sz="0" w:space="0" w:color="auto"/>
        <w:left w:val="none" w:sz="0" w:space="0" w:color="auto"/>
        <w:bottom w:val="none" w:sz="0" w:space="0" w:color="auto"/>
        <w:right w:val="none" w:sz="0" w:space="0" w:color="auto"/>
      </w:divBdr>
    </w:div>
    <w:div w:id="610861870">
      <w:bodyDiv w:val="1"/>
      <w:marLeft w:val="0"/>
      <w:marRight w:val="0"/>
      <w:marTop w:val="0"/>
      <w:marBottom w:val="0"/>
      <w:divBdr>
        <w:top w:val="none" w:sz="0" w:space="0" w:color="auto"/>
        <w:left w:val="none" w:sz="0" w:space="0" w:color="auto"/>
        <w:bottom w:val="none" w:sz="0" w:space="0" w:color="auto"/>
        <w:right w:val="none" w:sz="0" w:space="0" w:color="auto"/>
      </w:divBdr>
    </w:div>
    <w:div w:id="633413688">
      <w:bodyDiv w:val="1"/>
      <w:marLeft w:val="0"/>
      <w:marRight w:val="0"/>
      <w:marTop w:val="0"/>
      <w:marBottom w:val="0"/>
      <w:divBdr>
        <w:top w:val="none" w:sz="0" w:space="0" w:color="auto"/>
        <w:left w:val="none" w:sz="0" w:space="0" w:color="auto"/>
        <w:bottom w:val="none" w:sz="0" w:space="0" w:color="auto"/>
        <w:right w:val="none" w:sz="0" w:space="0" w:color="auto"/>
      </w:divBdr>
    </w:div>
    <w:div w:id="645165441">
      <w:bodyDiv w:val="1"/>
      <w:marLeft w:val="0"/>
      <w:marRight w:val="0"/>
      <w:marTop w:val="0"/>
      <w:marBottom w:val="0"/>
      <w:divBdr>
        <w:top w:val="none" w:sz="0" w:space="0" w:color="auto"/>
        <w:left w:val="none" w:sz="0" w:space="0" w:color="auto"/>
        <w:bottom w:val="none" w:sz="0" w:space="0" w:color="auto"/>
        <w:right w:val="none" w:sz="0" w:space="0" w:color="auto"/>
      </w:divBdr>
    </w:div>
    <w:div w:id="649407213">
      <w:bodyDiv w:val="1"/>
      <w:marLeft w:val="0"/>
      <w:marRight w:val="0"/>
      <w:marTop w:val="0"/>
      <w:marBottom w:val="0"/>
      <w:divBdr>
        <w:top w:val="none" w:sz="0" w:space="0" w:color="auto"/>
        <w:left w:val="none" w:sz="0" w:space="0" w:color="auto"/>
        <w:bottom w:val="none" w:sz="0" w:space="0" w:color="auto"/>
        <w:right w:val="none" w:sz="0" w:space="0" w:color="auto"/>
      </w:divBdr>
    </w:div>
    <w:div w:id="744062726">
      <w:bodyDiv w:val="1"/>
      <w:marLeft w:val="0"/>
      <w:marRight w:val="0"/>
      <w:marTop w:val="0"/>
      <w:marBottom w:val="0"/>
      <w:divBdr>
        <w:top w:val="none" w:sz="0" w:space="0" w:color="auto"/>
        <w:left w:val="none" w:sz="0" w:space="0" w:color="auto"/>
        <w:bottom w:val="none" w:sz="0" w:space="0" w:color="auto"/>
        <w:right w:val="none" w:sz="0" w:space="0" w:color="auto"/>
      </w:divBdr>
    </w:div>
    <w:div w:id="756292006">
      <w:bodyDiv w:val="1"/>
      <w:marLeft w:val="0"/>
      <w:marRight w:val="0"/>
      <w:marTop w:val="0"/>
      <w:marBottom w:val="0"/>
      <w:divBdr>
        <w:top w:val="none" w:sz="0" w:space="0" w:color="auto"/>
        <w:left w:val="none" w:sz="0" w:space="0" w:color="auto"/>
        <w:bottom w:val="none" w:sz="0" w:space="0" w:color="auto"/>
        <w:right w:val="none" w:sz="0" w:space="0" w:color="auto"/>
      </w:divBdr>
    </w:div>
    <w:div w:id="766728964">
      <w:bodyDiv w:val="1"/>
      <w:marLeft w:val="0"/>
      <w:marRight w:val="0"/>
      <w:marTop w:val="0"/>
      <w:marBottom w:val="0"/>
      <w:divBdr>
        <w:top w:val="none" w:sz="0" w:space="0" w:color="auto"/>
        <w:left w:val="none" w:sz="0" w:space="0" w:color="auto"/>
        <w:bottom w:val="none" w:sz="0" w:space="0" w:color="auto"/>
        <w:right w:val="none" w:sz="0" w:space="0" w:color="auto"/>
      </w:divBdr>
    </w:div>
    <w:div w:id="777259191">
      <w:bodyDiv w:val="1"/>
      <w:marLeft w:val="0"/>
      <w:marRight w:val="0"/>
      <w:marTop w:val="0"/>
      <w:marBottom w:val="0"/>
      <w:divBdr>
        <w:top w:val="none" w:sz="0" w:space="0" w:color="auto"/>
        <w:left w:val="none" w:sz="0" w:space="0" w:color="auto"/>
        <w:bottom w:val="none" w:sz="0" w:space="0" w:color="auto"/>
        <w:right w:val="none" w:sz="0" w:space="0" w:color="auto"/>
      </w:divBdr>
    </w:div>
    <w:div w:id="782652630">
      <w:bodyDiv w:val="1"/>
      <w:marLeft w:val="0"/>
      <w:marRight w:val="0"/>
      <w:marTop w:val="0"/>
      <w:marBottom w:val="0"/>
      <w:divBdr>
        <w:top w:val="none" w:sz="0" w:space="0" w:color="auto"/>
        <w:left w:val="none" w:sz="0" w:space="0" w:color="auto"/>
        <w:bottom w:val="none" w:sz="0" w:space="0" w:color="auto"/>
        <w:right w:val="none" w:sz="0" w:space="0" w:color="auto"/>
      </w:divBdr>
    </w:div>
    <w:div w:id="801730346">
      <w:bodyDiv w:val="1"/>
      <w:marLeft w:val="0"/>
      <w:marRight w:val="0"/>
      <w:marTop w:val="0"/>
      <w:marBottom w:val="0"/>
      <w:divBdr>
        <w:top w:val="none" w:sz="0" w:space="0" w:color="auto"/>
        <w:left w:val="none" w:sz="0" w:space="0" w:color="auto"/>
        <w:bottom w:val="none" w:sz="0" w:space="0" w:color="auto"/>
        <w:right w:val="none" w:sz="0" w:space="0" w:color="auto"/>
      </w:divBdr>
    </w:div>
    <w:div w:id="811605069">
      <w:bodyDiv w:val="1"/>
      <w:marLeft w:val="0"/>
      <w:marRight w:val="0"/>
      <w:marTop w:val="0"/>
      <w:marBottom w:val="0"/>
      <w:divBdr>
        <w:top w:val="none" w:sz="0" w:space="0" w:color="auto"/>
        <w:left w:val="none" w:sz="0" w:space="0" w:color="auto"/>
        <w:bottom w:val="none" w:sz="0" w:space="0" w:color="auto"/>
        <w:right w:val="none" w:sz="0" w:space="0" w:color="auto"/>
      </w:divBdr>
    </w:div>
    <w:div w:id="819150978">
      <w:bodyDiv w:val="1"/>
      <w:marLeft w:val="0"/>
      <w:marRight w:val="0"/>
      <w:marTop w:val="0"/>
      <w:marBottom w:val="0"/>
      <w:divBdr>
        <w:top w:val="none" w:sz="0" w:space="0" w:color="auto"/>
        <w:left w:val="none" w:sz="0" w:space="0" w:color="auto"/>
        <w:bottom w:val="none" w:sz="0" w:space="0" w:color="auto"/>
        <w:right w:val="none" w:sz="0" w:space="0" w:color="auto"/>
      </w:divBdr>
    </w:div>
    <w:div w:id="823552135">
      <w:bodyDiv w:val="1"/>
      <w:marLeft w:val="0"/>
      <w:marRight w:val="0"/>
      <w:marTop w:val="0"/>
      <w:marBottom w:val="0"/>
      <w:divBdr>
        <w:top w:val="none" w:sz="0" w:space="0" w:color="auto"/>
        <w:left w:val="none" w:sz="0" w:space="0" w:color="auto"/>
        <w:bottom w:val="none" w:sz="0" w:space="0" w:color="auto"/>
        <w:right w:val="none" w:sz="0" w:space="0" w:color="auto"/>
      </w:divBdr>
    </w:div>
    <w:div w:id="854340175">
      <w:bodyDiv w:val="1"/>
      <w:marLeft w:val="0"/>
      <w:marRight w:val="0"/>
      <w:marTop w:val="0"/>
      <w:marBottom w:val="0"/>
      <w:divBdr>
        <w:top w:val="none" w:sz="0" w:space="0" w:color="auto"/>
        <w:left w:val="none" w:sz="0" w:space="0" w:color="auto"/>
        <w:bottom w:val="none" w:sz="0" w:space="0" w:color="auto"/>
        <w:right w:val="none" w:sz="0" w:space="0" w:color="auto"/>
      </w:divBdr>
    </w:div>
    <w:div w:id="864515928">
      <w:bodyDiv w:val="1"/>
      <w:marLeft w:val="0"/>
      <w:marRight w:val="0"/>
      <w:marTop w:val="0"/>
      <w:marBottom w:val="0"/>
      <w:divBdr>
        <w:top w:val="none" w:sz="0" w:space="0" w:color="auto"/>
        <w:left w:val="none" w:sz="0" w:space="0" w:color="auto"/>
        <w:bottom w:val="none" w:sz="0" w:space="0" w:color="auto"/>
        <w:right w:val="none" w:sz="0" w:space="0" w:color="auto"/>
      </w:divBdr>
    </w:div>
    <w:div w:id="869151056">
      <w:bodyDiv w:val="1"/>
      <w:marLeft w:val="0"/>
      <w:marRight w:val="0"/>
      <w:marTop w:val="0"/>
      <w:marBottom w:val="0"/>
      <w:divBdr>
        <w:top w:val="none" w:sz="0" w:space="0" w:color="auto"/>
        <w:left w:val="none" w:sz="0" w:space="0" w:color="auto"/>
        <w:bottom w:val="none" w:sz="0" w:space="0" w:color="auto"/>
        <w:right w:val="none" w:sz="0" w:space="0" w:color="auto"/>
      </w:divBdr>
    </w:div>
    <w:div w:id="909778754">
      <w:bodyDiv w:val="1"/>
      <w:marLeft w:val="0"/>
      <w:marRight w:val="0"/>
      <w:marTop w:val="0"/>
      <w:marBottom w:val="0"/>
      <w:divBdr>
        <w:top w:val="none" w:sz="0" w:space="0" w:color="auto"/>
        <w:left w:val="none" w:sz="0" w:space="0" w:color="auto"/>
        <w:bottom w:val="none" w:sz="0" w:space="0" w:color="auto"/>
        <w:right w:val="none" w:sz="0" w:space="0" w:color="auto"/>
      </w:divBdr>
    </w:div>
    <w:div w:id="921177661">
      <w:bodyDiv w:val="1"/>
      <w:marLeft w:val="0"/>
      <w:marRight w:val="0"/>
      <w:marTop w:val="0"/>
      <w:marBottom w:val="0"/>
      <w:divBdr>
        <w:top w:val="none" w:sz="0" w:space="0" w:color="auto"/>
        <w:left w:val="none" w:sz="0" w:space="0" w:color="auto"/>
        <w:bottom w:val="none" w:sz="0" w:space="0" w:color="auto"/>
        <w:right w:val="none" w:sz="0" w:space="0" w:color="auto"/>
      </w:divBdr>
    </w:div>
    <w:div w:id="924072756">
      <w:bodyDiv w:val="1"/>
      <w:marLeft w:val="0"/>
      <w:marRight w:val="0"/>
      <w:marTop w:val="0"/>
      <w:marBottom w:val="0"/>
      <w:divBdr>
        <w:top w:val="none" w:sz="0" w:space="0" w:color="auto"/>
        <w:left w:val="none" w:sz="0" w:space="0" w:color="auto"/>
        <w:bottom w:val="none" w:sz="0" w:space="0" w:color="auto"/>
        <w:right w:val="none" w:sz="0" w:space="0" w:color="auto"/>
      </w:divBdr>
    </w:div>
    <w:div w:id="935020412">
      <w:bodyDiv w:val="1"/>
      <w:marLeft w:val="0"/>
      <w:marRight w:val="0"/>
      <w:marTop w:val="0"/>
      <w:marBottom w:val="0"/>
      <w:divBdr>
        <w:top w:val="none" w:sz="0" w:space="0" w:color="auto"/>
        <w:left w:val="none" w:sz="0" w:space="0" w:color="auto"/>
        <w:bottom w:val="none" w:sz="0" w:space="0" w:color="auto"/>
        <w:right w:val="none" w:sz="0" w:space="0" w:color="auto"/>
      </w:divBdr>
    </w:div>
    <w:div w:id="986275518">
      <w:bodyDiv w:val="1"/>
      <w:marLeft w:val="0"/>
      <w:marRight w:val="0"/>
      <w:marTop w:val="0"/>
      <w:marBottom w:val="0"/>
      <w:divBdr>
        <w:top w:val="none" w:sz="0" w:space="0" w:color="auto"/>
        <w:left w:val="none" w:sz="0" w:space="0" w:color="auto"/>
        <w:bottom w:val="none" w:sz="0" w:space="0" w:color="auto"/>
        <w:right w:val="none" w:sz="0" w:space="0" w:color="auto"/>
      </w:divBdr>
    </w:div>
    <w:div w:id="1036276262">
      <w:bodyDiv w:val="1"/>
      <w:marLeft w:val="0"/>
      <w:marRight w:val="0"/>
      <w:marTop w:val="0"/>
      <w:marBottom w:val="0"/>
      <w:divBdr>
        <w:top w:val="none" w:sz="0" w:space="0" w:color="auto"/>
        <w:left w:val="none" w:sz="0" w:space="0" w:color="auto"/>
        <w:bottom w:val="none" w:sz="0" w:space="0" w:color="auto"/>
        <w:right w:val="none" w:sz="0" w:space="0" w:color="auto"/>
      </w:divBdr>
    </w:div>
    <w:div w:id="1052342982">
      <w:bodyDiv w:val="1"/>
      <w:marLeft w:val="0"/>
      <w:marRight w:val="0"/>
      <w:marTop w:val="0"/>
      <w:marBottom w:val="0"/>
      <w:divBdr>
        <w:top w:val="none" w:sz="0" w:space="0" w:color="auto"/>
        <w:left w:val="none" w:sz="0" w:space="0" w:color="auto"/>
        <w:bottom w:val="none" w:sz="0" w:space="0" w:color="auto"/>
        <w:right w:val="none" w:sz="0" w:space="0" w:color="auto"/>
      </w:divBdr>
    </w:div>
    <w:div w:id="1063604758">
      <w:bodyDiv w:val="1"/>
      <w:marLeft w:val="0"/>
      <w:marRight w:val="0"/>
      <w:marTop w:val="0"/>
      <w:marBottom w:val="0"/>
      <w:divBdr>
        <w:top w:val="none" w:sz="0" w:space="0" w:color="auto"/>
        <w:left w:val="none" w:sz="0" w:space="0" w:color="auto"/>
        <w:bottom w:val="none" w:sz="0" w:space="0" w:color="auto"/>
        <w:right w:val="none" w:sz="0" w:space="0" w:color="auto"/>
      </w:divBdr>
    </w:div>
    <w:div w:id="1108894653">
      <w:bodyDiv w:val="1"/>
      <w:marLeft w:val="0"/>
      <w:marRight w:val="0"/>
      <w:marTop w:val="0"/>
      <w:marBottom w:val="0"/>
      <w:divBdr>
        <w:top w:val="none" w:sz="0" w:space="0" w:color="auto"/>
        <w:left w:val="none" w:sz="0" w:space="0" w:color="auto"/>
        <w:bottom w:val="none" w:sz="0" w:space="0" w:color="auto"/>
        <w:right w:val="none" w:sz="0" w:space="0" w:color="auto"/>
      </w:divBdr>
    </w:div>
    <w:div w:id="1189291448">
      <w:bodyDiv w:val="1"/>
      <w:marLeft w:val="0"/>
      <w:marRight w:val="0"/>
      <w:marTop w:val="0"/>
      <w:marBottom w:val="0"/>
      <w:divBdr>
        <w:top w:val="none" w:sz="0" w:space="0" w:color="auto"/>
        <w:left w:val="none" w:sz="0" w:space="0" w:color="auto"/>
        <w:bottom w:val="none" w:sz="0" w:space="0" w:color="auto"/>
        <w:right w:val="none" w:sz="0" w:space="0" w:color="auto"/>
      </w:divBdr>
    </w:div>
    <w:div w:id="1253857525">
      <w:bodyDiv w:val="1"/>
      <w:marLeft w:val="0"/>
      <w:marRight w:val="0"/>
      <w:marTop w:val="0"/>
      <w:marBottom w:val="0"/>
      <w:divBdr>
        <w:top w:val="none" w:sz="0" w:space="0" w:color="auto"/>
        <w:left w:val="none" w:sz="0" w:space="0" w:color="auto"/>
        <w:bottom w:val="none" w:sz="0" w:space="0" w:color="auto"/>
        <w:right w:val="none" w:sz="0" w:space="0" w:color="auto"/>
      </w:divBdr>
    </w:div>
    <w:div w:id="1254512263">
      <w:bodyDiv w:val="1"/>
      <w:marLeft w:val="0"/>
      <w:marRight w:val="0"/>
      <w:marTop w:val="0"/>
      <w:marBottom w:val="0"/>
      <w:divBdr>
        <w:top w:val="none" w:sz="0" w:space="0" w:color="auto"/>
        <w:left w:val="none" w:sz="0" w:space="0" w:color="auto"/>
        <w:bottom w:val="none" w:sz="0" w:space="0" w:color="auto"/>
        <w:right w:val="none" w:sz="0" w:space="0" w:color="auto"/>
      </w:divBdr>
    </w:div>
    <w:div w:id="1258756509">
      <w:bodyDiv w:val="1"/>
      <w:marLeft w:val="0"/>
      <w:marRight w:val="0"/>
      <w:marTop w:val="0"/>
      <w:marBottom w:val="0"/>
      <w:divBdr>
        <w:top w:val="none" w:sz="0" w:space="0" w:color="auto"/>
        <w:left w:val="none" w:sz="0" w:space="0" w:color="auto"/>
        <w:bottom w:val="none" w:sz="0" w:space="0" w:color="auto"/>
        <w:right w:val="none" w:sz="0" w:space="0" w:color="auto"/>
      </w:divBdr>
    </w:div>
    <w:div w:id="1271013096">
      <w:bodyDiv w:val="1"/>
      <w:marLeft w:val="0"/>
      <w:marRight w:val="0"/>
      <w:marTop w:val="0"/>
      <w:marBottom w:val="0"/>
      <w:divBdr>
        <w:top w:val="none" w:sz="0" w:space="0" w:color="auto"/>
        <w:left w:val="none" w:sz="0" w:space="0" w:color="auto"/>
        <w:bottom w:val="none" w:sz="0" w:space="0" w:color="auto"/>
        <w:right w:val="none" w:sz="0" w:space="0" w:color="auto"/>
      </w:divBdr>
    </w:div>
    <w:div w:id="1297838633">
      <w:bodyDiv w:val="1"/>
      <w:marLeft w:val="0"/>
      <w:marRight w:val="0"/>
      <w:marTop w:val="0"/>
      <w:marBottom w:val="0"/>
      <w:divBdr>
        <w:top w:val="none" w:sz="0" w:space="0" w:color="auto"/>
        <w:left w:val="none" w:sz="0" w:space="0" w:color="auto"/>
        <w:bottom w:val="none" w:sz="0" w:space="0" w:color="auto"/>
        <w:right w:val="none" w:sz="0" w:space="0" w:color="auto"/>
      </w:divBdr>
    </w:div>
    <w:div w:id="1322389181">
      <w:bodyDiv w:val="1"/>
      <w:marLeft w:val="0"/>
      <w:marRight w:val="0"/>
      <w:marTop w:val="0"/>
      <w:marBottom w:val="0"/>
      <w:divBdr>
        <w:top w:val="none" w:sz="0" w:space="0" w:color="auto"/>
        <w:left w:val="none" w:sz="0" w:space="0" w:color="auto"/>
        <w:bottom w:val="none" w:sz="0" w:space="0" w:color="auto"/>
        <w:right w:val="none" w:sz="0" w:space="0" w:color="auto"/>
      </w:divBdr>
    </w:div>
    <w:div w:id="1332568091">
      <w:bodyDiv w:val="1"/>
      <w:marLeft w:val="0"/>
      <w:marRight w:val="0"/>
      <w:marTop w:val="0"/>
      <w:marBottom w:val="0"/>
      <w:divBdr>
        <w:top w:val="none" w:sz="0" w:space="0" w:color="auto"/>
        <w:left w:val="none" w:sz="0" w:space="0" w:color="auto"/>
        <w:bottom w:val="none" w:sz="0" w:space="0" w:color="auto"/>
        <w:right w:val="none" w:sz="0" w:space="0" w:color="auto"/>
      </w:divBdr>
    </w:div>
    <w:div w:id="1345202317">
      <w:bodyDiv w:val="1"/>
      <w:marLeft w:val="0"/>
      <w:marRight w:val="0"/>
      <w:marTop w:val="0"/>
      <w:marBottom w:val="0"/>
      <w:divBdr>
        <w:top w:val="none" w:sz="0" w:space="0" w:color="auto"/>
        <w:left w:val="none" w:sz="0" w:space="0" w:color="auto"/>
        <w:bottom w:val="none" w:sz="0" w:space="0" w:color="auto"/>
        <w:right w:val="none" w:sz="0" w:space="0" w:color="auto"/>
      </w:divBdr>
    </w:div>
    <w:div w:id="1364746936">
      <w:bodyDiv w:val="1"/>
      <w:marLeft w:val="0"/>
      <w:marRight w:val="0"/>
      <w:marTop w:val="0"/>
      <w:marBottom w:val="0"/>
      <w:divBdr>
        <w:top w:val="none" w:sz="0" w:space="0" w:color="auto"/>
        <w:left w:val="none" w:sz="0" w:space="0" w:color="auto"/>
        <w:bottom w:val="none" w:sz="0" w:space="0" w:color="auto"/>
        <w:right w:val="none" w:sz="0" w:space="0" w:color="auto"/>
      </w:divBdr>
    </w:div>
    <w:div w:id="1390808708">
      <w:bodyDiv w:val="1"/>
      <w:marLeft w:val="0"/>
      <w:marRight w:val="0"/>
      <w:marTop w:val="0"/>
      <w:marBottom w:val="0"/>
      <w:divBdr>
        <w:top w:val="none" w:sz="0" w:space="0" w:color="auto"/>
        <w:left w:val="none" w:sz="0" w:space="0" w:color="auto"/>
        <w:bottom w:val="none" w:sz="0" w:space="0" w:color="auto"/>
        <w:right w:val="none" w:sz="0" w:space="0" w:color="auto"/>
      </w:divBdr>
    </w:div>
    <w:div w:id="1495607501">
      <w:bodyDiv w:val="1"/>
      <w:marLeft w:val="0"/>
      <w:marRight w:val="0"/>
      <w:marTop w:val="0"/>
      <w:marBottom w:val="0"/>
      <w:divBdr>
        <w:top w:val="none" w:sz="0" w:space="0" w:color="auto"/>
        <w:left w:val="none" w:sz="0" w:space="0" w:color="auto"/>
        <w:bottom w:val="none" w:sz="0" w:space="0" w:color="auto"/>
        <w:right w:val="none" w:sz="0" w:space="0" w:color="auto"/>
      </w:divBdr>
    </w:div>
    <w:div w:id="1527404914">
      <w:bodyDiv w:val="1"/>
      <w:marLeft w:val="0"/>
      <w:marRight w:val="0"/>
      <w:marTop w:val="0"/>
      <w:marBottom w:val="0"/>
      <w:divBdr>
        <w:top w:val="none" w:sz="0" w:space="0" w:color="auto"/>
        <w:left w:val="none" w:sz="0" w:space="0" w:color="auto"/>
        <w:bottom w:val="none" w:sz="0" w:space="0" w:color="auto"/>
        <w:right w:val="none" w:sz="0" w:space="0" w:color="auto"/>
      </w:divBdr>
    </w:div>
    <w:div w:id="1572882440">
      <w:bodyDiv w:val="1"/>
      <w:marLeft w:val="0"/>
      <w:marRight w:val="0"/>
      <w:marTop w:val="0"/>
      <w:marBottom w:val="0"/>
      <w:divBdr>
        <w:top w:val="none" w:sz="0" w:space="0" w:color="auto"/>
        <w:left w:val="none" w:sz="0" w:space="0" w:color="auto"/>
        <w:bottom w:val="none" w:sz="0" w:space="0" w:color="auto"/>
        <w:right w:val="none" w:sz="0" w:space="0" w:color="auto"/>
      </w:divBdr>
    </w:div>
    <w:div w:id="1609197951">
      <w:bodyDiv w:val="1"/>
      <w:marLeft w:val="0"/>
      <w:marRight w:val="0"/>
      <w:marTop w:val="0"/>
      <w:marBottom w:val="0"/>
      <w:divBdr>
        <w:top w:val="none" w:sz="0" w:space="0" w:color="auto"/>
        <w:left w:val="none" w:sz="0" w:space="0" w:color="auto"/>
        <w:bottom w:val="none" w:sz="0" w:space="0" w:color="auto"/>
        <w:right w:val="none" w:sz="0" w:space="0" w:color="auto"/>
      </w:divBdr>
    </w:div>
    <w:div w:id="1656763705">
      <w:bodyDiv w:val="1"/>
      <w:marLeft w:val="0"/>
      <w:marRight w:val="0"/>
      <w:marTop w:val="0"/>
      <w:marBottom w:val="0"/>
      <w:divBdr>
        <w:top w:val="none" w:sz="0" w:space="0" w:color="auto"/>
        <w:left w:val="none" w:sz="0" w:space="0" w:color="auto"/>
        <w:bottom w:val="none" w:sz="0" w:space="0" w:color="auto"/>
        <w:right w:val="none" w:sz="0" w:space="0" w:color="auto"/>
      </w:divBdr>
    </w:div>
    <w:div w:id="1672100017">
      <w:bodyDiv w:val="1"/>
      <w:marLeft w:val="0"/>
      <w:marRight w:val="0"/>
      <w:marTop w:val="0"/>
      <w:marBottom w:val="0"/>
      <w:divBdr>
        <w:top w:val="none" w:sz="0" w:space="0" w:color="auto"/>
        <w:left w:val="none" w:sz="0" w:space="0" w:color="auto"/>
        <w:bottom w:val="none" w:sz="0" w:space="0" w:color="auto"/>
        <w:right w:val="none" w:sz="0" w:space="0" w:color="auto"/>
      </w:divBdr>
    </w:div>
    <w:div w:id="1675918404">
      <w:bodyDiv w:val="1"/>
      <w:marLeft w:val="0"/>
      <w:marRight w:val="0"/>
      <w:marTop w:val="0"/>
      <w:marBottom w:val="0"/>
      <w:divBdr>
        <w:top w:val="none" w:sz="0" w:space="0" w:color="auto"/>
        <w:left w:val="none" w:sz="0" w:space="0" w:color="auto"/>
        <w:bottom w:val="none" w:sz="0" w:space="0" w:color="auto"/>
        <w:right w:val="none" w:sz="0" w:space="0" w:color="auto"/>
      </w:divBdr>
    </w:div>
    <w:div w:id="1692301265">
      <w:bodyDiv w:val="1"/>
      <w:marLeft w:val="0"/>
      <w:marRight w:val="0"/>
      <w:marTop w:val="0"/>
      <w:marBottom w:val="0"/>
      <w:divBdr>
        <w:top w:val="none" w:sz="0" w:space="0" w:color="auto"/>
        <w:left w:val="none" w:sz="0" w:space="0" w:color="auto"/>
        <w:bottom w:val="none" w:sz="0" w:space="0" w:color="auto"/>
        <w:right w:val="none" w:sz="0" w:space="0" w:color="auto"/>
      </w:divBdr>
    </w:div>
    <w:div w:id="1779056524">
      <w:bodyDiv w:val="1"/>
      <w:marLeft w:val="0"/>
      <w:marRight w:val="0"/>
      <w:marTop w:val="0"/>
      <w:marBottom w:val="0"/>
      <w:divBdr>
        <w:top w:val="none" w:sz="0" w:space="0" w:color="auto"/>
        <w:left w:val="none" w:sz="0" w:space="0" w:color="auto"/>
        <w:bottom w:val="none" w:sz="0" w:space="0" w:color="auto"/>
        <w:right w:val="none" w:sz="0" w:space="0" w:color="auto"/>
      </w:divBdr>
    </w:div>
    <w:div w:id="1811361853">
      <w:bodyDiv w:val="1"/>
      <w:marLeft w:val="0"/>
      <w:marRight w:val="0"/>
      <w:marTop w:val="0"/>
      <w:marBottom w:val="0"/>
      <w:divBdr>
        <w:top w:val="none" w:sz="0" w:space="0" w:color="auto"/>
        <w:left w:val="none" w:sz="0" w:space="0" w:color="auto"/>
        <w:bottom w:val="none" w:sz="0" w:space="0" w:color="auto"/>
        <w:right w:val="none" w:sz="0" w:space="0" w:color="auto"/>
      </w:divBdr>
    </w:div>
    <w:div w:id="1823426240">
      <w:bodyDiv w:val="1"/>
      <w:marLeft w:val="0"/>
      <w:marRight w:val="0"/>
      <w:marTop w:val="0"/>
      <w:marBottom w:val="0"/>
      <w:divBdr>
        <w:top w:val="none" w:sz="0" w:space="0" w:color="auto"/>
        <w:left w:val="none" w:sz="0" w:space="0" w:color="auto"/>
        <w:bottom w:val="none" w:sz="0" w:space="0" w:color="auto"/>
        <w:right w:val="none" w:sz="0" w:space="0" w:color="auto"/>
      </w:divBdr>
    </w:div>
    <w:div w:id="1844276185">
      <w:bodyDiv w:val="1"/>
      <w:marLeft w:val="0"/>
      <w:marRight w:val="0"/>
      <w:marTop w:val="0"/>
      <w:marBottom w:val="0"/>
      <w:divBdr>
        <w:top w:val="none" w:sz="0" w:space="0" w:color="auto"/>
        <w:left w:val="none" w:sz="0" w:space="0" w:color="auto"/>
        <w:bottom w:val="none" w:sz="0" w:space="0" w:color="auto"/>
        <w:right w:val="none" w:sz="0" w:space="0" w:color="auto"/>
      </w:divBdr>
    </w:div>
    <w:div w:id="1870678443">
      <w:bodyDiv w:val="1"/>
      <w:marLeft w:val="0"/>
      <w:marRight w:val="0"/>
      <w:marTop w:val="0"/>
      <w:marBottom w:val="0"/>
      <w:divBdr>
        <w:top w:val="none" w:sz="0" w:space="0" w:color="auto"/>
        <w:left w:val="none" w:sz="0" w:space="0" w:color="auto"/>
        <w:bottom w:val="none" w:sz="0" w:space="0" w:color="auto"/>
        <w:right w:val="none" w:sz="0" w:space="0" w:color="auto"/>
      </w:divBdr>
    </w:div>
    <w:div w:id="1877352808">
      <w:bodyDiv w:val="1"/>
      <w:marLeft w:val="0"/>
      <w:marRight w:val="0"/>
      <w:marTop w:val="0"/>
      <w:marBottom w:val="0"/>
      <w:divBdr>
        <w:top w:val="none" w:sz="0" w:space="0" w:color="auto"/>
        <w:left w:val="none" w:sz="0" w:space="0" w:color="auto"/>
        <w:bottom w:val="none" w:sz="0" w:space="0" w:color="auto"/>
        <w:right w:val="none" w:sz="0" w:space="0" w:color="auto"/>
      </w:divBdr>
    </w:div>
    <w:div w:id="1881936393">
      <w:bodyDiv w:val="1"/>
      <w:marLeft w:val="0"/>
      <w:marRight w:val="0"/>
      <w:marTop w:val="0"/>
      <w:marBottom w:val="0"/>
      <w:divBdr>
        <w:top w:val="none" w:sz="0" w:space="0" w:color="auto"/>
        <w:left w:val="none" w:sz="0" w:space="0" w:color="auto"/>
        <w:bottom w:val="none" w:sz="0" w:space="0" w:color="auto"/>
        <w:right w:val="none" w:sz="0" w:space="0" w:color="auto"/>
      </w:divBdr>
    </w:div>
    <w:div w:id="1895118452">
      <w:marLeft w:val="0"/>
      <w:marRight w:val="0"/>
      <w:marTop w:val="0"/>
      <w:marBottom w:val="0"/>
      <w:divBdr>
        <w:top w:val="none" w:sz="0" w:space="0" w:color="auto"/>
        <w:left w:val="none" w:sz="0" w:space="0" w:color="auto"/>
        <w:bottom w:val="none" w:sz="0" w:space="0" w:color="auto"/>
        <w:right w:val="none" w:sz="0" w:space="0" w:color="auto"/>
      </w:divBdr>
    </w:div>
    <w:div w:id="1895118453">
      <w:marLeft w:val="0"/>
      <w:marRight w:val="0"/>
      <w:marTop w:val="0"/>
      <w:marBottom w:val="0"/>
      <w:divBdr>
        <w:top w:val="none" w:sz="0" w:space="0" w:color="auto"/>
        <w:left w:val="none" w:sz="0" w:space="0" w:color="auto"/>
        <w:bottom w:val="none" w:sz="0" w:space="0" w:color="auto"/>
        <w:right w:val="none" w:sz="0" w:space="0" w:color="auto"/>
      </w:divBdr>
    </w:div>
    <w:div w:id="1895118454">
      <w:marLeft w:val="0"/>
      <w:marRight w:val="0"/>
      <w:marTop w:val="0"/>
      <w:marBottom w:val="0"/>
      <w:divBdr>
        <w:top w:val="none" w:sz="0" w:space="0" w:color="auto"/>
        <w:left w:val="none" w:sz="0" w:space="0" w:color="auto"/>
        <w:bottom w:val="none" w:sz="0" w:space="0" w:color="auto"/>
        <w:right w:val="none" w:sz="0" w:space="0" w:color="auto"/>
      </w:divBdr>
    </w:div>
    <w:div w:id="1895118455">
      <w:marLeft w:val="0"/>
      <w:marRight w:val="0"/>
      <w:marTop w:val="0"/>
      <w:marBottom w:val="0"/>
      <w:divBdr>
        <w:top w:val="none" w:sz="0" w:space="0" w:color="auto"/>
        <w:left w:val="none" w:sz="0" w:space="0" w:color="auto"/>
        <w:bottom w:val="none" w:sz="0" w:space="0" w:color="auto"/>
        <w:right w:val="none" w:sz="0" w:space="0" w:color="auto"/>
      </w:divBdr>
    </w:div>
    <w:div w:id="1932620906">
      <w:bodyDiv w:val="1"/>
      <w:marLeft w:val="0"/>
      <w:marRight w:val="0"/>
      <w:marTop w:val="0"/>
      <w:marBottom w:val="0"/>
      <w:divBdr>
        <w:top w:val="none" w:sz="0" w:space="0" w:color="auto"/>
        <w:left w:val="none" w:sz="0" w:space="0" w:color="auto"/>
        <w:bottom w:val="none" w:sz="0" w:space="0" w:color="auto"/>
        <w:right w:val="none" w:sz="0" w:space="0" w:color="auto"/>
      </w:divBdr>
    </w:div>
    <w:div w:id="2043675715">
      <w:bodyDiv w:val="1"/>
      <w:marLeft w:val="0"/>
      <w:marRight w:val="0"/>
      <w:marTop w:val="0"/>
      <w:marBottom w:val="0"/>
      <w:divBdr>
        <w:top w:val="none" w:sz="0" w:space="0" w:color="auto"/>
        <w:left w:val="none" w:sz="0" w:space="0" w:color="auto"/>
        <w:bottom w:val="none" w:sz="0" w:space="0" w:color="auto"/>
        <w:right w:val="none" w:sz="0" w:space="0" w:color="auto"/>
      </w:divBdr>
    </w:div>
    <w:div w:id="2048094524">
      <w:bodyDiv w:val="1"/>
      <w:marLeft w:val="0"/>
      <w:marRight w:val="0"/>
      <w:marTop w:val="0"/>
      <w:marBottom w:val="0"/>
      <w:divBdr>
        <w:top w:val="none" w:sz="0" w:space="0" w:color="auto"/>
        <w:left w:val="none" w:sz="0" w:space="0" w:color="auto"/>
        <w:bottom w:val="none" w:sz="0" w:space="0" w:color="auto"/>
        <w:right w:val="none" w:sz="0" w:space="0" w:color="auto"/>
      </w:divBdr>
    </w:div>
    <w:div w:id="2074962042">
      <w:bodyDiv w:val="1"/>
      <w:marLeft w:val="0"/>
      <w:marRight w:val="0"/>
      <w:marTop w:val="0"/>
      <w:marBottom w:val="0"/>
      <w:divBdr>
        <w:top w:val="none" w:sz="0" w:space="0" w:color="auto"/>
        <w:left w:val="none" w:sz="0" w:space="0" w:color="auto"/>
        <w:bottom w:val="none" w:sz="0" w:space="0" w:color="auto"/>
        <w:right w:val="none" w:sz="0" w:space="0" w:color="auto"/>
      </w:divBdr>
    </w:div>
    <w:div w:id="2110469023">
      <w:bodyDiv w:val="1"/>
      <w:marLeft w:val="0"/>
      <w:marRight w:val="0"/>
      <w:marTop w:val="0"/>
      <w:marBottom w:val="0"/>
      <w:divBdr>
        <w:top w:val="none" w:sz="0" w:space="0" w:color="auto"/>
        <w:left w:val="none" w:sz="0" w:space="0" w:color="auto"/>
        <w:bottom w:val="none" w:sz="0" w:space="0" w:color="auto"/>
        <w:right w:val="none" w:sz="0" w:space="0" w:color="auto"/>
      </w:divBdr>
    </w:div>
    <w:div w:id="21330922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2835679-F80D-4F8E-98E3-900231A92BD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13</TotalTime>
  <Pages>8</Pages>
  <Words>5011</Words>
  <Characters>1202</Characters>
  <Application>Microsoft Office Word</Application>
  <DocSecurity>0</DocSecurity>
  <Lines>10</Lines>
  <Paragraphs>12</Paragraphs>
  <ScaleCrop>false</ScaleCrop>
  <HeadingPairs>
    <vt:vector size="4" baseType="variant">
      <vt:variant>
        <vt:lpstr>Title</vt:lpstr>
      </vt:variant>
      <vt:variant>
        <vt:i4>1</vt:i4>
      </vt:variant>
      <vt:variant>
        <vt:lpstr>Headings</vt:lpstr>
      </vt:variant>
      <vt:variant>
        <vt:i4>4</vt:i4>
      </vt:variant>
    </vt:vector>
  </HeadingPairs>
  <TitlesOfParts>
    <vt:vector size="5" baseType="lpstr">
      <vt:lpstr/>
      <vt:lpstr>    </vt:lpstr>
      <vt:lpstr>    交银施罗德瑞安定期开放</vt:lpstr>
      <vt:lpstr>    灵活配置混合型</vt:lpstr>
      <vt:lpstr>    证券投资基金清算报告</vt:lpstr>
    </vt:vector>
  </TitlesOfParts>
  <Company>Lenovo</Company>
  <LinksUpToDate>false</LinksUpToDate>
  <CharactersWithSpaces>6201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zhangfe</dc:creator>
  <cp:lastModifiedBy>郝婷婷</cp:lastModifiedBy>
  <cp:revision>20</cp:revision>
  <cp:lastPrinted>2018-03-06T03:24:00Z</cp:lastPrinted>
  <dcterms:created xsi:type="dcterms:W3CDTF">2018-11-08T07:19:00Z</dcterms:created>
  <dcterms:modified xsi:type="dcterms:W3CDTF">2018-12-07T05:40:00Z</dcterms:modified>
</cp:coreProperties>
</file>