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交银施罗德裕如纯债债券型证券投资基金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浙商银行股份有限公司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基金托管人浙商银行股份有限公司根据本基金合同规定，于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交银裕如纯债债券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005972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210,014,216.27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浙商银行股份有限公司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005972</w:t>
            </w:r>
          </w:p>
        </w:tc>
        <w:tc>
          <w:tcPr>
            <w:tcW w:w="3048" w:type="dxa"/>
            <w:vAlign w:val="center"/>
          </w:tcPr>
          <w:p w:rsidR="00C23B30" w:rsidRPr="000E4C40" w:rsidRDefault="00C23B30" w:rsidP="00A52A9E">
            <w:pPr>
              <w:spacing w:before="29" w:line="288" w:lineRule="auto"/>
              <w:jc w:val="left"/>
              <w:rPr>
                <w:sz w:val="24"/>
              </w:rPr>
            </w:pPr>
            <w:r w:rsidRPr="000E4C40">
              <w:rPr>
                <w:sz w:val="24"/>
              </w:rPr>
              <w:t>005973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210,014,216.27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DB0314" w:rsidRPr="007F52FA" w:rsidRDefault="00DB0314" w:rsidP="00DB0314">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DB0314" w:rsidRPr="007F52FA" w:rsidRDefault="00DB0314"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E2138A">
        <w:trPr>
          <w:jc w:val="center"/>
        </w:trPr>
        <w:tc>
          <w:tcPr>
            <w:tcW w:w="3606"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52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E2138A">
        <w:trPr>
          <w:jc w:val="center"/>
        </w:trPr>
        <w:tc>
          <w:tcPr>
            <w:tcW w:w="3606" w:type="dxa"/>
            <w:vMerge/>
            <w:vAlign w:val="center"/>
          </w:tcPr>
          <w:p w:rsidR="009E549D" w:rsidRPr="007F52FA" w:rsidRDefault="009E549D" w:rsidP="007C14DF">
            <w:pPr>
              <w:adjustRightInd w:val="0"/>
              <w:spacing w:before="29" w:line="288" w:lineRule="auto"/>
              <w:ind w:left="17"/>
              <w:jc w:val="center"/>
              <w:rPr>
                <w:kern w:val="0"/>
                <w:sz w:val="24"/>
              </w:rPr>
            </w:pPr>
          </w:p>
        </w:tc>
        <w:tc>
          <w:tcPr>
            <w:tcW w:w="263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交银裕如纯债债券</w:t>
            </w:r>
            <w:r w:rsidRPr="007F52FA">
              <w:rPr>
                <w:sz w:val="24"/>
              </w:rPr>
              <w:t>A</w:t>
            </w:r>
          </w:p>
        </w:tc>
        <w:tc>
          <w:tcPr>
            <w:tcW w:w="263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交银裕如纯债债券</w:t>
            </w:r>
            <w:r w:rsidRPr="007F52FA">
              <w:rPr>
                <w:sz w:val="24"/>
              </w:rPr>
              <w:t>C</w:t>
            </w:r>
          </w:p>
        </w:tc>
      </w:tr>
      <w:tr w:rsidR="005F293E" w:rsidRPr="007F52FA" w:rsidTr="00E2138A">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2,812,197.60</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E2138A">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3,030,178.60</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E2138A">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0.0144</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E2138A">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214,207,707.66</w:t>
            </w:r>
          </w:p>
        </w:tc>
        <w:tc>
          <w:tcPr>
            <w:tcW w:w="2631" w:type="dxa"/>
            <w:vAlign w:val="center"/>
          </w:tcPr>
          <w:p w:rsidR="005F293E" w:rsidRPr="007F52FA" w:rsidRDefault="00DB0314" w:rsidP="007C14DF">
            <w:pPr>
              <w:adjustRightInd w:val="0"/>
              <w:spacing w:before="29" w:line="288" w:lineRule="auto"/>
              <w:ind w:left="17"/>
              <w:jc w:val="right"/>
              <w:rPr>
                <w:color w:val="000000"/>
                <w:sz w:val="24"/>
              </w:rPr>
            </w:pPr>
            <w:r>
              <w:rPr>
                <w:color w:val="000000"/>
                <w:sz w:val="24"/>
              </w:rPr>
              <w:t>-</w:t>
            </w:r>
          </w:p>
        </w:tc>
      </w:tr>
      <w:tr w:rsidR="005F293E" w:rsidRPr="007F52FA" w:rsidTr="00E2138A">
        <w:trPr>
          <w:trHeight w:val="158"/>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1.0200</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E2138A" w:rsidRDefault="00E2138A" w:rsidP="00E2138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9238DB" w:rsidRDefault="00E2138A" w:rsidP="00E2138A">
      <w:pPr>
        <w:autoSpaceDE w:val="0"/>
        <w:autoSpaceDN w:val="0"/>
        <w:adjustRightInd w:val="0"/>
        <w:spacing w:before="29" w:line="288" w:lineRule="auto"/>
        <w:ind w:firstLine="480"/>
        <w:jc w:val="left"/>
        <w:rPr>
          <w:rFonts w:eastAsiaTheme="minorEastAsia"/>
          <w:color w:val="000000"/>
          <w:sz w:val="24"/>
        </w:rPr>
      </w:pPr>
      <w:r>
        <w:rPr>
          <w:rFonts w:eastAsiaTheme="minorEastAsia"/>
          <w:color w:val="000000"/>
          <w:sz w:val="24"/>
        </w:rPr>
        <w:t>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DB0314" w:rsidRDefault="00DB0314" w:rsidP="00E2138A">
      <w:pPr>
        <w:autoSpaceDE w:val="0"/>
        <w:autoSpaceDN w:val="0"/>
        <w:adjustRightInd w:val="0"/>
        <w:spacing w:before="29" w:line="288" w:lineRule="auto"/>
        <w:ind w:firstLine="480"/>
        <w:jc w:val="left"/>
        <w:rPr>
          <w:rFonts w:eastAsiaTheme="minorEastAsia"/>
          <w:color w:val="000000"/>
          <w:sz w:val="24"/>
        </w:rPr>
      </w:pPr>
      <w:r w:rsidRPr="007F52FA">
        <w:rPr>
          <w:rFonts w:eastAsiaTheme="minorEastAsia"/>
          <w:color w:val="000000"/>
          <w:sz w:val="24"/>
        </w:rPr>
        <w:t>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E2138A" w:rsidRPr="00E2138A" w:rsidRDefault="00E2138A" w:rsidP="00E2138A">
      <w:pPr>
        <w:autoSpaceDE w:val="0"/>
        <w:autoSpaceDN w:val="0"/>
        <w:adjustRightInd w:val="0"/>
        <w:spacing w:before="29" w:line="288" w:lineRule="auto"/>
        <w:ind w:firstLine="480"/>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交银裕如纯债债券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10039">
        <w:trPr>
          <w:jc w:val="center"/>
        </w:trPr>
        <w:tc>
          <w:tcPr>
            <w:tcW w:w="1266" w:type="dxa"/>
            <w:vAlign w:val="center"/>
          </w:tcPr>
          <w:p w:rsidR="00A10039" w:rsidRDefault="00E2138A">
            <w:pPr>
              <w:jc w:val="left"/>
            </w:pPr>
            <w:r>
              <w:rPr>
                <w:color w:val="000000"/>
                <w:sz w:val="24"/>
              </w:rPr>
              <w:t>过去三个月</w:t>
            </w:r>
          </w:p>
        </w:tc>
        <w:tc>
          <w:tcPr>
            <w:tcW w:w="1267" w:type="dxa"/>
            <w:vAlign w:val="center"/>
          </w:tcPr>
          <w:p w:rsidR="00A10039" w:rsidRDefault="00E2138A">
            <w:pPr>
              <w:jc w:val="center"/>
            </w:pPr>
            <w:r>
              <w:rPr>
                <w:color w:val="000000"/>
                <w:sz w:val="24"/>
              </w:rPr>
              <w:t>1.44%</w:t>
            </w:r>
          </w:p>
        </w:tc>
        <w:tc>
          <w:tcPr>
            <w:tcW w:w="1267" w:type="dxa"/>
            <w:vAlign w:val="center"/>
          </w:tcPr>
          <w:p w:rsidR="00A10039" w:rsidRDefault="00E2138A">
            <w:pPr>
              <w:jc w:val="center"/>
            </w:pPr>
            <w:r>
              <w:rPr>
                <w:color w:val="000000"/>
                <w:sz w:val="24"/>
              </w:rPr>
              <w:t>0.05%</w:t>
            </w:r>
          </w:p>
        </w:tc>
        <w:tc>
          <w:tcPr>
            <w:tcW w:w="1267" w:type="dxa"/>
            <w:vAlign w:val="center"/>
          </w:tcPr>
          <w:p w:rsidR="00A10039" w:rsidRDefault="00E2138A">
            <w:pPr>
              <w:jc w:val="center"/>
            </w:pPr>
            <w:r>
              <w:rPr>
                <w:color w:val="000000"/>
                <w:sz w:val="24"/>
              </w:rPr>
              <w:t>0.57%</w:t>
            </w:r>
          </w:p>
        </w:tc>
        <w:tc>
          <w:tcPr>
            <w:tcW w:w="1267" w:type="dxa"/>
            <w:vAlign w:val="center"/>
          </w:tcPr>
          <w:p w:rsidR="00A10039" w:rsidRDefault="00E2138A">
            <w:pPr>
              <w:jc w:val="center"/>
            </w:pPr>
            <w:r>
              <w:rPr>
                <w:color w:val="000000"/>
                <w:sz w:val="24"/>
              </w:rPr>
              <w:t>0.07%</w:t>
            </w:r>
          </w:p>
        </w:tc>
        <w:tc>
          <w:tcPr>
            <w:tcW w:w="1267" w:type="dxa"/>
            <w:vAlign w:val="center"/>
          </w:tcPr>
          <w:p w:rsidR="00A10039" w:rsidRDefault="00E2138A">
            <w:pPr>
              <w:jc w:val="center"/>
            </w:pPr>
            <w:r>
              <w:rPr>
                <w:color w:val="000000"/>
                <w:sz w:val="24"/>
              </w:rPr>
              <w:t>0.87%</w:t>
            </w:r>
          </w:p>
        </w:tc>
        <w:tc>
          <w:tcPr>
            <w:tcW w:w="1267" w:type="dxa"/>
            <w:vAlign w:val="center"/>
          </w:tcPr>
          <w:p w:rsidR="00A10039" w:rsidRDefault="00E2138A">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交银裕如纯债债券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10039">
        <w:trPr>
          <w:jc w:val="center"/>
        </w:trPr>
        <w:tc>
          <w:tcPr>
            <w:tcW w:w="1266" w:type="dxa"/>
            <w:vAlign w:val="center"/>
          </w:tcPr>
          <w:p w:rsidR="00A10039" w:rsidRDefault="00E2138A">
            <w:pPr>
              <w:jc w:val="left"/>
            </w:pPr>
            <w:r>
              <w:rPr>
                <w:color w:val="000000"/>
                <w:sz w:val="24"/>
              </w:rPr>
              <w:t>过去三个月</w:t>
            </w:r>
          </w:p>
        </w:tc>
        <w:tc>
          <w:tcPr>
            <w:tcW w:w="1267" w:type="dxa"/>
            <w:vAlign w:val="center"/>
          </w:tcPr>
          <w:p w:rsidR="00A10039" w:rsidRDefault="00DB0314">
            <w:pPr>
              <w:jc w:val="center"/>
            </w:pPr>
            <w:r>
              <w:rPr>
                <w:color w:val="000000"/>
                <w:sz w:val="24"/>
              </w:rPr>
              <w:t>-</w:t>
            </w:r>
          </w:p>
        </w:tc>
        <w:tc>
          <w:tcPr>
            <w:tcW w:w="1267" w:type="dxa"/>
            <w:vAlign w:val="center"/>
          </w:tcPr>
          <w:p w:rsidR="00A10039" w:rsidRDefault="00DB0314">
            <w:pPr>
              <w:jc w:val="center"/>
            </w:pPr>
            <w:r>
              <w:rPr>
                <w:color w:val="000000"/>
                <w:sz w:val="24"/>
              </w:rPr>
              <w:t>-</w:t>
            </w:r>
          </w:p>
        </w:tc>
        <w:tc>
          <w:tcPr>
            <w:tcW w:w="1267" w:type="dxa"/>
            <w:vAlign w:val="center"/>
          </w:tcPr>
          <w:p w:rsidR="00A10039" w:rsidRDefault="00E2138A">
            <w:pPr>
              <w:jc w:val="center"/>
            </w:pPr>
            <w:r>
              <w:rPr>
                <w:color w:val="000000"/>
                <w:sz w:val="24"/>
              </w:rPr>
              <w:t>-</w:t>
            </w:r>
          </w:p>
        </w:tc>
        <w:tc>
          <w:tcPr>
            <w:tcW w:w="1267" w:type="dxa"/>
            <w:vAlign w:val="center"/>
          </w:tcPr>
          <w:p w:rsidR="00A10039" w:rsidRDefault="00E2138A">
            <w:pPr>
              <w:jc w:val="center"/>
            </w:pPr>
            <w:r>
              <w:rPr>
                <w:color w:val="000000"/>
                <w:sz w:val="24"/>
              </w:rPr>
              <w:t>-</w:t>
            </w:r>
          </w:p>
        </w:tc>
        <w:tc>
          <w:tcPr>
            <w:tcW w:w="1267" w:type="dxa"/>
            <w:vAlign w:val="center"/>
          </w:tcPr>
          <w:p w:rsidR="00A10039" w:rsidRDefault="00E2138A">
            <w:pPr>
              <w:jc w:val="center"/>
            </w:pPr>
            <w:r>
              <w:rPr>
                <w:color w:val="000000"/>
                <w:sz w:val="24"/>
              </w:rPr>
              <w:t>-</w:t>
            </w:r>
          </w:p>
        </w:tc>
        <w:tc>
          <w:tcPr>
            <w:tcW w:w="1267" w:type="dxa"/>
            <w:vAlign w:val="center"/>
          </w:tcPr>
          <w:p w:rsidR="00A10039" w:rsidRDefault="00E2138A">
            <w:pPr>
              <w:jc w:val="center"/>
            </w:pPr>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交银施罗德裕如纯债债券型证券投资基金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交银裕如纯债债券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25</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2018</w:t>
      </w:r>
      <w:r w:rsidRPr="007F52FA">
        <w:rPr>
          <w:color w:val="000000"/>
          <w:sz w:val="24"/>
        </w:rPr>
        <w:lastRenderedPageBreak/>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交银裕如纯债债券</w:t>
      </w:r>
      <w:r w:rsidR="00FE7FBD" w:rsidRPr="007F52FA">
        <w:rPr>
          <w:color w:val="000000"/>
          <w:sz w:val="24"/>
        </w:rPr>
        <w:t>C</w:t>
      </w:r>
    </w:p>
    <w:p w:rsidR="00D12D04" w:rsidRPr="007F52FA" w:rsidRDefault="00D12D04" w:rsidP="007C14DF">
      <w:pPr>
        <w:pStyle w:val="20"/>
        <w:spacing w:before="29" w:line="288" w:lineRule="auto"/>
        <w:ind w:firstLineChars="0" w:firstLine="0"/>
        <w:jc w:val="center"/>
        <w:rPr>
          <w:rFonts w:ascii="Times New Roman" w:eastAsiaTheme="minorEastAsia" w:hAnsi="Times New Roman"/>
          <w:color w:val="000000"/>
        </w:rPr>
      </w:pPr>
    </w:p>
    <w:p w:rsidR="0042785F" w:rsidRPr="007F52FA" w:rsidRDefault="00FE7FBD" w:rsidP="007C14DF">
      <w:pPr>
        <w:spacing w:before="29" w:line="288" w:lineRule="auto"/>
        <w:ind w:firstLineChars="200" w:firstLine="480"/>
        <w:rPr>
          <w:color w:val="000000"/>
          <w:sz w:val="24"/>
        </w:rPr>
      </w:pPr>
      <w:r w:rsidRPr="007F52FA">
        <w:rPr>
          <w:color w:val="000000"/>
          <w:sz w:val="24"/>
        </w:rPr>
        <w:t>注：</w:t>
      </w:r>
      <w:r w:rsidR="00DB0314" w:rsidRPr="007F52FA">
        <w:rPr>
          <w:color w:val="000000"/>
          <w:sz w:val="24"/>
        </w:rPr>
        <w:t>本基金</w:t>
      </w:r>
      <w:r w:rsidR="00DB0314" w:rsidRPr="007F52FA">
        <w:rPr>
          <w:color w:val="000000"/>
          <w:sz w:val="24"/>
        </w:rPr>
        <w:t>C</w:t>
      </w:r>
      <w:r w:rsidR="00DB0314" w:rsidRPr="007F52FA">
        <w:rPr>
          <w:color w:val="000000"/>
          <w:sz w:val="24"/>
        </w:rPr>
        <w:t>类份额为</w:t>
      </w:r>
      <w:r w:rsidR="00DB0314" w:rsidRPr="007F52FA">
        <w:rPr>
          <w:color w:val="000000"/>
          <w:sz w:val="24"/>
        </w:rPr>
        <w:t>0</w:t>
      </w:r>
      <w:r w:rsidR="00DB0314"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10039">
        <w:trPr>
          <w:jc w:val="center"/>
        </w:trPr>
        <w:tc>
          <w:tcPr>
            <w:tcW w:w="946" w:type="dxa"/>
            <w:vAlign w:val="center"/>
          </w:tcPr>
          <w:p w:rsidR="00A10039" w:rsidRDefault="00E2138A">
            <w:pPr>
              <w:jc w:val="center"/>
            </w:pPr>
            <w:r>
              <w:rPr>
                <w:color w:val="000000"/>
                <w:sz w:val="24"/>
              </w:rPr>
              <w:t>于海颖</w:t>
            </w:r>
          </w:p>
        </w:tc>
        <w:tc>
          <w:tcPr>
            <w:tcW w:w="924" w:type="dxa"/>
            <w:vAlign w:val="center"/>
          </w:tcPr>
          <w:p w:rsidR="00A10039" w:rsidRDefault="00E2138A">
            <w:pPr>
              <w:jc w:val="center"/>
            </w:pPr>
            <w:r>
              <w:rPr>
                <w:color w:val="000000"/>
                <w:sz w:val="24"/>
              </w:rPr>
              <w:t>交银增利债券、交银纯债债券发起、交银荣祥保本混合、交银定期支付月月丰债券、交银增强收益债券、交银强化回报债券、交</w:t>
            </w:r>
            <w:r>
              <w:rPr>
                <w:color w:val="000000"/>
                <w:sz w:val="24"/>
              </w:rPr>
              <w:lastRenderedPageBreak/>
              <w:t>银丰盈收益债券、交银荣鑫保本混合、交银增利增强债券、交银丰晟收益债券、交银裕如纯债债券的基金经理，公司固定收益（公募）投资总监</w:t>
            </w:r>
          </w:p>
        </w:tc>
        <w:tc>
          <w:tcPr>
            <w:tcW w:w="1202" w:type="dxa"/>
            <w:vAlign w:val="center"/>
          </w:tcPr>
          <w:p w:rsidR="00A10039" w:rsidRDefault="00E2138A">
            <w:pPr>
              <w:jc w:val="center"/>
            </w:pPr>
            <w:r>
              <w:rPr>
                <w:color w:val="000000"/>
                <w:sz w:val="24"/>
              </w:rPr>
              <w:lastRenderedPageBreak/>
              <w:t>2018-05-25</w:t>
            </w:r>
          </w:p>
        </w:tc>
        <w:tc>
          <w:tcPr>
            <w:tcW w:w="1300" w:type="dxa"/>
            <w:vAlign w:val="center"/>
          </w:tcPr>
          <w:p w:rsidR="00A10039" w:rsidRDefault="00E2138A">
            <w:pPr>
              <w:jc w:val="center"/>
            </w:pPr>
            <w:r>
              <w:rPr>
                <w:color w:val="000000"/>
                <w:sz w:val="24"/>
              </w:rPr>
              <w:t>-</w:t>
            </w:r>
          </w:p>
        </w:tc>
        <w:tc>
          <w:tcPr>
            <w:tcW w:w="1245" w:type="dxa"/>
            <w:vAlign w:val="center"/>
          </w:tcPr>
          <w:p w:rsidR="00A10039" w:rsidRDefault="00E2138A">
            <w:pPr>
              <w:jc w:val="center"/>
            </w:pPr>
            <w:r>
              <w:rPr>
                <w:color w:val="000000"/>
                <w:sz w:val="24"/>
              </w:rPr>
              <w:t>12</w:t>
            </w:r>
            <w:r>
              <w:rPr>
                <w:color w:val="000000"/>
                <w:sz w:val="24"/>
              </w:rPr>
              <w:t>年</w:t>
            </w:r>
          </w:p>
        </w:tc>
        <w:tc>
          <w:tcPr>
            <w:tcW w:w="3251" w:type="dxa"/>
            <w:vAlign w:val="center"/>
          </w:tcPr>
          <w:p w:rsidR="00A10039" w:rsidRDefault="00E2138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w:t>
            </w:r>
            <w:r>
              <w:rPr>
                <w:color w:val="000000"/>
                <w:sz w:val="24"/>
              </w:rPr>
              <w:lastRenderedPageBreak/>
              <w:t>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A10039">
        <w:trPr>
          <w:jc w:val="center"/>
        </w:trPr>
        <w:tc>
          <w:tcPr>
            <w:tcW w:w="946" w:type="dxa"/>
            <w:vAlign w:val="center"/>
          </w:tcPr>
          <w:p w:rsidR="00A10039" w:rsidRDefault="00E2138A">
            <w:pPr>
              <w:jc w:val="center"/>
            </w:pPr>
            <w:r>
              <w:rPr>
                <w:color w:val="000000"/>
                <w:sz w:val="24"/>
              </w:rPr>
              <w:lastRenderedPageBreak/>
              <w:t>魏玉敏</w:t>
            </w:r>
          </w:p>
        </w:tc>
        <w:tc>
          <w:tcPr>
            <w:tcW w:w="924" w:type="dxa"/>
            <w:vAlign w:val="center"/>
          </w:tcPr>
          <w:p w:rsidR="00A10039" w:rsidRDefault="00E2138A">
            <w:pPr>
              <w:jc w:val="center"/>
            </w:pPr>
            <w:r>
              <w:rPr>
                <w:color w:val="000000"/>
                <w:sz w:val="24"/>
              </w:rPr>
              <w:t>交银增利债券、交银纯债债券发起、交银丰晟收益债券、交银裕如纯债</w:t>
            </w:r>
            <w:r>
              <w:rPr>
                <w:color w:val="000000"/>
                <w:sz w:val="24"/>
              </w:rPr>
              <w:lastRenderedPageBreak/>
              <w:t>债券的基金经理</w:t>
            </w:r>
          </w:p>
        </w:tc>
        <w:tc>
          <w:tcPr>
            <w:tcW w:w="1202" w:type="dxa"/>
            <w:vAlign w:val="center"/>
          </w:tcPr>
          <w:p w:rsidR="00A10039" w:rsidRDefault="00E2138A">
            <w:pPr>
              <w:jc w:val="center"/>
            </w:pPr>
            <w:r>
              <w:rPr>
                <w:color w:val="000000"/>
                <w:sz w:val="24"/>
              </w:rPr>
              <w:lastRenderedPageBreak/>
              <w:t>2018-08-29</w:t>
            </w:r>
          </w:p>
        </w:tc>
        <w:tc>
          <w:tcPr>
            <w:tcW w:w="1300" w:type="dxa"/>
            <w:vAlign w:val="center"/>
          </w:tcPr>
          <w:p w:rsidR="00A10039" w:rsidRDefault="00E2138A">
            <w:pPr>
              <w:jc w:val="center"/>
            </w:pPr>
            <w:r>
              <w:rPr>
                <w:color w:val="000000"/>
                <w:sz w:val="24"/>
              </w:rPr>
              <w:t>-</w:t>
            </w:r>
          </w:p>
        </w:tc>
        <w:tc>
          <w:tcPr>
            <w:tcW w:w="1245" w:type="dxa"/>
            <w:vAlign w:val="center"/>
          </w:tcPr>
          <w:p w:rsidR="00A10039" w:rsidRDefault="00E2138A">
            <w:pPr>
              <w:jc w:val="center"/>
            </w:pPr>
            <w:r>
              <w:rPr>
                <w:color w:val="000000"/>
                <w:sz w:val="24"/>
              </w:rPr>
              <w:t>6</w:t>
            </w:r>
            <w:r>
              <w:rPr>
                <w:color w:val="000000"/>
                <w:sz w:val="24"/>
              </w:rPr>
              <w:t>年</w:t>
            </w:r>
          </w:p>
        </w:tc>
        <w:tc>
          <w:tcPr>
            <w:tcW w:w="3251" w:type="dxa"/>
            <w:vAlign w:val="center"/>
          </w:tcPr>
          <w:p w:rsidR="00A10039" w:rsidRDefault="00E2138A">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10039" w:rsidRDefault="00E2138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10039" w:rsidRDefault="00E2138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10039" w:rsidRDefault="00E2138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10039" w:rsidRDefault="00E2138A">
      <w:pPr>
        <w:spacing w:before="29" w:line="288" w:lineRule="auto"/>
        <w:ind w:firstLineChars="200" w:firstLine="480"/>
        <w:rPr>
          <w:color w:val="000000"/>
          <w:sz w:val="24"/>
        </w:rPr>
      </w:pPr>
      <w:r>
        <w:rPr>
          <w:color w:val="000000"/>
          <w:sz w:val="24"/>
        </w:rPr>
        <w:lastRenderedPageBreak/>
        <w:t>2018</w:t>
      </w:r>
      <w:r>
        <w:rPr>
          <w:color w:val="000000"/>
          <w:sz w:val="24"/>
        </w:rPr>
        <w:t>年三季度利率债收益率呈现震荡后上行的趋势，信用债收益率先下后上，曲线期限利差走扩，信用利差收窄。七月中上旬，债券收益率延续了上半年以来的下行趋势，</w:t>
      </w:r>
      <w:r>
        <w:rPr>
          <w:color w:val="000000"/>
          <w:sz w:val="24"/>
        </w:rPr>
        <w:t>10</w:t>
      </w:r>
      <w:r>
        <w:rPr>
          <w:color w:val="000000"/>
          <w:sz w:val="24"/>
        </w:rPr>
        <w:t>年国开收益率最低下行至</w:t>
      </w:r>
      <w:r>
        <w:rPr>
          <w:color w:val="000000"/>
          <w:sz w:val="24"/>
        </w:rPr>
        <w:t>4.08%</w:t>
      </w:r>
      <w:r>
        <w:rPr>
          <w:color w:val="000000"/>
          <w:sz w:val="24"/>
        </w:rPr>
        <w:t>，</w:t>
      </w:r>
      <w:r>
        <w:rPr>
          <w:color w:val="000000"/>
          <w:sz w:val="24"/>
        </w:rPr>
        <w:t>10</w:t>
      </w:r>
      <w:r>
        <w:rPr>
          <w:color w:val="000000"/>
          <w:sz w:val="24"/>
        </w:rPr>
        <w:t>年国债收益率最低下行至</w:t>
      </w:r>
      <w:r>
        <w:rPr>
          <w:color w:val="000000"/>
          <w:sz w:val="24"/>
        </w:rPr>
        <w:t>3.44%</w:t>
      </w:r>
      <w:r>
        <w:rPr>
          <w:color w:val="000000"/>
          <w:sz w:val="24"/>
        </w:rPr>
        <w:t>。七月中下旬以来密集出台了一系列旨在稳增长的政策，随着这一系列政策文件的陆续出台，债市关注的主逻辑从</w:t>
      </w:r>
      <w:r>
        <w:rPr>
          <w:color w:val="000000"/>
          <w:sz w:val="24"/>
        </w:rPr>
        <w:t>“</w:t>
      </w:r>
      <w:r>
        <w:rPr>
          <w:color w:val="000000"/>
          <w:sz w:val="24"/>
        </w:rPr>
        <w:t>宽货币紧信用</w:t>
      </w:r>
      <w:r>
        <w:rPr>
          <w:color w:val="000000"/>
          <w:sz w:val="24"/>
        </w:rPr>
        <w:t>”</w:t>
      </w:r>
      <w:r>
        <w:rPr>
          <w:color w:val="000000"/>
          <w:sz w:val="24"/>
        </w:rPr>
        <w:t>向</w:t>
      </w:r>
      <w:r>
        <w:rPr>
          <w:color w:val="000000"/>
          <w:sz w:val="24"/>
        </w:rPr>
        <w:t>“</w:t>
      </w:r>
      <w:r>
        <w:rPr>
          <w:color w:val="000000"/>
          <w:sz w:val="24"/>
        </w:rPr>
        <w:t>宽货币宽信用</w:t>
      </w:r>
      <w:r>
        <w:rPr>
          <w:color w:val="000000"/>
          <w:sz w:val="24"/>
        </w:rPr>
        <w:t>”</w:t>
      </w:r>
      <w:r>
        <w:rPr>
          <w:color w:val="000000"/>
          <w:sz w:val="24"/>
        </w:rPr>
        <w:t>转变，利率债收益率震荡上行，而信用债收益率明显下行，特别是在资金价格宽松的背景下，八月初市场收益率水平到了年内最低水平。而进入九月后，由于非洲猪瘟、房租上涨等一系列因素的影响，市场对于通胀的预期逐渐抬升，经济类滞胀的逻辑不断演绎，同时加上地方债供给放量、央行连续多日暂停公开市场操作等因素的叠加，引起了市场对货币政策收紧以应对美联储加息的担忧，利率债和信用债收益率均继续上行。</w:t>
      </w:r>
    </w:p>
    <w:p w:rsidR="00A10039" w:rsidRDefault="00E2138A">
      <w:pPr>
        <w:spacing w:before="29" w:line="288" w:lineRule="auto"/>
        <w:ind w:firstLineChars="200" w:firstLine="480"/>
        <w:rPr>
          <w:color w:val="000000"/>
          <w:sz w:val="24"/>
        </w:rPr>
      </w:pPr>
      <w:r>
        <w:rPr>
          <w:color w:val="000000"/>
          <w:sz w:val="24"/>
        </w:rPr>
        <w:t>报告期内，基于对宏观经济的判断，结合市场收益率曲线的形态动态的进行了组合的配置，组合以中短期利率债为主要配置，享受了流动性宽松情况下短端收益率下行的资本利的收益。同时，组合配置了一定比例的长久期利率债，波段操作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仍面临一定的下行压力，一方面宽信用政策效果仍待观察，目前银行风险偏好较低，地方政府隐性债务问责严格，叠加冬季天气影响预计基建难以明显改善，另一方面此前出口不弱主要是中美贸易争端导致的抢出口行为，随着互征关税落地预计贸易战对出口的负面影响将在四季度体现，而产能投资下的制造业和加快周转的地产投资预计不会太弱。随着四季度地方债供给压力逐渐减弱，流动性维持合理充裕，考虑到当前期限利差仍处于高位，我们预计长端利率仍有一定下行空间。同时关注两大因素对于市场收益率的影响，一是中美利差压缩下央行进一步货币宽松面临压力以及相应的汇率波动水平，二是明年上半年通胀情况。在操作方面，组合将继续关注市场情况，并基于接下来的经济形势的判断，积极进行灵活的利率债波段操作，努力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A810E5" w:rsidRPr="007F52FA" w:rsidRDefault="00A810E5" w:rsidP="007C14DF">
      <w:pPr>
        <w:spacing w:before="29" w:line="288" w:lineRule="auto"/>
        <w:ind w:firstLineChars="200" w:firstLine="480"/>
        <w:rPr>
          <w:color w:val="000000"/>
          <w:sz w:val="24"/>
        </w:rPr>
      </w:pPr>
    </w:p>
    <w:p w:rsidR="00A810E5" w:rsidRPr="002070B4" w:rsidRDefault="00A810E5" w:rsidP="00A810E5">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1E37BA">
        <w:rPr>
          <w:b/>
          <w:color w:val="000000"/>
          <w:kern w:val="0"/>
          <w:sz w:val="24"/>
        </w:rPr>
        <w:t xml:space="preserve"> </w:t>
      </w:r>
      <w:r w:rsidRPr="002070B4">
        <w:rPr>
          <w:rFonts w:hint="eastAsia"/>
          <w:b/>
          <w:color w:val="000000"/>
          <w:kern w:val="0"/>
          <w:sz w:val="24"/>
        </w:rPr>
        <w:t>报告期内基金持有人数或基金资产净值预警说明</w:t>
      </w:r>
    </w:p>
    <w:p w:rsidR="00A810E5" w:rsidRDefault="00A810E5" w:rsidP="00A810E5">
      <w:pPr>
        <w:spacing w:before="29" w:line="288" w:lineRule="auto"/>
        <w:ind w:firstLineChars="200" w:firstLine="480"/>
        <w:rPr>
          <w:color w:val="000000"/>
          <w:sz w:val="24"/>
        </w:rPr>
      </w:pPr>
      <w:r w:rsidRPr="002070B4">
        <w:rPr>
          <w:color w:val="000000"/>
          <w:sz w:val="24"/>
        </w:rPr>
        <w:t>本基金本报告期内无需预警说明。</w:t>
      </w:r>
    </w:p>
    <w:p w:rsidR="00400FA6" w:rsidRPr="00A810E5"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232,093,000.00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83.50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232,093,000.00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83.50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41,202,389.23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14.82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4,666,734.69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277,962,123.92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E37BA" w:rsidRDefault="001E37BA" w:rsidP="007C14DF">
      <w:pPr>
        <w:autoSpaceDE w:val="0"/>
        <w:autoSpaceDN w:val="0"/>
        <w:adjustRightInd w:val="0"/>
        <w:spacing w:before="29" w:line="288" w:lineRule="auto"/>
        <w:jc w:val="left"/>
        <w:rPr>
          <w:color w:val="000000"/>
          <w:sz w:val="24"/>
        </w:rPr>
      </w:pPr>
    </w:p>
    <w:p w:rsidR="00A810E5" w:rsidRPr="008A409E" w:rsidRDefault="00A810E5" w:rsidP="00A810E5">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A810E5" w:rsidRDefault="00A810E5" w:rsidP="00A810E5">
      <w:pPr>
        <w:spacing w:before="29" w:line="360" w:lineRule="auto"/>
        <w:ind w:left="17"/>
        <w:rPr>
          <w:color w:val="000000"/>
          <w:sz w:val="24"/>
        </w:rPr>
      </w:pPr>
      <w:r w:rsidRPr="00FF0BBF">
        <w:rPr>
          <w:color w:val="000000"/>
          <w:sz w:val="24"/>
        </w:rPr>
        <w:t>本基金本报告期末未持有通过港股通投资的股票。</w:t>
      </w:r>
    </w:p>
    <w:p w:rsidR="00A810E5" w:rsidRPr="00A810E5" w:rsidRDefault="00A810E5" w:rsidP="007C14DF">
      <w:pPr>
        <w:autoSpaceDE w:val="0"/>
        <w:autoSpaceDN w:val="0"/>
        <w:adjustRightInd w:val="0"/>
        <w:spacing w:before="29" w:line="288" w:lineRule="auto"/>
        <w:jc w:val="left"/>
        <w:rPr>
          <w:color w:val="00000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182,959,000.00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182,959,000.00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28,842,000.00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13.46</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20,292,000.00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9.47</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232,093,000.00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108.35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10039">
        <w:trPr>
          <w:jc w:val="center"/>
        </w:trPr>
        <w:tc>
          <w:tcPr>
            <w:tcW w:w="1075" w:type="dxa"/>
            <w:vAlign w:val="center"/>
          </w:tcPr>
          <w:p w:rsidR="00A10039" w:rsidRDefault="00E2138A">
            <w:pPr>
              <w:jc w:val="center"/>
            </w:pPr>
            <w:r>
              <w:rPr>
                <w:color w:val="000000"/>
                <w:sz w:val="24"/>
              </w:rPr>
              <w:t>1</w:t>
            </w:r>
          </w:p>
        </w:tc>
        <w:tc>
          <w:tcPr>
            <w:tcW w:w="1533" w:type="dxa"/>
            <w:vAlign w:val="center"/>
          </w:tcPr>
          <w:p w:rsidR="00A10039" w:rsidRDefault="00E2138A">
            <w:pPr>
              <w:jc w:val="center"/>
            </w:pPr>
            <w:r>
              <w:rPr>
                <w:color w:val="000000"/>
                <w:sz w:val="24"/>
              </w:rPr>
              <w:t>180208</w:t>
            </w:r>
          </w:p>
        </w:tc>
        <w:tc>
          <w:tcPr>
            <w:tcW w:w="1533" w:type="dxa"/>
            <w:vAlign w:val="center"/>
          </w:tcPr>
          <w:p w:rsidR="00A10039" w:rsidRDefault="00E2138A">
            <w:pPr>
              <w:jc w:val="center"/>
            </w:pPr>
            <w:r>
              <w:rPr>
                <w:color w:val="000000"/>
                <w:sz w:val="24"/>
              </w:rPr>
              <w:t>18</w:t>
            </w:r>
            <w:r>
              <w:rPr>
                <w:color w:val="000000"/>
                <w:sz w:val="24"/>
              </w:rPr>
              <w:t>国开</w:t>
            </w:r>
            <w:r>
              <w:rPr>
                <w:color w:val="000000"/>
                <w:sz w:val="24"/>
              </w:rPr>
              <w:t>08</w:t>
            </w:r>
          </w:p>
        </w:tc>
        <w:tc>
          <w:tcPr>
            <w:tcW w:w="1394" w:type="dxa"/>
            <w:vAlign w:val="center"/>
          </w:tcPr>
          <w:p w:rsidR="00A10039" w:rsidRDefault="00E2138A">
            <w:pPr>
              <w:jc w:val="right"/>
            </w:pPr>
            <w:r>
              <w:rPr>
                <w:color w:val="000000"/>
                <w:sz w:val="24"/>
              </w:rPr>
              <w:t>500,000</w:t>
            </w:r>
          </w:p>
        </w:tc>
        <w:tc>
          <w:tcPr>
            <w:tcW w:w="1944" w:type="dxa"/>
            <w:vAlign w:val="center"/>
          </w:tcPr>
          <w:p w:rsidR="00A10039" w:rsidRDefault="00E2138A">
            <w:pPr>
              <w:jc w:val="right"/>
            </w:pPr>
            <w:r>
              <w:rPr>
                <w:color w:val="000000"/>
                <w:sz w:val="24"/>
              </w:rPr>
              <w:t>50,515,000.00</w:t>
            </w:r>
          </w:p>
        </w:tc>
        <w:tc>
          <w:tcPr>
            <w:tcW w:w="1389" w:type="dxa"/>
            <w:vAlign w:val="center"/>
          </w:tcPr>
          <w:p w:rsidR="00A10039" w:rsidRDefault="00E2138A">
            <w:pPr>
              <w:jc w:val="right"/>
            </w:pPr>
            <w:r>
              <w:rPr>
                <w:color w:val="000000"/>
                <w:sz w:val="24"/>
              </w:rPr>
              <w:t>23.58</w:t>
            </w:r>
          </w:p>
        </w:tc>
      </w:tr>
      <w:tr w:rsidR="00A10039">
        <w:trPr>
          <w:jc w:val="center"/>
        </w:trPr>
        <w:tc>
          <w:tcPr>
            <w:tcW w:w="1075" w:type="dxa"/>
            <w:vAlign w:val="center"/>
          </w:tcPr>
          <w:p w:rsidR="00A10039" w:rsidRDefault="00E2138A">
            <w:pPr>
              <w:jc w:val="center"/>
            </w:pPr>
            <w:r>
              <w:rPr>
                <w:color w:val="000000"/>
                <w:sz w:val="24"/>
              </w:rPr>
              <w:t>2</w:t>
            </w:r>
          </w:p>
        </w:tc>
        <w:tc>
          <w:tcPr>
            <w:tcW w:w="1533" w:type="dxa"/>
            <w:vAlign w:val="center"/>
          </w:tcPr>
          <w:p w:rsidR="00A10039" w:rsidRDefault="00E2138A">
            <w:pPr>
              <w:jc w:val="center"/>
            </w:pPr>
            <w:r>
              <w:rPr>
                <w:color w:val="000000"/>
                <w:sz w:val="24"/>
              </w:rPr>
              <w:t>180205</w:t>
            </w:r>
          </w:p>
        </w:tc>
        <w:tc>
          <w:tcPr>
            <w:tcW w:w="1533" w:type="dxa"/>
            <w:vAlign w:val="center"/>
          </w:tcPr>
          <w:p w:rsidR="00A10039" w:rsidRDefault="00E2138A">
            <w:pPr>
              <w:jc w:val="center"/>
            </w:pPr>
            <w:r>
              <w:rPr>
                <w:color w:val="000000"/>
                <w:sz w:val="24"/>
              </w:rPr>
              <w:t>18</w:t>
            </w:r>
            <w:r>
              <w:rPr>
                <w:color w:val="000000"/>
                <w:sz w:val="24"/>
              </w:rPr>
              <w:t>国开</w:t>
            </w:r>
            <w:r>
              <w:rPr>
                <w:color w:val="000000"/>
                <w:sz w:val="24"/>
              </w:rPr>
              <w:t>05</w:t>
            </w:r>
          </w:p>
        </w:tc>
        <w:tc>
          <w:tcPr>
            <w:tcW w:w="1394" w:type="dxa"/>
            <w:vAlign w:val="center"/>
          </w:tcPr>
          <w:p w:rsidR="00A10039" w:rsidRDefault="00E2138A">
            <w:pPr>
              <w:jc w:val="right"/>
            </w:pPr>
            <w:r>
              <w:rPr>
                <w:color w:val="000000"/>
                <w:sz w:val="24"/>
              </w:rPr>
              <w:t>300,000</w:t>
            </w:r>
          </w:p>
        </w:tc>
        <w:tc>
          <w:tcPr>
            <w:tcW w:w="1944" w:type="dxa"/>
            <w:vAlign w:val="center"/>
          </w:tcPr>
          <w:p w:rsidR="00A10039" w:rsidRDefault="00E2138A">
            <w:pPr>
              <w:jc w:val="right"/>
            </w:pPr>
            <w:r>
              <w:rPr>
                <w:color w:val="000000"/>
                <w:sz w:val="24"/>
              </w:rPr>
              <w:t>31,377,000.00</w:t>
            </w:r>
          </w:p>
        </w:tc>
        <w:tc>
          <w:tcPr>
            <w:tcW w:w="1389" w:type="dxa"/>
            <w:vAlign w:val="center"/>
          </w:tcPr>
          <w:p w:rsidR="00A10039" w:rsidRDefault="00E2138A">
            <w:pPr>
              <w:jc w:val="right"/>
            </w:pPr>
            <w:r>
              <w:rPr>
                <w:color w:val="000000"/>
                <w:sz w:val="24"/>
              </w:rPr>
              <w:t>14.65</w:t>
            </w:r>
          </w:p>
        </w:tc>
      </w:tr>
      <w:tr w:rsidR="00A10039">
        <w:trPr>
          <w:jc w:val="center"/>
        </w:trPr>
        <w:tc>
          <w:tcPr>
            <w:tcW w:w="1075" w:type="dxa"/>
            <w:vAlign w:val="center"/>
          </w:tcPr>
          <w:p w:rsidR="00A10039" w:rsidRDefault="00E2138A">
            <w:pPr>
              <w:jc w:val="center"/>
            </w:pPr>
            <w:r>
              <w:rPr>
                <w:color w:val="000000"/>
                <w:sz w:val="24"/>
              </w:rPr>
              <w:t>3</w:t>
            </w:r>
          </w:p>
        </w:tc>
        <w:tc>
          <w:tcPr>
            <w:tcW w:w="1533" w:type="dxa"/>
            <w:vAlign w:val="center"/>
          </w:tcPr>
          <w:p w:rsidR="00A10039" w:rsidRDefault="00E2138A">
            <w:pPr>
              <w:jc w:val="center"/>
            </w:pPr>
            <w:r>
              <w:rPr>
                <w:color w:val="000000"/>
                <w:sz w:val="24"/>
              </w:rPr>
              <w:t>180406</w:t>
            </w:r>
          </w:p>
        </w:tc>
        <w:tc>
          <w:tcPr>
            <w:tcW w:w="1533" w:type="dxa"/>
            <w:vAlign w:val="center"/>
          </w:tcPr>
          <w:p w:rsidR="00A10039" w:rsidRDefault="00E2138A">
            <w:pPr>
              <w:jc w:val="center"/>
            </w:pPr>
            <w:r>
              <w:rPr>
                <w:color w:val="000000"/>
                <w:sz w:val="24"/>
              </w:rPr>
              <w:t>18</w:t>
            </w:r>
            <w:r>
              <w:rPr>
                <w:color w:val="000000"/>
                <w:sz w:val="24"/>
              </w:rPr>
              <w:t>农发</w:t>
            </w:r>
            <w:r>
              <w:rPr>
                <w:color w:val="000000"/>
                <w:sz w:val="24"/>
              </w:rPr>
              <w:t>06</w:t>
            </w:r>
          </w:p>
        </w:tc>
        <w:tc>
          <w:tcPr>
            <w:tcW w:w="1394" w:type="dxa"/>
            <w:vAlign w:val="center"/>
          </w:tcPr>
          <w:p w:rsidR="00A10039" w:rsidRDefault="00E2138A">
            <w:pPr>
              <w:jc w:val="right"/>
            </w:pPr>
            <w:r>
              <w:rPr>
                <w:color w:val="000000"/>
                <w:sz w:val="24"/>
              </w:rPr>
              <w:t>300,000</w:t>
            </w:r>
          </w:p>
        </w:tc>
        <w:tc>
          <w:tcPr>
            <w:tcW w:w="1944" w:type="dxa"/>
            <w:vAlign w:val="center"/>
          </w:tcPr>
          <w:p w:rsidR="00A10039" w:rsidRDefault="00E2138A">
            <w:pPr>
              <w:jc w:val="right"/>
            </w:pPr>
            <w:r>
              <w:rPr>
                <w:color w:val="000000"/>
                <w:sz w:val="24"/>
              </w:rPr>
              <w:t>30,687,000.00</w:t>
            </w:r>
          </w:p>
        </w:tc>
        <w:tc>
          <w:tcPr>
            <w:tcW w:w="1389" w:type="dxa"/>
            <w:vAlign w:val="center"/>
          </w:tcPr>
          <w:p w:rsidR="00A10039" w:rsidRDefault="00E2138A">
            <w:pPr>
              <w:jc w:val="right"/>
            </w:pPr>
            <w:r>
              <w:rPr>
                <w:color w:val="000000"/>
                <w:sz w:val="24"/>
              </w:rPr>
              <w:t>14.33</w:t>
            </w:r>
          </w:p>
        </w:tc>
      </w:tr>
      <w:tr w:rsidR="00A10039">
        <w:trPr>
          <w:jc w:val="center"/>
        </w:trPr>
        <w:tc>
          <w:tcPr>
            <w:tcW w:w="1075" w:type="dxa"/>
            <w:vAlign w:val="center"/>
          </w:tcPr>
          <w:p w:rsidR="00A10039" w:rsidRDefault="00E2138A">
            <w:pPr>
              <w:jc w:val="center"/>
            </w:pPr>
            <w:r>
              <w:rPr>
                <w:color w:val="000000"/>
                <w:sz w:val="24"/>
              </w:rPr>
              <w:t>4</w:t>
            </w:r>
          </w:p>
        </w:tc>
        <w:tc>
          <w:tcPr>
            <w:tcW w:w="1533" w:type="dxa"/>
            <w:vAlign w:val="center"/>
          </w:tcPr>
          <w:p w:rsidR="00A10039" w:rsidRDefault="00E2138A">
            <w:pPr>
              <w:jc w:val="center"/>
            </w:pPr>
            <w:r>
              <w:rPr>
                <w:color w:val="000000"/>
                <w:sz w:val="24"/>
              </w:rPr>
              <w:t>170411</w:t>
            </w:r>
          </w:p>
        </w:tc>
        <w:tc>
          <w:tcPr>
            <w:tcW w:w="1533" w:type="dxa"/>
            <w:vAlign w:val="center"/>
          </w:tcPr>
          <w:p w:rsidR="00A10039" w:rsidRDefault="00E2138A">
            <w:pPr>
              <w:jc w:val="center"/>
            </w:pPr>
            <w:r>
              <w:rPr>
                <w:color w:val="000000"/>
                <w:sz w:val="24"/>
              </w:rPr>
              <w:t>17</w:t>
            </w:r>
            <w:r>
              <w:rPr>
                <w:color w:val="000000"/>
                <w:sz w:val="24"/>
              </w:rPr>
              <w:t>农发</w:t>
            </w:r>
            <w:r>
              <w:rPr>
                <w:color w:val="000000"/>
                <w:sz w:val="24"/>
              </w:rPr>
              <w:t>11</w:t>
            </w:r>
          </w:p>
        </w:tc>
        <w:tc>
          <w:tcPr>
            <w:tcW w:w="1394" w:type="dxa"/>
            <w:vAlign w:val="center"/>
          </w:tcPr>
          <w:p w:rsidR="00A10039" w:rsidRDefault="00E2138A">
            <w:pPr>
              <w:jc w:val="right"/>
            </w:pPr>
            <w:r>
              <w:rPr>
                <w:color w:val="000000"/>
                <w:sz w:val="24"/>
              </w:rPr>
              <w:t>300,000</w:t>
            </w:r>
          </w:p>
        </w:tc>
        <w:tc>
          <w:tcPr>
            <w:tcW w:w="1944" w:type="dxa"/>
            <w:vAlign w:val="center"/>
          </w:tcPr>
          <w:p w:rsidR="00A10039" w:rsidRDefault="00E2138A">
            <w:pPr>
              <w:jc w:val="right"/>
            </w:pPr>
            <w:r>
              <w:rPr>
                <w:color w:val="000000"/>
                <w:sz w:val="24"/>
              </w:rPr>
              <w:t>30,282,000.00</w:t>
            </w:r>
          </w:p>
        </w:tc>
        <w:tc>
          <w:tcPr>
            <w:tcW w:w="1389" w:type="dxa"/>
            <w:vAlign w:val="center"/>
          </w:tcPr>
          <w:p w:rsidR="00A10039" w:rsidRDefault="00E2138A">
            <w:pPr>
              <w:jc w:val="right"/>
            </w:pPr>
            <w:r>
              <w:rPr>
                <w:color w:val="000000"/>
                <w:sz w:val="24"/>
              </w:rPr>
              <w:t>14.14</w:t>
            </w:r>
          </w:p>
        </w:tc>
      </w:tr>
      <w:tr w:rsidR="00A10039">
        <w:trPr>
          <w:jc w:val="center"/>
        </w:trPr>
        <w:tc>
          <w:tcPr>
            <w:tcW w:w="1075" w:type="dxa"/>
            <w:vAlign w:val="center"/>
          </w:tcPr>
          <w:p w:rsidR="00A10039" w:rsidRDefault="00E2138A">
            <w:pPr>
              <w:jc w:val="center"/>
            </w:pPr>
            <w:r>
              <w:rPr>
                <w:color w:val="000000"/>
                <w:sz w:val="24"/>
              </w:rPr>
              <w:t>5</w:t>
            </w:r>
          </w:p>
        </w:tc>
        <w:tc>
          <w:tcPr>
            <w:tcW w:w="1533" w:type="dxa"/>
            <w:vAlign w:val="center"/>
          </w:tcPr>
          <w:p w:rsidR="00A10039" w:rsidRDefault="00E2138A">
            <w:pPr>
              <w:jc w:val="center"/>
            </w:pPr>
            <w:r>
              <w:rPr>
                <w:color w:val="000000"/>
                <w:sz w:val="24"/>
              </w:rPr>
              <w:t>111899268</w:t>
            </w:r>
          </w:p>
        </w:tc>
        <w:tc>
          <w:tcPr>
            <w:tcW w:w="1533" w:type="dxa"/>
            <w:vAlign w:val="center"/>
          </w:tcPr>
          <w:p w:rsidR="00A10039" w:rsidRDefault="00E2138A">
            <w:pPr>
              <w:jc w:val="center"/>
            </w:pPr>
            <w:r>
              <w:rPr>
                <w:color w:val="000000"/>
                <w:sz w:val="24"/>
              </w:rPr>
              <w:t>18</w:t>
            </w:r>
            <w:r>
              <w:rPr>
                <w:color w:val="000000"/>
                <w:sz w:val="24"/>
              </w:rPr>
              <w:t>杭州银行</w:t>
            </w:r>
            <w:r>
              <w:rPr>
                <w:color w:val="000000"/>
                <w:sz w:val="24"/>
              </w:rPr>
              <w:t>CD044</w:t>
            </w:r>
          </w:p>
        </w:tc>
        <w:tc>
          <w:tcPr>
            <w:tcW w:w="1394" w:type="dxa"/>
            <w:vAlign w:val="center"/>
          </w:tcPr>
          <w:p w:rsidR="00A10039" w:rsidRDefault="00E2138A">
            <w:pPr>
              <w:jc w:val="right"/>
            </w:pPr>
            <w:r>
              <w:rPr>
                <w:color w:val="000000"/>
                <w:sz w:val="24"/>
              </w:rPr>
              <w:t>300,000</w:t>
            </w:r>
          </w:p>
        </w:tc>
        <w:tc>
          <w:tcPr>
            <w:tcW w:w="1944" w:type="dxa"/>
            <w:vAlign w:val="center"/>
          </w:tcPr>
          <w:p w:rsidR="00A10039" w:rsidRDefault="00E2138A">
            <w:pPr>
              <w:jc w:val="right"/>
            </w:pPr>
            <w:r>
              <w:rPr>
                <w:color w:val="000000"/>
                <w:sz w:val="24"/>
              </w:rPr>
              <w:t>28,842,000.00</w:t>
            </w:r>
          </w:p>
        </w:tc>
        <w:tc>
          <w:tcPr>
            <w:tcW w:w="1389" w:type="dxa"/>
            <w:vAlign w:val="center"/>
          </w:tcPr>
          <w:p w:rsidR="00A10039" w:rsidRDefault="00E2138A">
            <w:pPr>
              <w:jc w:val="right"/>
            </w:pPr>
            <w:r>
              <w:rPr>
                <w:color w:val="000000"/>
                <w:sz w:val="24"/>
              </w:rPr>
              <w:t>13.46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Default="00680BCE" w:rsidP="007C14DF">
      <w:pPr>
        <w:autoSpaceDE w:val="0"/>
        <w:autoSpaceDN w:val="0"/>
        <w:adjustRightInd w:val="0"/>
        <w:spacing w:before="29" w:line="288" w:lineRule="auto"/>
        <w:jc w:val="left"/>
        <w:rPr>
          <w:rFonts w:hAnsi="宋体"/>
          <w:b/>
          <w:bCs/>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A810E5" w:rsidRPr="007F52FA" w:rsidRDefault="00A810E5" w:rsidP="00A810E5">
      <w:pPr>
        <w:autoSpaceDE w:val="0"/>
        <w:autoSpaceDN w:val="0"/>
        <w:adjustRightInd w:val="0"/>
        <w:spacing w:before="29" w:line="288" w:lineRule="auto"/>
        <w:jc w:val="left"/>
        <w:rPr>
          <w:sz w:val="24"/>
        </w:rPr>
      </w:pPr>
      <w:r w:rsidRPr="007F52FA">
        <w:rPr>
          <w:sz w:val="24"/>
        </w:rPr>
        <w:t>本基金本报告期末未持有贵金属。</w:t>
      </w:r>
    </w:p>
    <w:p w:rsidR="00A810E5" w:rsidRPr="00A810E5" w:rsidRDefault="00A810E5"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lastRenderedPageBreak/>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4,666,707.19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27.50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4,666,734.69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A810E5" w:rsidRPr="007F52FA" w:rsidRDefault="00A810E5" w:rsidP="007C14DF">
      <w:pPr>
        <w:autoSpaceDE w:val="0"/>
        <w:autoSpaceDN w:val="0"/>
        <w:adjustRightInd w:val="0"/>
        <w:spacing w:before="29" w:line="288" w:lineRule="auto"/>
        <w:jc w:val="left"/>
        <w:rPr>
          <w:rFonts w:eastAsiaTheme="minorEastAsia"/>
          <w:sz w:val="24"/>
        </w:rPr>
      </w:pPr>
    </w:p>
    <w:p w:rsidR="00A810E5" w:rsidRPr="007F52FA" w:rsidRDefault="00A810E5" w:rsidP="00A810E5">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A810E5" w:rsidRPr="007F52FA" w:rsidRDefault="00A810E5" w:rsidP="00A810E5">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1D5CD0" w:rsidRPr="00A810E5" w:rsidRDefault="001D5CD0" w:rsidP="007C14DF">
      <w:pPr>
        <w:spacing w:before="29" w:line="288" w:lineRule="auto"/>
        <w:rPr>
          <w:rFonts w:eastAsiaTheme="minorEastAsia"/>
          <w:sz w:val="24"/>
        </w:rPr>
      </w:pPr>
    </w:p>
    <w:p w:rsidR="00C51B4E" w:rsidRPr="00C1196A" w:rsidRDefault="00C51B4E" w:rsidP="000A2988">
      <w:pPr>
        <w:pStyle w:val="1"/>
        <w:spacing w:beforeLines="100" w:before="312" w:afterLines="100" w:after="312" w:line="360" w:lineRule="auto"/>
        <w:jc w:val="center"/>
        <w:rPr>
          <w:rFonts w:eastAsiaTheme="minorEastAsia"/>
          <w:color w:val="000000" w:themeColor="text1"/>
          <w:kern w:val="0"/>
          <w:sz w:val="24"/>
          <w:szCs w:val="21"/>
        </w:rPr>
      </w:pPr>
      <w:r w:rsidRPr="00C51B4E">
        <w:rPr>
          <w:rFonts w:eastAsiaTheme="minorEastAsia"/>
          <w:color w:val="000000" w:themeColor="text1"/>
          <w:kern w:val="0"/>
          <w:sz w:val="21"/>
          <w:szCs w:val="21"/>
        </w:rPr>
        <w:t>§</w:t>
      </w:r>
      <w:r w:rsidRPr="00C1196A">
        <w:rPr>
          <w:rFonts w:eastAsiaTheme="minorEastAsia"/>
          <w:color w:val="000000" w:themeColor="text1"/>
          <w:kern w:val="0"/>
          <w:sz w:val="24"/>
          <w:szCs w:val="21"/>
        </w:rPr>
        <w:t xml:space="preserve">6  </w:t>
      </w:r>
      <w:r w:rsidRPr="00C1196A">
        <w:rPr>
          <w:rFonts w:eastAsiaTheme="minorEastAsia" w:hint="eastAsia"/>
          <w:color w:val="000000" w:themeColor="text1"/>
          <w:kern w:val="0"/>
          <w:sz w:val="24"/>
          <w:szCs w:val="21"/>
        </w:rPr>
        <w:t>基金中基金</w:t>
      </w:r>
    </w:p>
    <w:p w:rsidR="00A810E5" w:rsidRPr="00C1196A" w:rsidRDefault="00A810E5" w:rsidP="00A810E5">
      <w:pPr>
        <w:adjustRightInd w:val="0"/>
        <w:snapToGrid w:val="0"/>
        <w:spacing w:line="360" w:lineRule="auto"/>
        <w:rPr>
          <w:rFonts w:eastAsiaTheme="minorEastAsia"/>
          <w:b/>
          <w:color w:val="000000" w:themeColor="text1"/>
          <w:kern w:val="0"/>
          <w:sz w:val="24"/>
          <w:szCs w:val="21"/>
        </w:rPr>
      </w:pPr>
      <w:r w:rsidRPr="00C1196A">
        <w:rPr>
          <w:rFonts w:eastAsiaTheme="minorEastAsia"/>
          <w:b/>
          <w:color w:val="000000" w:themeColor="text1"/>
          <w:kern w:val="0"/>
          <w:sz w:val="24"/>
          <w:szCs w:val="21"/>
        </w:rPr>
        <w:t xml:space="preserve">6.1 </w:t>
      </w:r>
      <w:r w:rsidRPr="00C1196A">
        <w:rPr>
          <w:rFonts w:eastAsiaTheme="minorEastAsia" w:hint="eastAsia"/>
          <w:b/>
          <w:color w:val="000000" w:themeColor="text1"/>
          <w:kern w:val="0"/>
          <w:sz w:val="24"/>
          <w:szCs w:val="21"/>
        </w:rPr>
        <w:t>报告期末按公允价值占基金资产净值比例大小排序的前十名基金投资明细</w:t>
      </w:r>
    </w:p>
    <w:p w:rsidR="00A810E5" w:rsidRPr="00C1196A" w:rsidRDefault="00A810E5" w:rsidP="00A810E5">
      <w:pPr>
        <w:autoSpaceDE w:val="0"/>
        <w:autoSpaceDN w:val="0"/>
        <w:adjustRightInd w:val="0"/>
        <w:spacing w:line="360" w:lineRule="auto"/>
        <w:ind w:firstLineChars="200" w:firstLine="480"/>
        <w:jc w:val="left"/>
        <w:rPr>
          <w:rFonts w:eastAsiaTheme="minorEastAsia"/>
          <w:color w:val="000000" w:themeColor="text1"/>
          <w:sz w:val="24"/>
          <w:szCs w:val="21"/>
        </w:rPr>
      </w:pPr>
      <w:r w:rsidRPr="00C1196A">
        <w:rPr>
          <w:rFonts w:eastAsiaTheme="minorEastAsia" w:hint="eastAsia"/>
          <w:color w:val="000000" w:themeColor="text1"/>
          <w:sz w:val="24"/>
          <w:szCs w:val="21"/>
        </w:rPr>
        <w:lastRenderedPageBreak/>
        <w:t>本基金本报告期末未持有基金。</w:t>
      </w:r>
    </w:p>
    <w:p w:rsidR="00A810E5" w:rsidRPr="00C1196A" w:rsidRDefault="00A810E5" w:rsidP="00A810E5">
      <w:pPr>
        <w:adjustRightInd w:val="0"/>
        <w:snapToGrid w:val="0"/>
        <w:spacing w:beforeLines="50" w:before="156" w:line="360" w:lineRule="auto"/>
        <w:rPr>
          <w:rFonts w:eastAsiaTheme="minorEastAsia"/>
          <w:b/>
          <w:color w:val="000000" w:themeColor="text1"/>
          <w:kern w:val="0"/>
          <w:sz w:val="24"/>
          <w:szCs w:val="21"/>
        </w:rPr>
      </w:pPr>
      <w:r w:rsidRPr="00C1196A">
        <w:rPr>
          <w:rFonts w:eastAsiaTheme="minorEastAsia"/>
          <w:b/>
          <w:color w:val="000000" w:themeColor="text1"/>
          <w:kern w:val="0"/>
          <w:sz w:val="24"/>
          <w:szCs w:val="21"/>
        </w:rPr>
        <w:t xml:space="preserve">6.2 </w:t>
      </w:r>
      <w:r w:rsidRPr="00C1196A">
        <w:rPr>
          <w:rFonts w:eastAsiaTheme="minorEastAsia" w:hint="eastAsia"/>
          <w:b/>
          <w:color w:val="000000" w:themeColor="text1"/>
          <w:kern w:val="0"/>
          <w:sz w:val="24"/>
          <w:szCs w:val="21"/>
        </w:rPr>
        <w:t>当期交易及持有基金产生的费用</w:t>
      </w:r>
    </w:p>
    <w:p w:rsidR="00A810E5" w:rsidRPr="00C1196A" w:rsidRDefault="00A810E5" w:rsidP="00A810E5">
      <w:pPr>
        <w:autoSpaceDE w:val="0"/>
        <w:autoSpaceDN w:val="0"/>
        <w:adjustRightInd w:val="0"/>
        <w:spacing w:line="360" w:lineRule="auto"/>
        <w:ind w:firstLineChars="200" w:firstLine="480"/>
        <w:jc w:val="left"/>
        <w:rPr>
          <w:rFonts w:eastAsiaTheme="minorEastAsia"/>
          <w:color w:val="000000" w:themeColor="text1"/>
          <w:sz w:val="24"/>
          <w:szCs w:val="21"/>
        </w:rPr>
      </w:pPr>
      <w:r w:rsidRPr="00C1196A">
        <w:rPr>
          <w:rFonts w:eastAsiaTheme="minorEastAsia" w:hint="eastAsia"/>
          <w:color w:val="000000" w:themeColor="text1"/>
          <w:sz w:val="24"/>
          <w:szCs w:val="21"/>
        </w:rPr>
        <w:t>本基金本报告期内未交易或持有基金。</w:t>
      </w:r>
    </w:p>
    <w:p w:rsidR="00A810E5" w:rsidRPr="00C1196A" w:rsidRDefault="00A810E5" w:rsidP="00A810E5">
      <w:pPr>
        <w:adjustRightInd w:val="0"/>
        <w:snapToGrid w:val="0"/>
        <w:spacing w:beforeLines="50" w:before="156" w:line="360" w:lineRule="auto"/>
        <w:rPr>
          <w:rFonts w:eastAsiaTheme="minorEastAsia"/>
          <w:b/>
          <w:color w:val="000000" w:themeColor="text1"/>
          <w:kern w:val="0"/>
          <w:sz w:val="24"/>
          <w:szCs w:val="21"/>
        </w:rPr>
      </w:pPr>
      <w:r w:rsidRPr="00C1196A">
        <w:rPr>
          <w:rFonts w:eastAsiaTheme="minorEastAsia"/>
          <w:b/>
          <w:color w:val="000000" w:themeColor="text1"/>
          <w:kern w:val="0"/>
          <w:sz w:val="24"/>
          <w:szCs w:val="21"/>
        </w:rPr>
        <w:t xml:space="preserve">6.3 </w:t>
      </w:r>
      <w:r w:rsidRPr="00C1196A">
        <w:rPr>
          <w:rFonts w:eastAsiaTheme="minorEastAsia" w:hint="eastAsia"/>
          <w:b/>
          <w:color w:val="000000" w:themeColor="text1"/>
          <w:kern w:val="0"/>
          <w:sz w:val="24"/>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A810E5" w:rsidRPr="0033347B" w:rsidTr="005C43F8">
        <w:tc>
          <w:tcPr>
            <w:tcW w:w="9036" w:type="dxa"/>
          </w:tcPr>
          <w:p w:rsidR="00A810E5" w:rsidRPr="00C1196A" w:rsidRDefault="00A810E5" w:rsidP="005C43F8">
            <w:pPr>
              <w:autoSpaceDE w:val="0"/>
              <w:autoSpaceDN w:val="0"/>
              <w:adjustRightInd w:val="0"/>
              <w:spacing w:line="360" w:lineRule="auto"/>
              <w:ind w:firstLineChars="200" w:firstLine="480"/>
              <w:jc w:val="left"/>
              <w:rPr>
                <w:rFonts w:eastAsiaTheme="minorEastAsia"/>
                <w:color w:val="000000" w:themeColor="text1"/>
                <w:sz w:val="24"/>
                <w:szCs w:val="21"/>
              </w:rPr>
            </w:pPr>
            <w:r w:rsidRPr="00C1196A">
              <w:rPr>
                <w:rFonts w:eastAsiaTheme="minorEastAsia" w:hint="eastAsia"/>
                <w:color w:val="000000" w:themeColor="text1"/>
                <w:sz w:val="24"/>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A810E5">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A</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C</w:t>
            </w:r>
          </w:p>
        </w:tc>
      </w:tr>
      <w:tr w:rsidR="00936D40" w:rsidRPr="007F52FA" w:rsidTr="00A810E5">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210,015,677.58</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A810E5">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99.02</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A810E5">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1,560.33</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A810E5">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A810E5">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210,014,216.27</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A810E5" w:rsidRDefault="00A810E5" w:rsidP="00A810E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A810E5" w:rsidRPr="007F52FA" w:rsidRDefault="00A810E5" w:rsidP="00A810E5">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Pr="00A810E5"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C1196A"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Pr>
          <w:rFonts w:eastAsiaTheme="minorEastAsia"/>
          <w:color w:val="000000" w:themeColor="text1"/>
          <w:kern w:val="0"/>
          <w:sz w:val="21"/>
          <w:szCs w:val="21"/>
        </w:rPr>
        <w:t>§</w:t>
      </w:r>
      <w:r w:rsidRPr="00C1196A">
        <w:rPr>
          <w:rFonts w:eastAsiaTheme="minorEastAsia"/>
          <w:color w:val="000000" w:themeColor="text1"/>
          <w:kern w:val="0"/>
          <w:sz w:val="24"/>
          <w:szCs w:val="24"/>
        </w:rPr>
        <w:t xml:space="preserve">9 </w:t>
      </w:r>
      <w:r w:rsidR="00F139D5" w:rsidRPr="00C1196A">
        <w:rPr>
          <w:rFonts w:eastAsiaTheme="minorEastAsia"/>
          <w:color w:val="000000" w:themeColor="text1"/>
          <w:kern w:val="0"/>
          <w:sz w:val="24"/>
          <w:szCs w:val="24"/>
        </w:rPr>
        <w:t xml:space="preserve"> </w:t>
      </w:r>
      <w:r w:rsidRPr="00C1196A">
        <w:rPr>
          <w:rFonts w:eastAsiaTheme="minorEastAsia" w:hint="eastAsia"/>
          <w:color w:val="000000" w:themeColor="text1"/>
          <w:kern w:val="0"/>
          <w:sz w:val="24"/>
          <w:szCs w:val="24"/>
        </w:rPr>
        <w:t>影响投资者决策的其他重要信息</w:t>
      </w:r>
    </w:p>
    <w:p w:rsidR="00ED0E09" w:rsidRPr="00C1196A" w:rsidRDefault="00ED0E09" w:rsidP="00ED0E09">
      <w:pPr>
        <w:autoSpaceDE w:val="0"/>
        <w:autoSpaceDN w:val="0"/>
        <w:adjustRightInd w:val="0"/>
        <w:spacing w:line="360" w:lineRule="auto"/>
        <w:jc w:val="left"/>
        <w:rPr>
          <w:b/>
          <w:bCs/>
          <w:color w:val="000000"/>
          <w:kern w:val="0"/>
          <w:sz w:val="24"/>
        </w:rPr>
      </w:pPr>
      <w:r w:rsidRPr="00C1196A">
        <w:rPr>
          <w:b/>
          <w:bCs/>
          <w:color w:val="000000"/>
          <w:kern w:val="0"/>
          <w:sz w:val="24"/>
        </w:rPr>
        <w:t xml:space="preserve">9.1 </w:t>
      </w:r>
      <w:r w:rsidRPr="00C1196A">
        <w:rPr>
          <w:rFonts w:hint="eastAsia"/>
          <w:b/>
          <w:bCs/>
          <w:color w:val="000000"/>
          <w:kern w:val="0"/>
          <w:sz w:val="24"/>
        </w:rPr>
        <w:t>报告期内单一投资者持有基金份额比例达到或超过</w:t>
      </w:r>
      <w:r w:rsidRPr="00C1196A">
        <w:rPr>
          <w:b/>
          <w:bCs/>
          <w:color w:val="000000"/>
          <w:kern w:val="0"/>
          <w:sz w:val="24"/>
        </w:rPr>
        <w:t>20%</w:t>
      </w:r>
      <w:r w:rsidRPr="00C1196A">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D87B5A"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autoSpaceDE w:val="0"/>
              <w:autoSpaceDN w:val="0"/>
              <w:adjustRightInd w:val="0"/>
              <w:jc w:val="center"/>
              <w:rPr>
                <w:b/>
                <w:bCs/>
                <w:color w:val="000000"/>
                <w:kern w:val="0"/>
                <w:sz w:val="24"/>
              </w:rPr>
            </w:pPr>
            <w:r w:rsidRPr="00C1196A">
              <w:rPr>
                <w:rFonts w:hint="eastAsia"/>
                <w:color w:val="000000"/>
                <w:kern w:val="0"/>
                <w:sz w:val="24"/>
              </w:rPr>
              <w:t>投资者类别</w:t>
            </w:r>
            <w:r w:rsidRPr="00C1196A">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autoSpaceDE w:val="0"/>
              <w:autoSpaceDN w:val="0"/>
              <w:adjustRightInd w:val="0"/>
              <w:jc w:val="center"/>
              <w:rPr>
                <w:b/>
                <w:bCs/>
                <w:color w:val="000000"/>
                <w:kern w:val="0"/>
                <w:sz w:val="24"/>
              </w:rPr>
            </w:pPr>
            <w:r w:rsidRPr="00C1196A">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autoSpaceDE w:val="0"/>
              <w:autoSpaceDN w:val="0"/>
              <w:adjustRightInd w:val="0"/>
              <w:jc w:val="center"/>
              <w:rPr>
                <w:b/>
                <w:bCs/>
                <w:color w:val="000000"/>
                <w:kern w:val="0"/>
                <w:sz w:val="24"/>
              </w:rPr>
            </w:pPr>
            <w:r w:rsidRPr="00C1196A">
              <w:rPr>
                <w:rFonts w:hint="eastAsia"/>
                <w:color w:val="000000"/>
                <w:kern w:val="0"/>
                <w:sz w:val="24"/>
              </w:rPr>
              <w:t>报告期末持有基金情况</w:t>
            </w:r>
          </w:p>
        </w:tc>
      </w:tr>
      <w:tr w:rsidR="00ED0E09" w:rsidRPr="00D87B5A"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autoSpaceDE w:val="0"/>
              <w:autoSpaceDN w:val="0"/>
              <w:adjustRightInd w:val="0"/>
              <w:jc w:val="center"/>
              <w:rPr>
                <w:b/>
                <w:bCs/>
                <w:color w:val="000000"/>
                <w:kern w:val="0"/>
                <w:sz w:val="24"/>
              </w:rPr>
            </w:pPr>
            <w:r w:rsidRPr="00C1196A">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autoSpaceDE w:val="0"/>
              <w:autoSpaceDN w:val="0"/>
              <w:adjustRightInd w:val="0"/>
              <w:jc w:val="center"/>
              <w:rPr>
                <w:b/>
                <w:bCs/>
                <w:color w:val="000000"/>
                <w:kern w:val="0"/>
                <w:sz w:val="24"/>
              </w:rPr>
            </w:pPr>
            <w:r w:rsidRPr="00C1196A">
              <w:rPr>
                <w:rFonts w:hint="eastAsia"/>
                <w:color w:val="000000"/>
                <w:kern w:val="0"/>
                <w:sz w:val="24"/>
              </w:rPr>
              <w:t>持有基金份额比例达到或者超过</w:t>
            </w:r>
            <w:r w:rsidRPr="00C1196A">
              <w:rPr>
                <w:color w:val="000000"/>
                <w:kern w:val="0"/>
                <w:sz w:val="24"/>
              </w:rPr>
              <w:t>20%</w:t>
            </w:r>
            <w:r w:rsidRPr="00C1196A">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widowControl/>
              <w:jc w:val="center"/>
              <w:rPr>
                <w:b/>
                <w:bCs/>
                <w:color w:val="000000"/>
                <w:kern w:val="0"/>
                <w:sz w:val="24"/>
              </w:rPr>
            </w:pPr>
            <w:r w:rsidRPr="00C1196A">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widowControl/>
              <w:jc w:val="center"/>
              <w:rPr>
                <w:b/>
                <w:bCs/>
                <w:color w:val="000000"/>
                <w:kern w:val="0"/>
                <w:sz w:val="24"/>
              </w:rPr>
            </w:pPr>
            <w:r w:rsidRPr="00C1196A">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widowControl/>
              <w:jc w:val="center"/>
              <w:rPr>
                <w:b/>
                <w:bCs/>
                <w:color w:val="000000"/>
                <w:kern w:val="0"/>
                <w:sz w:val="24"/>
              </w:rPr>
            </w:pPr>
            <w:r w:rsidRPr="00C1196A">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autoSpaceDE w:val="0"/>
              <w:autoSpaceDN w:val="0"/>
              <w:adjustRightInd w:val="0"/>
              <w:jc w:val="center"/>
              <w:rPr>
                <w:b/>
                <w:bCs/>
                <w:color w:val="000000"/>
                <w:kern w:val="0"/>
                <w:sz w:val="24"/>
              </w:rPr>
            </w:pPr>
            <w:r w:rsidRPr="00C1196A">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autoSpaceDE w:val="0"/>
              <w:autoSpaceDN w:val="0"/>
              <w:adjustRightInd w:val="0"/>
              <w:jc w:val="center"/>
              <w:rPr>
                <w:b/>
                <w:bCs/>
                <w:color w:val="000000"/>
                <w:kern w:val="0"/>
                <w:sz w:val="24"/>
              </w:rPr>
            </w:pPr>
            <w:r w:rsidRPr="00C1196A">
              <w:rPr>
                <w:rFonts w:hint="eastAsia"/>
                <w:color w:val="000000"/>
                <w:kern w:val="0"/>
                <w:sz w:val="24"/>
              </w:rPr>
              <w:t>份额占比</w:t>
            </w:r>
          </w:p>
        </w:tc>
      </w:tr>
      <w:tr w:rsidR="00A10039" w:rsidRPr="00D87B5A">
        <w:tc>
          <w:tcPr>
            <w:tcW w:w="992" w:type="dxa"/>
            <w:vMerge w:val="restart"/>
          </w:tcPr>
          <w:p w:rsidR="00A10039" w:rsidRPr="00C1196A" w:rsidRDefault="00A10039">
            <w:pPr>
              <w:rPr>
                <w:sz w:val="24"/>
              </w:rPr>
            </w:pPr>
          </w:p>
          <w:p w:rsidR="00A10039" w:rsidRPr="00C1196A" w:rsidRDefault="00E2138A">
            <w:pPr>
              <w:rPr>
                <w:sz w:val="24"/>
              </w:rPr>
            </w:pPr>
            <w:r w:rsidRPr="00C1196A">
              <w:rPr>
                <w:rFonts w:hint="eastAsia"/>
                <w:bCs/>
                <w:color w:val="000000"/>
                <w:kern w:val="0"/>
                <w:sz w:val="24"/>
              </w:rPr>
              <w:t>机构</w:t>
            </w:r>
          </w:p>
        </w:tc>
        <w:tc>
          <w:tcPr>
            <w:tcW w:w="991" w:type="dxa"/>
            <w:vAlign w:val="center"/>
          </w:tcPr>
          <w:p w:rsidR="00A10039" w:rsidRPr="00C1196A" w:rsidRDefault="00E2138A">
            <w:pPr>
              <w:jc w:val="center"/>
              <w:rPr>
                <w:sz w:val="24"/>
              </w:rPr>
            </w:pPr>
            <w:r w:rsidRPr="00C1196A">
              <w:rPr>
                <w:color w:val="000000"/>
                <w:kern w:val="0"/>
                <w:sz w:val="24"/>
              </w:rPr>
              <w:t>1</w:t>
            </w:r>
          </w:p>
        </w:tc>
        <w:tc>
          <w:tcPr>
            <w:tcW w:w="1843" w:type="dxa"/>
            <w:vAlign w:val="center"/>
          </w:tcPr>
          <w:p w:rsidR="00A10039" w:rsidRPr="00C1196A" w:rsidRDefault="00E2138A">
            <w:pPr>
              <w:jc w:val="center"/>
              <w:rPr>
                <w:sz w:val="24"/>
              </w:rPr>
            </w:pPr>
            <w:r w:rsidRPr="00C1196A">
              <w:rPr>
                <w:color w:val="000000"/>
                <w:kern w:val="0"/>
                <w:sz w:val="24"/>
              </w:rPr>
              <w:t>2018/7/1-2018/9/30</w:t>
            </w:r>
          </w:p>
        </w:tc>
        <w:tc>
          <w:tcPr>
            <w:tcW w:w="851" w:type="dxa"/>
            <w:vAlign w:val="center"/>
          </w:tcPr>
          <w:p w:rsidR="00A10039" w:rsidRPr="00C1196A" w:rsidRDefault="00E2138A">
            <w:pPr>
              <w:jc w:val="center"/>
              <w:rPr>
                <w:sz w:val="24"/>
              </w:rPr>
            </w:pPr>
            <w:r w:rsidRPr="00C1196A">
              <w:rPr>
                <w:color w:val="000000"/>
                <w:kern w:val="0"/>
                <w:sz w:val="24"/>
              </w:rPr>
              <w:t>50,001,250.00</w:t>
            </w:r>
          </w:p>
        </w:tc>
        <w:tc>
          <w:tcPr>
            <w:tcW w:w="850" w:type="dxa"/>
            <w:vAlign w:val="center"/>
          </w:tcPr>
          <w:p w:rsidR="00A10039" w:rsidRPr="00C1196A" w:rsidRDefault="00E2138A">
            <w:pPr>
              <w:jc w:val="center"/>
              <w:rPr>
                <w:sz w:val="24"/>
              </w:rPr>
            </w:pPr>
            <w:r w:rsidRPr="00C1196A">
              <w:rPr>
                <w:color w:val="000000"/>
                <w:kern w:val="0"/>
                <w:sz w:val="24"/>
              </w:rPr>
              <w:t>-</w:t>
            </w:r>
          </w:p>
        </w:tc>
        <w:tc>
          <w:tcPr>
            <w:tcW w:w="1134" w:type="dxa"/>
            <w:vAlign w:val="center"/>
          </w:tcPr>
          <w:p w:rsidR="00A10039" w:rsidRPr="00C1196A" w:rsidRDefault="00E2138A">
            <w:pPr>
              <w:jc w:val="center"/>
              <w:rPr>
                <w:sz w:val="24"/>
              </w:rPr>
            </w:pPr>
            <w:r w:rsidRPr="00C1196A">
              <w:rPr>
                <w:color w:val="000000"/>
                <w:kern w:val="0"/>
                <w:sz w:val="24"/>
              </w:rPr>
              <w:t>-</w:t>
            </w:r>
          </w:p>
        </w:tc>
        <w:tc>
          <w:tcPr>
            <w:tcW w:w="1419" w:type="dxa"/>
            <w:vAlign w:val="center"/>
          </w:tcPr>
          <w:p w:rsidR="00A10039" w:rsidRPr="00C1196A" w:rsidRDefault="00E2138A">
            <w:pPr>
              <w:jc w:val="center"/>
              <w:rPr>
                <w:sz w:val="24"/>
              </w:rPr>
            </w:pPr>
            <w:r w:rsidRPr="00C1196A">
              <w:rPr>
                <w:color w:val="000000"/>
                <w:kern w:val="0"/>
                <w:sz w:val="24"/>
              </w:rPr>
              <w:t>50,001,250.00</w:t>
            </w:r>
          </w:p>
        </w:tc>
        <w:tc>
          <w:tcPr>
            <w:tcW w:w="1130" w:type="dxa"/>
            <w:vAlign w:val="center"/>
          </w:tcPr>
          <w:p w:rsidR="00A10039" w:rsidRPr="00C1196A" w:rsidRDefault="00E2138A">
            <w:pPr>
              <w:jc w:val="center"/>
              <w:rPr>
                <w:sz w:val="24"/>
              </w:rPr>
            </w:pPr>
            <w:r w:rsidRPr="00C1196A">
              <w:rPr>
                <w:color w:val="000000"/>
                <w:kern w:val="0"/>
                <w:sz w:val="24"/>
              </w:rPr>
              <w:t>23.81%</w:t>
            </w:r>
          </w:p>
        </w:tc>
      </w:tr>
      <w:tr w:rsidR="00A10039" w:rsidRPr="00D87B5A">
        <w:tc>
          <w:tcPr>
            <w:tcW w:w="992" w:type="dxa"/>
            <w:vMerge/>
          </w:tcPr>
          <w:p w:rsidR="00A10039" w:rsidRPr="00C1196A" w:rsidRDefault="00A10039">
            <w:pPr>
              <w:rPr>
                <w:sz w:val="24"/>
              </w:rPr>
            </w:pPr>
          </w:p>
        </w:tc>
        <w:tc>
          <w:tcPr>
            <w:tcW w:w="991" w:type="dxa"/>
            <w:vAlign w:val="center"/>
          </w:tcPr>
          <w:p w:rsidR="00A10039" w:rsidRPr="00C1196A" w:rsidRDefault="00E2138A">
            <w:pPr>
              <w:jc w:val="center"/>
              <w:rPr>
                <w:sz w:val="24"/>
              </w:rPr>
            </w:pPr>
            <w:r w:rsidRPr="00C1196A">
              <w:rPr>
                <w:color w:val="000000"/>
                <w:kern w:val="0"/>
                <w:sz w:val="24"/>
              </w:rPr>
              <w:t>2</w:t>
            </w:r>
          </w:p>
        </w:tc>
        <w:tc>
          <w:tcPr>
            <w:tcW w:w="1843" w:type="dxa"/>
            <w:vAlign w:val="center"/>
          </w:tcPr>
          <w:p w:rsidR="00A10039" w:rsidRPr="00C1196A" w:rsidRDefault="00E2138A">
            <w:pPr>
              <w:jc w:val="center"/>
              <w:rPr>
                <w:sz w:val="24"/>
              </w:rPr>
            </w:pPr>
            <w:r w:rsidRPr="00C1196A">
              <w:rPr>
                <w:color w:val="000000"/>
                <w:kern w:val="0"/>
                <w:sz w:val="24"/>
              </w:rPr>
              <w:t>2018/7/1-2018/9/30</w:t>
            </w:r>
          </w:p>
        </w:tc>
        <w:tc>
          <w:tcPr>
            <w:tcW w:w="851" w:type="dxa"/>
            <w:vAlign w:val="center"/>
          </w:tcPr>
          <w:p w:rsidR="00A10039" w:rsidRPr="00C1196A" w:rsidRDefault="00E2138A">
            <w:pPr>
              <w:jc w:val="center"/>
              <w:rPr>
                <w:sz w:val="24"/>
              </w:rPr>
            </w:pPr>
            <w:r w:rsidRPr="00C1196A">
              <w:rPr>
                <w:color w:val="000000"/>
                <w:kern w:val="0"/>
                <w:sz w:val="24"/>
              </w:rPr>
              <w:t>60,001,700.00</w:t>
            </w:r>
          </w:p>
        </w:tc>
        <w:tc>
          <w:tcPr>
            <w:tcW w:w="850" w:type="dxa"/>
            <w:vAlign w:val="center"/>
          </w:tcPr>
          <w:p w:rsidR="00A10039" w:rsidRPr="00C1196A" w:rsidRDefault="00E2138A">
            <w:pPr>
              <w:jc w:val="center"/>
              <w:rPr>
                <w:sz w:val="24"/>
              </w:rPr>
            </w:pPr>
            <w:r w:rsidRPr="00C1196A">
              <w:rPr>
                <w:color w:val="000000"/>
                <w:kern w:val="0"/>
                <w:sz w:val="24"/>
              </w:rPr>
              <w:t>-</w:t>
            </w:r>
          </w:p>
        </w:tc>
        <w:tc>
          <w:tcPr>
            <w:tcW w:w="1134" w:type="dxa"/>
            <w:vAlign w:val="center"/>
          </w:tcPr>
          <w:p w:rsidR="00A10039" w:rsidRPr="00C1196A" w:rsidRDefault="00E2138A">
            <w:pPr>
              <w:jc w:val="center"/>
              <w:rPr>
                <w:sz w:val="24"/>
              </w:rPr>
            </w:pPr>
            <w:r w:rsidRPr="00C1196A">
              <w:rPr>
                <w:color w:val="000000"/>
                <w:kern w:val="0"/>
                <w:sz w:val="24"/>
              </w:rPr>
              <w:t>-</w:t>
            </w:r>
          </w:p>
        </w:tc>
        <w:tc>
          <w:tcPr>
            <w:tcW w:w="1419" w:type="dxa"/>
            <w:vAlign w:val="center"/>
          </w:tcPr>
          <w:p w:rsidR="00A10039" w:rsidRPr="00C1196A" w:rsidRDefault="00E2138A">
            <w:pPr>
              <w:jc w:val="center"/>
              <w:rPr>
                <w:sz w:val="24"/>
              </w:rPr>
            </w:pPr>
            <w:r w:rsidRPr="00C1196A">
              <w:rPr>
                <w:color w:val="000000"/>
                <w:kern w:val="0"/>
                <w:sz w:val="24"/>
              </w:rPr>
              <w:t>60,001,700.00</w:t>
            </w:r>
          </w:p>
        </w:tc>
        <w:tc>
          <w:tcPr>
            <w:tcW w:w="1130" w:type="dxa"/>
            <w:vAlign w:val="center"/>
          </w:tcPr>
          <w:p w:rsidR="00A10039" w:rsidRPr="00C1196A" w:rsidRDefault="00E2138A">
            <w:pPr>
              <w:jc w:val="center"/>
              <w:rPr>
                <w:sz w:val="24"/>
              </w:rPr>
            </w:pPr>
            <w:r w:rsidRPr="00C1196A">
              <w:rPr>
                <w:color w:val="000000"/>
                <w:kern w:val="0"/>
                <w:sz w:val="24"/>
              </w:rPr>
              <w:t>28.57%</w:t>
            </w:r>
          </w:p>
        </w:tc>
      </w:tr>
      <w:tr w:rsidR="00A10039" w:rsidRPr="00D87B5A">
        <w:tc>
          <w:tcPr>
            <w:tcW w:w="992" w:type="dxa"/>
            <w:vMerge/>
          </w:tcPr>
          <w:p w:rsidR="00A10039" w:rsidRPr="00C1196A" w:rsidRDefault="00A10039">
            <w:pPr>
              <w:rPr>
                <w:sz w:val="24"/>
              </w:rPr>
            </w:pPr>
          </w:p>
        </w:tc>
        <w:tc>
          <w:tcPr>
            <w:tcW w:w="991" w:type="dxa"/>
            <w:vAlign w:val="center"/>
          </w:tcPr>
          <w:p w:rsidR="00A10039" w:rsidRPr="00C1196A" w:rsidRDefault="00E2138A">
            <w:pPr>
              <w:jc w:val="center"/>
              <w:rPr>
                <w:sz w:val="24"/>
              </w:rPr>
            </w:pPr>
            <w:r w:rsidRPr="00C1196A">
              <w:rPr>
                <w:color w:val="000000"/>
                <w:kern w:val="0"/>
                <w:sz w:val="24"/>
              </w:rPr>
              <w:t>3</w:t>
            </w:r>
          </w:p>
        </w:tc>
        <w:tc>
          <w:tcPr>
            <w:tcW w:w="1843" w:type="dxa"/>
            <w:vAlign w:val="center"/>
          </w:tcPr>
          <w:p w:rsidR="00A10039" w:rsidRPr="00C1196A" w:rsidRDefault="00E2138A">
            <w:pPr>
              <w:jc w:val="center"/>
              <w:rPr>
                <w:sz w:val="24"/>
              </w:rPr>
            </w:pPr>
            <w:r w:rsidRPr="00C1196A">
              <w:rPr>
                <w:color w:val="000000"/>
                <w:kern w:val="0"/>
                <w:sz w:val="24"/>
              </w:rPr>
              <w:t>2018/7/1-2018/9/30</w:t>
            </w:r>
          </w:p>
        </w:tc>
        <w:tc>
          <w:tcPr>
            <w:tcW w:w="851" w:type="dxa"/>
            <w:vAlign w:val="center"/>
          </w:tcPr>
          <w:p w:rsidR="00A10039" w:rsidRPr="00C1196A" w:rsidRDefault="00E2138A">
            <w:pPr>
              <w:jc w:val="center"/>
              <w:rPr>
                <w:sz w:val="24"/>
              </w:rPr>
            </w:pPr>
            <w:r w:rsidRPr="00C1196A">
              <w:rPr>
                <w:color w:val="000000"/>
                <w:kern w:val="0"/>
                <w:sz w:val="24"/>
              </w:rPr>
              <w:t>50,001,250.00</w:t>
            </w:r>
          </w:p>
        </w:tc>
        <w:tc>
          <w:tcPr>
            <w:tcW w:w="850" w:type="dxa"/>
            <w:vAlign w:val="center"/>
          </w:tcPr>
          <w:p w:rsidR="00A10039" w:rsidRPr="00C1196A" w:rsidRDefault="00E2138A">
            <w:pPr>
              <w:jc w:val="center"/>
              <w:rPr>
                <w:sz w:val="24"/>
              </w:rPr>
            </w:pPr>
            <w:r w:rsidRPr="00C1196A">
              <w:rPr>
                <w:color w:val="000000"/>
                <w:kern w:val="0"/>
                <w:sz w:val="24"/>
              </w:rPr>
              <w:t>-</w:t>
            </w:r>
          </w:p>
        </w:tc>
        <w:tc>
          <w:tcPr>
            <w:tcW w:w="1134" w:type="dxa"/>
            <w:vAlign w:val="center"/>
          </w:tcPr>
          <w:p w:rsidR="00A10039" w:rsidRPr="00C1196A" w:rsidRDefault="00E2138A">
            <w:pPr>
              <w:jc w:val="center"/>
              <w:rPr>
                <w:sz w:val="24"/>
              </w:rPr>
            </w:pPr>
            <w:r w:rsidRPr="00C1196A">
              <w:rPr>
                <w:color w:val="000000"/>
                <w:kern w:val="0"/>
                <w:sz w:val="24"/>
              </w:rPr>
              <w:t>-</w:t>
            </w:r>
          </w:p>
        </w:tc>
        <w:tc>
          <w:tcPr>
            <w:tcW w:w="1419" w:type="dxa"/>
            <w:vAlign w:val="center"/>
          </w:tcPr>
          <w:p w:rsidR="00A10039" w:rsidRPr="00C1196A" w:rsidRDefault="00E2138A">
            <w:pPr>
              <w:jc w:val="center"/>
              <w:rPr>
                <w:sz w:val="24"/>
              </w:rPr>
            </w:pPr>
            <w:r w:rsidRPr="00C1196A">
              <w:rPr>
                <w:color w:val="000000"/>
                <w:kern w:val="0"/>
                <w:sz w:val="24"/>
              </w:rPr>
              <w:t>50,001,250.00</w:t>
            </w:r>
          </w:p>
        </w:tc>
        <w:tc>
          <w:tcPr>
            <w:tcW w:w="1130" w:type="dxa"/>
            <w:vAlign w:val="center"/>
          </w:tcPr>
          <w:p w:rsidR="00A10039" w:rsidRPr="00C1196A" w:rsidRDefault="00E2138A">
            <w:pPr>
              <w:jc w:val="center"/>
              <w:rPr>
                <w:sz w:val="24"/>
              </w:rPr>
            </w:pPr>
            <w:r w:rsidRPr="00C1196A">
              <w:rPr>
                <w:color w:val="000000"/>
                <w:kern w:val="0"/>
                <w:sz w:val="24"/>
              </w:rPr>
              <w:t>23.81%</w:t>
            </w:r>
          </w:p>
        </w:tc>
      </w:tr>
      <w:tr w:rsidR="00A10039" w:rsidRPr="00D87B5A">
        <w:tc>
          <w:tcPr>
            <w:tcW w:w="992" w:type="dxa"/>
            <w:vMerge/>
          </w:tcPr>
          <w:p w:rsidR="00A10039" w:rsidRPr="00C1196A" w:rsidRDefault="00A10039">
            <w:pPr>
              <w:rPr>
                <w:sz w:val="24"/>
              </w:rPr>
            </w:pPr>
          </w:p>
        </w:tc>
        <w:tc>
          <w:tcPr>
            <w:tcW w:w="991" w:type="dxa"/>
            <w:vAlign w:val="center"/>
          </w:tcPr>
          <w:p w:rsidR="00A10039" w:rsidRPr="00C1196A" w:rsidRDefault="00E2138A">
            <w:pPr>
              <w:jc w:val="center"/>
              <w:rPr>
                <w:sz w:val="24"/>
              </w:rPr>
            </w:pPr>
            <w:r w:rsidRPr="00C1196A">
              <w:rPr>
                <w:color w:val="000000"/>
                <w:kern w:val="0"/>
                <w:sz w:val="24"/>
              </w:rPr>
              <w:t>4</w:t>
            </w:r>
          </w:p>
        </w:tc>
        <w:tc>
          <w:tcPr>
            <w:tcW w:w="1843" w:type="dxa"/>
            <w:vAlign w:val="center"/>
          </w:tcPr>
          <w:p w:rsidR="00A10039" w:rsidRPr="00C1196A" w:rsidRDefault="00E2138A">
            <w:pPr>
              <w:jc w:val="center"/>
              <w:rPr>
                <w:sz w:val="24"/>
              </w:rPr>
            </w:pPr>
            <w:r w:rsidRPr="00C1196A">
              <w:rPr>
                <w:color w:val="000000"/>
                <w:kern w:val="0"/>
                <w:sz w:val="24"/>
              </w:rPr>
              <w:t>2018/7/1-2018/9/30</w:t>
            </w:r>
          </w:p>
        </w:tc>
        <w:tc>
          <w:tcPr>
            <w:tcW w:w="851" w:type="dxa"/>
            <w:vAlign w:val="center"/>
          </w:tcPr>
          <w:p w:rsidR="00A10039" w:rsidRPr="00C1196A" w:rsidRDefault="00E2138A">
            <w:pPr>
              <w:jc w:val="center"/>
              <w:rPr>
                <w:sz w:val="24"/>
              </w:rPr>
            </w:pPr>
            <w:r w:rsidRPr="00C1196A">
              <w:rPr>
                <w:color w:val="000000"/>
                <w:kern w:val="0"/>
                <w:sz w:val="24"/>
              </w:rPr>
              <w:t>50,001,250.00</w:t>
            </w:r>
          </w:p>
        </w:tc>
        <w:tc>
          <w:tcPr>
            <w:tcW w:w="850" w:type="dxa"/>
            <w:vAlign w:val="center"/>
          </w:tcPr>
          <w:p w:rsidR="00A10039" w:rsidRPr="00C1196A" w:rsidRDefault="00E2138A">
            <w:pPr>
              <w:jc w:val="center"/>
              <w:rPr>
                <w:sz w:val="24"/>
              </w:rPr>
            </w:pPr>
            <w:r w:rsidRPr="00C1196A">
              <w:rPr>
                <w:color w:val="000000"/>
                <w:kern w:val="0"/>
                <w:sz w:val="24"/>
              </w:rPr>
              <w:t>-</w:t>
            </w:r>
          </w:p>
        </w:tc>
        <w:tc>
          <w:tcPr>
            <w:tcW w:w="1134" w:type="dxa"/>
            <w:vAlign w:val="center"/>
          </w:tcPr>
          <w:p w:rsidR="00A10039" w:rsidRPr="00C1196A" w:rsidRDefault="00E2138A">
            <w:pPr>
              <w:jc w:val="center"/>
              <w:rPr>
                <w:sz w:val="24"/>
              </w:rPr>
            </w:pPr>
            <w:r w:rsidRPr="00C1196A">
              <w:rPr>
                <w:color w:val="000000"/>
                <w:kern w:val="0"/>
                <w:sz w:val="24"/>
              </w:rPr>
              <w:t>-</w:t>
            </w:r>
          </w:p>
        </w:tc>
        <w:tc>
          <w:tcPr>
            <w:tcW w:w="1419" w:type="dxa"/>
            <w:vAlign w:val="center"/>
          </w:tcPr>
          <w:p w:rsidR="00A10039" w:rsidRPr="00C1196A" w:rsidRDefault="00E2138A">
            <w:pPr>
              <w:jc w:val="center"/>
              <w:rPr>
                <w:sz w:val="24"/>
              </w:rPr>
            </w:pPr>
            <w:r w:rsidRPr="00C1196A">
              <w:rPr>
                <w:color w:val="000000"/>
                <w:kern w:val="0"/>
                <w:sz w:val="24"/>
              </w:rPr>
              <w:t>50,001,250.00</w:t>
            </w:r>
          </w:p>
        </w:tc>
        <w:tc>
          <w:tcPr>
            <w:tcW w:w="1130" w:type="dxa"/>
            <w:vAlign w:val="center"/>
          </w:tcPr>
          <w:p w:rsidR="00A10039" w:rsidRPr="00C1196A" w:rsidRDefault="00E2138A">
            <w:pPr>
              <w:jc w:val="center"/>
              <w:rPr>
                <w:sz w:val="24"/>
              </w:rPr>
            </w:pPr>
            <w:r w:rsidRPr="00C1196A">
              <w:rPr>
                <w:color w:val="000000"/>
                <w:kern w:val="0"/>
                <w:sz w:val="24"/>
              </w:rPr>
              <w:t>23.81%</w:t>
            </w:r>
          </w:p>
        </w:tc>
      </w:tr>
      <w:tr w:rsidR="00ED0E09" w:rsidRPr="00D87B5A"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autoSpaceDE w:val="0"/>
              <w:autoSpaceDN w:val="0"/>
              <w:adjustRightInd w:val="0"/>
              <w:jc w:val="center"/>
              <w:rPr>
                <w:kern w:val="0"/>
                <w:sz w:val="24"/>
              </w:rPr>
            </w:pPr>
            <w:r w:rsidRPr="00C1196A">
              <w:rPr>
                <w:rFonts w:hint="eastAsia"/>
                <w:color w:val="000000"/>
                <w:kern w:val="0"/>
                <w:sz w:val="24"/>
              </w:rPr>
              <w:t>产品特有风险</w:t>
            </w:r>
          </w:p>
        </w:tc>
      </w:tr>
      <w:tr w:rsidR="00ED0E09" w:rsidRPr="00D87B5A"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C1196A" w:rsidRDefault="00ED0E09">
            <w:pPr>
              <w:autoSpaceDE w:val="0"/>
              <w:autoSpaceDN w:val="0"/>
              <w:adjustRightInd w:val="0"/>
              <w:jc w:val="left"/>
              <w:rPr>
                <w:kern w:val="0"/>
                <w:sz w:val="24"/>
              </w:rPr>
            </w:pPr>
            <w:r w:rsidRPr="00C1196A">
              <w:rPr>
                <w:rFonts w:hint="eastAsia"/>
                <w:kern w:val="0"/>
                <w:sz w:val="24"/>
              </w:rPr>
              <w:t>本基金本报告期内出现单一投资者持有基金份额比例超过基金总份额</w:t>
            </w:r>
            <w:r w:rsidRPr="00C1196A">
              <w:rPr>
                <w:kern w:val="0"/>
                <w:sz w:val="24"/>
              </w:rPr>
              <w:t>20%</w:t>
            </w:r>
            <w:r w:rsidRPr="00C1196A">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、中国证监会准予交银施罗德裕如纯债债券型证券投资基金募集注册的文件；</w:t>
      </w:r>
      <w:r>
        <w:rPr>
          <w:rFonts w:eastAsiaTheme="minorEastAsia"/>
          <w:color w:val="000000"/>
          <w:sz w:val="24"/>
        </w:rPr>
        <w:t xml:space="preserve"> </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、《交银施罗德裕如纯债债券型证券投资基金基金合同》；</w:t>
      </w:r>
      <w:r>
        <w:rPr>
          <w:rFonts w:eastAsiaTheme="minorEastAsia"/>
          <w:color w:val="000000"/>
          <w:sz w:val="24"/>
        </w:rPr>
        <w:t xml:space="preserve"> </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、《交银施罗德裕如纯债债券型证券投资基金招募说明书》；</w:t>
      </w:r>
      <w:r>
        <w:rPr>
          <w:rFonts w:eastAsiaTheme="minorEastAsia"/>
          <w:color w:val="000000"/>
          <w:sz w:val="24"/>
        </w:rPr>
        <w:t xml:space="preserve"> </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、《交银施罗德裕如纯债债券型证券投资基金托管协议》；</w:t>
      </w:r>
      <w:r>
        <w:rPr>
          <w:rFonts w:eastAsiaTheme="minorEastAsia"/>
          <w:color w:val="000000"/>
          <w:sz w:val="24"/>
        </w:rPr>
        <w:t xml:space="preserve"> </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、关于申请募集注册交银施罗德裕如纯债债券型证券投资基金的法律意见书；</w:t>
      </w:r>
      <w:r>
        <w:rPr>
          <w:rFonts w:eastAsiaTheme="minorEastAsia"/>
          <w:color w:val="000000"/>
          <w:sz w:val="24"/>
        </w:rPr>
        <w:t xml:space="preserve"> </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、报告期内交银施罗德裕如纯债债券型证券投资基金在指定报刊上各项公告的原稿。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A10039" w:rsidRDefault="00E2138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w:t>
      </w:r>
      <w:r>
        <w:rPr>
          <w:rFonts w:eastAsiaTheme="minorEastAsia"/>
          <w:color w:val="000000"/>
          <w:sz w:val="24"/>
        </w:rPr>
        <w:lastRenderedPageBreak/>
        <w:t>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FA4" w:rsidRDefault="00891FA4">
      <w:r>
        <w:separator/>
      </w:r>
    </w:p>
  </w:endnote>
  <w:endnote w:type="continuationSeparator" w:id="0">
    <w:p w:rsidR="00891FA4" w:rsidRDefault="0089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C1196A">
      <w:rPr>
        <w:noProof/>
        <w:kern w:val="0"/>
        <w:szCs w:val="21"/>
      </w:rPr>
      <w:t>14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C1196A">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FA4" w:rsidRDefault="00891FA4">
      <w:r>
        <w:separator/>
      </w:r>
    </w:p>
  </w:footnote>
  <w:footnote w:type="continuationSeparator" w:id="0">
    <w:p w:rsidR="00891FA4" w:rsidRDefault="00891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37BA"/>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347B"/>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1C9"/>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1FA4"/>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039"/>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0E5"/>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196A"/>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B5A"/>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0314"/>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138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A1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2B26B2A-CEB7-4C45-A677-D6E52D21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A7A8-64DD-4824-9DAA-ACDE5535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231</TotalTime>
  <Pages>14</Pages>
  <Words>1181</Words>
  <Characters>6736</Characters>
  <Application>Microsoft Office Word</Application>
  <DocSecurity>0</DocSecurity>
  <Lines>56</Lines>
  <Paragraphs>15</Paragraphs>
  <ScaleCrop>false</ScaleCrop>
  <Company>TRT. Ltd. Co.</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385</cp:revision>
  <cp:lastPrinted>2007-07-19T00:46:00Z</cp:lastPrinted>
  <dcterms:created xsi:type="dcterms:W3CDTF">2014-01-17T06:19:00Z</dcterms:created>
  <dcterms:modified xsi:type="dcterms:W3CDTF">2018-10-22T05:45:00Z</dcterms:modified>
</cp:coreProperties>
</file>