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交银施罗德致远量化智投策略定期开放混合型证券投资基金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C60C9" w:rsidRDefault="00DB49C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交银致远智投混合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005724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005724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228,753,120.21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上证国债指数收益率</w:t>
            </w:r>
            <w:r w:rsidRPr="00414345">
              <w:rPr>
                <w:color w:val="000000"/>
                <w:kern w:val="0"/>
                <w:sz w:val="24"/>
                <w:szCs w:val="24"/>
              </w:rPr>
              <w:t>+25%×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42DDE" w:rsidRPr="00414345" w:rsidTr="00642DDE">
        <w:trPr>
          <w:jc w:val="center"/>
        </w:trPr>
        <w:tc>
          <w:tcPr>
            <w:tcW w:w="3607"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5261"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42DDE" w:rsidRPr="00414345" w:rsidTr="00642DDE">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-1,581,643.67</w:t>
            </w:r>
          </w:p>
        </w:tc>
      </w:tr>
      <w:tr w:rsidR="00642DDE" w:rsidRPr="00414345" w:rsidTr="00642DDE">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-1,362,433.57</w:t>
            </w:r>
          </w:p>
        </w:tc>
      </w:tr>
      <w:tr w:rsidR="00642DDE" w:rsidRPr="00414345" w:rsidTr="00642DDE">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-0.0060</w:t>
            </w:r>
          </w:p>
        </w:tc>
      </w:tr>
      <w:tr w:rsidR="00642DDE" w:rsidRPr="00414345" w:rsidTr="00642DDE">
        <w:trPr>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227,259,937.47</w:t>
            </w:r>
          </w:p>
        </w:tc>
      </w:tr>
      <w:tr w:rsidR="00642DDE" w:rsidRPr="00414345" w:rsidTr="00642DDE">
        <w:trPr>
          <w:trHeight w:val="158"/>
          <w:jc w:val="center"/>
        </w:trPr>
        <w:tc>
          <w:tcPr>
            <w:tcW w:w="3607"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5261"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0.9935</w:t>
            </w:r>
          </w:p>
        </w:tc>
      </w:tr>
    </w:tbl>
    <w:p w:rsidR="00642DDE" w:rsidRDefault="00642DDE" w:rsidP="00642DDE">
      <w:pPr>
        <w:autoSpaceDE w:val="0"/>
        <w:autoSpaceDN w:val="0"/>
        <w:spacing w:before="29" w:line="288" w:lineRule="auto"/>
        <w:jc w:val="left"/>
        <w:rPr>
          <w:color w:val="000000"/>
          <w:sz w:val="24"/>
          <w:szCs w:val="24"/>
        </w:rPr>
      </w:pPr>
      <w:r>
        <w:rPr>
          <w:rFonts w:ascii="宋体" w:hAnsi="宋体" w:hint="eastAsia"/>
          <w:color w:val="000000"/>
          <w:sz w:val="24"/>
          <w:szCs w:val="24"/>
        </w:rPr>
        <w:t>注：</w:t>
      </w:r>
      <w:r>
        <w:rPr>
          <w:color w:val="000000"/>
          <w:sz w:val="24"/>
          <w:szCs w:val="24"/>
        </w:rPr>
        <w:t>1</w:t>
      </w:r>
      <w:r>
        <w:rPr>
          <w:rFonts w:ascii="宋体" w:hAnsi="宋体" w:hint="eastAsia"/>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642DDE" w:rsidRDefault="00642DDE" w:rsidP="00642DDE">
      <w:pPr>
        <w:rPr>
          <w:rFonts w:ascii="Calibri" w:hAnsi="Calibri" w:cs="宋体"/>
          <w:color w:val="000000"/>
          <w:sz w:val="24"/>
          <w:szCs w:val="24"/>
        </w:rPr>
      </w:pPr>
      <w:r>
        <w:rPr>
          <w:rFonts w:hint="eastAsia"/>
          <w:color w:val="000000"/>
          <w:sz w:val="24"/>
          <w:szCs w:val="24"/>
        </w:rPr>
        <w:t xml:space="preserve">   </w:t>
      </w:r>
      <w:r>
        <w:rPr>
          <w:color w:val="000000"/>
          <w:sz w:val="24"/>
          <w:szCs w:val="24"/>
        </w:rPr>
        <w:t> 2</w:t>
      </w:r>
      <w:r>
        <w:rPr>
          <w:rFonts w:ascii="宋体" w:hAnsi="宋体" w:hint="eastAsia"/>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642DD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942"/>
        <w:gridCol w:w="1150"/>
      </w:tblGrid>
      <w:tr w:rsidR="00EF6FA5" w:rsidRPr="00414345" w:rsidTr="00220895">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94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150"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C60C9" w:rsidTr="00220895">
        <w:trPr>
          <w:jc w:val="center"/>
        </w:trPr>
        <w:tc>
          <w:tcPr>
            <w:tcW w:w="1701" w:type="dxa"/>
            <w:vAlign w:val="center"/>
          </w:tcPr>
          <w:p w:rsidR="005C60C9" w:rsidRDefault="00DB49CD">
            <w:pPr>
              <w:jc w:val="left"/>
            </w:pPr>
            <w:r>
              <w:rPr>
                <w:color w:val="000000"/>
                <w:sz w:val="24"/>
                <w:szCs w:val="24"/>
              </w:rPr>
              <w:t>过去三个月</w:t>
            </w:r>
          </w:p>
        </w:tc>
        <w:tc>
          <w:tcPr>
            <w:tcW w:w="1045" w:type="dxa"/>
            <w:vAlign w:val="center"/>
          </w:tcPr>
          <w:p w:rsidR="005C60C9" w:rsidRDefault="00DB49CD">
            <w:pPr>
              <w:jc w:val="center"/>
            </w:pPr>
            <w:r>
              <w:rPr>
                <w:color w:val="000000"/>
                <w:sz w:val="24"/>
                <w:szCs w:val="24"/>
              </w:rPr>
              <w:t>-0.59%</w:t>
            </w:r>
          </w:p>
        </w:tc>
        <w:tc>
          <w:tcPr>
            <w:tcW w:w="1344" w:type="dxa"/>
            <w:vAlign w:val="center"/>
          </w:tcPr>
          <w:p w:rsidR="005C60C9" w:rsidRDefault="00DB49CD">
            <w:pPr>
              <w:jc w:val="center"/>
            </w:pPr>
            <w:r>
              <w:rPr>
                <w:color w:val="000000"/>
                <w:sz w:val="24"/>
                <w:szCs w:val="24"/>
              </w:rPr>
              <w:t>0.17%</w:t>
            </w:r>
          </w:p>
        </w:tc>
        <w:tc>
          <w:tcPr>
            <w:tcW w:w="1194" w:type="dxa"/>
            <w:vAlign w:val="center"/>
          </w:tcPr>
          <w:p w:rsidR="005C60C9" w:rsidRDefault="00DB49CD">
            <w:pPr>
              <w:jc w:val="center"/>
            </w:pPr>
            <w:r>
              <w:rPr>
                <w:color w:val="000000"/>
                <w:sz w:val="24"/>
                <w:szCs w:val="24"/>
              </w:rPr>
              <w:t>0.26%</w:t>
            </w:r>
          </w:p>
        </w:tc>
        <w:tc>
          <w:tcPr>
            <w:tcW w:w="1492" w:type="dxa"/>
            <w:vAlign w:val="center"/>
          </w:tcPr>
          <w:p w:rsidR="005C60C9" w:rsidRDefault="00DB49CD">
            <w:pPr>
              <w:jc w:val="center"/>
            </w:pPr>
            <w:r>
              <w:rPr>
                <w:color w:val="000000"/>
                <w:sz w:val="24"/>
                <w:szCs w:val="24"/>
              </w:rPr>
              <w:t>0.34%</w:t>
            </w:r>
          </w:p>
        </w:tc>
        <w:tc>
          <w:tcPr>
            <w:tcW w:w="942" w:type="dxa"/>
            <w:vAlign w:val="center"/>
          </w:tcPr>
          <w:p w:rsidR="005C60C9" w:rsidRDefault="00DB49CD">
            <w:pPr>
              <w:jc w:val="center"/>
            </w:pPr>
            <w:r>
              <w:rPr>
                <w:color w:val="000000"/>
                <w:sz w:val="24"/>
                <w:szCs w:val="24"/>
              </w:rPr>
              <w:t>-0.85%</w:t>
            </w:r>
          </w:p>
        </w:tc>
        <w:tc>
          <w:tcPr>
            <w:tcW w:w="1150" w:type="dxa"/>
            <w:vAlign w:val="center"/>
          </w:tcPr>
          <w:p w:rsidR="005C60C9" w:rsidRDefault="00DB49CD">
            <w:pPr>
              <w:jc w:val="center"/>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交银施罗德致远量化智投策略定期开放混合型证券投资基金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DD070C" w:rsidP="00C15CAC">
      <w:pPr>
        <w:pStyle w:val="a5"/>
        <w:snapToGrid w:val="0"/>
        <w:spacing w:before="29" w:line="288" w:lineRule="auto"/>
        <w:jc w:val="center"/>
        <w:rPr>
          <w:rFonts w:ascii="Times New Roman" w:hAnsi="Times New Roman" w:cs="Times New Roman"/>
          <w:color w:val="000000"/>
          <w:sz w:val="24"/>
          <w:szCs w:val="24"/>
        </w:rPr>
      </w:pPr>
      <w:bookmarkStart w:id="0" w:name="_GoBack"/>
      <w:r>
        <w:rPr>
          <w:noProof/>
        </w:rPr>
        <w:lastRenderedPageBreak/>
        <w:drawing>
          <wp:inline distT="0" distB="0" distL="0" distR="0" wp14:anchorId="78E04D66" wp14:editId="500629FB">
            <wp:extent cx="5731510" cy="3154356"/>
            <wp:effectExtent l="0" t="0" r="0" b="0"/>
            <wp:docPr id="2" name="图片 2" descr="走势图1.jpg"/>
            <wp:cNvGraphicFramePr/>
            <a:graphic xmlns:a="http://schemas.openxmlformats.org/drawingml/2006/main">
              <a:graphicData uri="http://schemas.openxmlformats.org/drawingml/2006/picture">
                <pic:pic xmlns:pic="http://schemas.openxmlformats.org/drawingml/2006/picture">
                  <pic:nvPicPr>
                    <pic:cNvPr id="3" name="图片 2" descr="走势图1.jpg"/>
                    <pic:cNvPicPr/>
                  </pic:nvPicPr>
                  <pic:blipFill>
                    <a:blip r:embed="rId14" cstate="print"/>
                    <a:stretch>
                      <a:fillRect/>
                    </a:stretch>
                  </pic:blipFill>
                  <pic:spPr>
                    <a:xfrm>
                      <a:off x="0" y="0"/>
                      <a:ext cx="5731510" cy="3154356"/>
                    </a:xfrm>
                    <a:prstGeom prst="rect">
                      <a:avLst/>
                    </a:prstGeom>
                  </pic:spPr>
                </pic:pic>
              </a:graphicData>
            </a:graphic>
          </wp:inline>
        </w:drawing>
      </w:r>
      <w:bookmarkEnd w:id="0"/>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18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C60C9">
        <w:trPr>
          <w:jc w:val="center"/>
        </w:trPr>
        <w:tc>
          <w:tcPr>
            <w:tcW w:w="846" w:type="dxa"/>
            <w:vAlign w:val="center"/>
          </w:tcPr>
          <w:p w:rsidR="005C60C9" w:rsidRDefault="00DB49CD">
            <w:pPr>
              <w:jc w:val="center"/>
            </w:pPr>
            <w:r>
              <w:rPr>
                <w:color w:val="000000"/>
                <w:sz w:val="24"/>
                <w:szCs w:val="24"/>
              </w:rPr>
              <w:t>蔡铮</w:t>
            </w:r>
          </w:p>
        </w:tc>
        <w:tc>
          <w:tcPr>
            <w:tcW w:w="845" w:type="dxa"/>
            <w:vAlign w:val="center"/>
          </w:tcPr>
          <w:p w:rsidR="005C60C9" w:rsidRDefault="00DB49CD">
            <w:pPr>
              <w:jc w:val="center"/>
            </w:pPr>
            <w:r>
              <w:rPr>
                <w:color w:val="000000"/>
                <w:sz w:val="24"/>
                <w:szCs w:val="24"/>
              </w:rPr>
              <w:t>交银上证</w:t>
            </w:r>
            <w:r>
              <w:rPr>
                <w:color w:val="000000"/>
                <w:sz w:val="24"/>
                <w:szCs w:val="24"/>
              </w:rPr>
              <w:t>180</w:t>
            </w:r>
            <w:r>
              <w:rPr>
                <w:color w:val="000000"/>
                <w:sz w:val="24"/>
                <w:szCs w:val="24"/>
              </w:rPr>
              <w:t>公司治理</w:t>
            </w:r>
            <w:r>
              <w:rPr>
                <w:color w:val="000000"/>
                <w:sz w:val="24"/>
                <w:szCs w:val="24"/>
              </w:rPr>
              <w:t>ETF</w:t>
            </w:r>
            <w:r>
              <w:rPr>
                <w:color w:val="000000"/>
                <w:sz w:val="24"/>
                <w:szCs w:val="24"/>
              </w:rPr>
              <w:t>及其联接、交银深证</w:t>
            </w:r>
            <w:r>
              <w:rPr>
                <w:color w:val="000000"/>
                <w:sz w:val="24"/>
                <w:szCs w:val="24"/>
              </w:rPr>
              <w:t>300</w:t>
            </w:r>
            <w:r>
              <w:rPr>
                <w:color w:val="000000"/>
                <w:sz w:val="24"/>
                <w:szCs w:val="24"/>
              </w:rPr>
              <w:t>价值</w:t>
            </w:r>
            <w:r>
              <w:rPr>
                <w:color w:val="000000"/>
                <w:sz w:val="24"/>
                <w:szCs w:val="24"/>
              </w:rPr>
              <w:t>ETF</w:t>
            </w:r>
            <w:r>
              <w:rPr>
                <w:color w:val="000000"/>
                <w:sz w:val="24"/>
                <w:szCs w:val="24"/>
              </w:rPr>
              <w:t>及其联接、交银</w:t>
            </w:r>
            <w:r>
              <w:rPr>
                <w:color w:val="000000"/>
                <w:sz w:val="24"/>
                <w:szCs w:val="24"/>
              </w:rPr>
              <w:lastRenderedPageBreak/>
              <w:t>国证新能源指数分级、交银中证海外中国互联网指数（</w:t>
            </w:r>
            <w:r>
              <w:rPr>
                <w:color w:val="000000"/>
                <w:sz w:val="24"/>
                <w:szCs w:val="24"/>
              </w:rPr>
              <w:t>QDII-LOF)</w:t>
            </w:r>
            <w:r>
              <w:rPr>
                <w:color w:val="000000"/>
                <w:sz w:val="24"/>
                <w:szCs w:val="24"/>
              </w:rPr>
              <w:t>、交银中证互联网金融指数分级、交银中证环境治理指数（</w:t>
            </w:r>
            <w:r>
              <w:rPr>
                <w:color w:val="000000"/>
                <w:sz w:val="24"/>
                <w:szCs w:val="24"/>
              </w:rPr>
              <w:t>LOF</w:t>
            </w:r>
            <w:r>
              <w:rPr>
                <w:color w:val="000000"/>
                <w:sz w:val="24"/>
                <w:szCs w:val="24"/>
              </w:rPr>
              <w:t>）、交银致远智投混合的基金经理，公司量化投资副总监兼多元资产管理副总监</w:t>
            </w:r>
          </w:p>
        </w:tc>
        <w:tc>
          <w:tcPr>
            <w:tcW w:w="1549" w:type="dxa"/>
            <w:vAlign w:val="center"/>
          </w:tcPr>
          <w:p w:rsidR="005C60C9" w:rsidRDefault="00DB49CD">
            <w:pPr>
              <w:jc w:val="center"/>
            </w:pPr>
            <w:r>
              <w:rPr>
                <w:color w:val="000000"/>
                <w:sz w:val="24"/>
                <w:szCs w:val="24"/>
              </w:rPr>
              <w:lastRenderedPageBreak/>
              <w:t>2018-05-18</w:t>
            </w:r>
          </w:p>
        </w:tc>
        <w:tc>
          <w:tcPr>
            <w:tcW w:w="1548" w:type="dxa"/>
            <w:vAlign w:val="center"/>
          </w:tcPr>
          <w:p w:rsidR="005C60C9" w:rsidRDefault="00DB49CD">
            <w:pPr>
              <w:jc w:val="center"/>
            </w:pPr>
            <w:r>
              <w:rPr>
                <w:color w:val="000000"/>
                <w:sz w:val="24"/>
                <w:szCs w:val="24"/>
              </w:rPr>
              <w:t>-</w:t>
            </w:r>
          </w:p>
        </w:tc>
        <w:tc>
          <w:tcPr>
            <w:tcW w:w="1407" w:type="dxa"/>
            <w:vAlign w:val="center"/>
          </w:tcPr>
          <w:p w:rsidR="005C60C9" w:rsidRDefault="00DB49CD">
            <w:pPr>
              <w:jc w:val="center"/>
            </w:pPr>
            <w:r>
              <w:rPr>
                <w:color w:val="000000"/>
                <w:sz w:val="24"/>
                <w:szCs w:val="24"/>
              </w:rPr>
              <w:t>9</w:t>
            </w:r>
            <w:r>
              <w:rPr>
                <w:color w:val="000000"/>
                <w:sz w:val="24"/>
                <w:szCs w:val="24"/>
              </w:rPr>
              <w:t>年</w:t>
            </w:r>
          </w:p>
        </w:tc>
        <w:tc>
          <w:tcPr>
            <w:tcW w:w="2673" w:type="dxa"/>
            <w:vAlign w:val="center"/>
          </w:tcPr>
          <w:p w:rsidR="005C60C9" w:rsidRDefault="00DB49CD">
            <w:r>
              <w:rPr>
                <w:color w:val="000000"/>
                <w:sz w:val="24"/>
                <w:szCs w:val="24"/>
              </w:rPr>
              <w:t>蔡铮先生，中国国籍，复旦大学电子工程硕士。历任瑞士银行香港分行分析员。</w:t>
            </w:r>
            <w:r>
              <w:rPr>
                <w:color w:val="000000"/>
                <w:sz w:val="24"/>
                <w:szCs w:val="24"/>
              </w:rPr>
              <w:t>2009</w:t>
            </w:r>
            <w:r>
              <w:rPr>
                <w:color w:val="000000"/>
                <w:sz w:val="24"/>
                <w:szCs w:val="24"/>
              </w:rPr>
              <w:t>年加入交银施罗德基金管理有限公司，历任投资研究部数量分析师、基金经理助理、量化投资部助理总经理、量化投资部副总经理。</w:t>
            </w:r>
            <w:r>
              <w:rPr>
                <w:color w:val="000000"/>
                <w:sz w:val="24"/>
                <w:szCs w:val="24"/>
              </w:rPr>
              <w:t>2012</w:t>
            </w:r>
            <w:r>
              <w:rPr>
                <w:color w:val="000000"/>
                <w:sz w:val="24"/>
                <w:szCs w:val="24"/>
              </w:rPr>
              <w:t>年</w:t>
            </w:r>
            <w:r>
              <w:rPr>
                <w:color w:val="000000"/>
                <w:sz w:val="24"/>
                <w:szCs w:val="24"/>
              </w:rPr>
              <w:t>12</w:t>
            </w:r>
            <w:r>
              <w:rPr>
                <w:color w:val="000000"/>
                <w:sz w:val="24"/>
                <w:szCs w:val="24"/>
              </w:rPr>
              <w:t>月</w:t>
            </w:r>
            <w:r>
              <w:rPr>
                <w:color w:val="000000"/>
                <w:sz w:val="24"/>
                <w:szCs w:val="24"/>
              </w:rPr>
              <w:t>27</w:t>
            </w:r>
            <w:r>
              <w:rPr>
                <w:color w:val="000000"/>
                <w:sz w:val="24"/>
                <w:szCs w:val="24"/>
              </w:rPr>
              <w:t>日至</w:t>
            </w:r>
            <w:r>
              <w:rPr>
                <w:color w:val="000000"/>
                <w:sz w:val="24"/>
                <w:szCs w:val="24"/>
              </w:rPr>
              <w:t>2015</w:t>
            </w:r>
            <w:r>
              <w:rPr>
                <w:color w:val="000000"/>
                <w:sz w:val="24"/>
                <w:szCs w:val="24"/>
              </w:rPr>
              <w:t>年</w:t>
            </w:r>
            <w:r>
              <w:rPr>
                <w:color w:val="000000"/>
                <w:sz w:val="24"/>
                <w:szCs w:val="24"/>
              </w:rPr>
              <w:t>6</w:t>
            </w:r>
            <w:r>
              <w:rPr>
                <w:color w:val="000000"/>
                <w:sz w:val="24"/>
                <w:szCs w:val="24"/>
              </w:rPr>
              <w:t>月</w:t>
            </w:r>
            <w:r>
              <w:rPr>
                <w:color w:val="000000"/>
                <w:sz w:val="24"/>
                <w:szCs w:val="24"/>
              </w:rPr>
              <w:t>30</w:t>
            </w:r>
            <w:r>
              <w:rPr>
                <w:color w:val="000000"/>
                <w:sz w:val="24"/>
                <w:szCs w:val="24"/>
              </w:rPr>
              <w:t>日担任交银施罗德沪深</w:t>
            </w:r>
            <w:r>
              <w:rPr>
                <w:color w:val="000000"/>
                <w:sz w:val="24"/>
                <w:szCs w:val="24"/>
              </w:rPr>
              <w:t>300</w:t>
            </w:r>
            <w:r>
              <w:rPr>
                <w:color w:val="000000"/>
                <w:sz w:val="24"/>
                <w:szCs w:val="24"/>
              </w:rPr>
              <w:t>行业分层等权重指数证券投资基金基金经理，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w:t>
            </w:r>
            <w:r>
              <w:rPr>
                <w:color w:val="000000"/>
                <w:sz w:val="24"/>
                <w:szCs w:val="24"/>
              </w:rPr>
              <w:lastRenderedPageBreak/>
              <w:t>担任交银施罗德环球精选价值证券投资基金基金经理，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日担任交银施罗德全球自然资源证券投资基金基金经理，</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13</w:t>
            </w:r>
            <w:r>
              <w:rPr>
                <w:color w:val="000000"/>
                <w:sz w:val="24"/>
                <w:szCs w:val="24"/>
              </w:rPr>
              <w:t>日至</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日担任交银施罗德中证环境治理指数分级证券投资基金基金经理。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w:t>
      </w:r>
      <w:r w:rsidRPr="00414345">
        <w:rPr>
          <w:color w:val="000000"/>
          <w:sz w:val="24"/>
          <w:szCs w:val="24"/>
        </w:rPr>
        <w:lastRenderedPageBreak/>
        <w:t>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C60C9" w:rsidRDefault="00DB49C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C60C9" w:rsidRDefault="00DB49C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C60C9" w:rsidRDefault="00DB49C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C60C9" w:rsidRDefault="00DB49CD">
      <w:pPr>
        <w:spacing w:before="29" w:line="288" w:lineRule="auto"/>
        <w:ind w:firstLineChars="200" w:firstLine="480"/>
        <w:rPr>
          <w:color w:val="000000"/>
          <w:sz w:val="24"/>
          <w:szCs w:val="24"/>
        </w:rPr>
      </w:pPr>
      <w:r>
        <w:rPr>
          <w:color w:val="000000"/>
          <w:sz w:val="24"/>
          <w:szCs w:val="24"/>
        </w:rPr>
        <w:t>2018</w:t>
      </w:r>
      <w:r>
        <w:rPr>
          <w:color w:val="000000"/>
          <w:sz w:val="24"/>
          <w:szCs w:val="24"/>
        </w:rPr>
        <w:t>年三季度国内经济回落趋势显现，与此对应的托底政策也不断出台，但受到中美贸易摩擦反复加剧、美元加息、汇率波动等各因素频发的负面影响，三季度</w:t>
      </w:r>
      <w:r>
        <w:rPr>
          <w:color w:val="000000"/>
          <w:sz w:val="24"/>
          <w:szCs w:val="24"/>
        </w:rPr>
        <w:t>A</w:t>
      </w:r>
      <w:r>
        <w:rPr>
          <w:color w:val="000000"/>
          <w:sz w:val="24"/>
          <w:szCs w:val="24"/>
        </w:rPr>
        <w:t>股市场波动加大，表现出阶段性下行。在上述市场环境下，本基金采取定期不定额的投资模式，本季度内缓步建仓，平均权益仓位保持在较低水平，同时配置了较高信用等级的固定收益资产作为收益增强，净值表现总体呈现出窄幅震荡的走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展望下一季度，我们认为通胀仍将维持温和，货币中性稳健，财政政策持续发力。中美贸易摩擦的影响在短期内或仍将延续，政策的短期重点或偏向于稳增长的方向。市场经历了二季度到三季度的调整，许多行业指数已接近合理估值区间，目前股价也包含了投资者较为悲观的预期，总体而言，从中长期来看我们对</w:t>
      </w:r>
      <w:r w:rsidRPr="00414345">
        <w:rPr>
          <w:color w:val="000000"/>
          <w:sz w:val="24"/>
          <w:szCs w:val="24"/>
        </w:rPr>
        <w:t>A</w:t>
      </w:r>
      <w:r w:rsidRPr="00414345">
        <w:rPr>
          <w:color w:val="000000"/>
          <w:sz w:val="24"/>
          <w:szCs w:val="24"/>
        </w:rPr>
        <w:t>股市场仍维持谨慎中性的看法。</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Default="009C5186" w:rsidP="00C15CAC">
      <w:pPr>
        <w:spacing w:before="29" w:line="288" w:lineRule="auto"/>
        <w:ind w:firstLineChars="200" w:firstLine="480"/>
        <w:rPr>
          <w:color w:val="000000"/>
          <w:sz w:val="24"/>
          <w:szCs w:val="24"/>
        </w:rPr>
      </w:pPr>
    </w:p>
    <w:p w:rsidR="00642DDE" w:rsidRDefault="00642DDE" w:rsidP="00642DDE">
      <w:pPr>
        <w:autoSpaceDE w:val="0"/>
        <w:autoSpaceDN w:val="0"/>
        <w:spacing w:before="29" w:line="288" w:lineRule="auto"/>
        <w:jc w:val="left"/>
        <w:rPr>
          <w:b/>
          <w:bCs/>
          <w:color w:val="000000"/>
          <w:sz w:val="24"/>
          <w:szCs w:val="24"/>
        </w:rPr>
      </w:pPr>
      <w:r>
        <w:rPr>
          <w:b/>
          <w:bCs/>
          <w:color w:val="000000"/>
          <w:sz w:val="24"/>
          <w:szCs w:val="24"/>
        </w:rPr>
        <w:t>4.6</w:t>
      </w:r>
      <w:r>
        <w:rPr>
          <w:rFonts w:ascii="宋体" w:hAnsi="宋体" w:hint="eastAsia"/>
          <w:b/>
          <w:bCs/>
          <w:color w:val="000000"/>
          <w:sz w:val="24"/>
          <w:szCs w:val="24"/>
        </w:rPr>
        <w:t>报告期内基金持有人数或基金资产净值预警说明</w:t>
      </w:r>
    </w:p>
    <w:p w:rsidR="00642DDE" w:rsidRDefault="00642DDE" w:rsidP="00642DDE">
      <w:pPr>
        <w:spacing w:before="29" w:line="288" w:lineRule="auto"/>
        <w:ind w:firstLine="480"/>
        <w:rPr>
          <w:color w:val="000000"/>
          <w:sz w:val="24"/>
          <w:szCs w:val="24"/>
        </w:rPr>
      </w:pPr>
      <w:r>
        <w:rPr>
          <w:rFonts w:ascii="宋体" w:hAnsi="宋体" w:hint="eastAsia"/>
          <w:color w:val="000000"/>
          <w:sz w:val="24"/>
          <w:szCs w:val="24"/>
        </w:rPr>
        <w:t>本基金本报告期内无需预警说明。</w:t>
      </w:r>
    </w:p>
    <w:p w:rsidR="00642DDE" w:rsidRPr="00642DDE" w:rsidRDefault="00642DDE"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38,397,467.25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38,397,467.25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15.81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194,586,000.00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194,586,000.00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7,355,250.20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2,483,439.83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242,822,157.28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641,273.00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1,214,980.90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21,047,058.80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1,774,732.17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636,678.00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2,655,605.00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1,119,081.20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4,071,224.50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977,524.00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2,454,154.00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637,531.60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79,728.00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543,752.00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544,002.00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38,397,467.25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16.90</w:t>
            </w:r>
          </w:p>
        </w:tc>
      </w:tr>
    </w:tbl>
    <w:p w:rsidR="00642DDE" w:rsidRDefault="00642DDE" w:rsidP="00C15CAC">
      <w:pPr>
        <w:autoSpaceDE w:val="0"/>
        <w:autoSpaceDN w:val="0"/>
        <w:adjustRightInd w:val="0"/>
        <w:spacing w:before="29" w:line="288" w:lineRule="auto"/>
        <w:jc w:val="left"/>
        <w:rPr>
          <w:b/>
          <w:bCs/>
          <w:color w:val="000000"/>
          <w:kern w:val="0"/>
          <w:sz w:val="24"/>
          <w:szCs w:val="24"/>
        </w:rPr>
      </w:pPr>
    </w:p>
    <w:p w:rsidR="00642DDE" w:rsidRPr="00220895" w:rsidRDefault="00642DDE" w:rsidP="00220895">
      <w:pPr>
        <w:rPr>
          <w:rFonts w:eastAsiaTheme="minorEastAsia"/>
          <w:b/>
          <w:color w:val="000000" w:themeColor="text1"/>
          <w:kern w:val="0"/>
          <w:sz w:val="24"/>
        </w:rPr>
      </w:pPr>
      <w:r w:rsidRPr="00220895">
        <w:rPr>
          <w:rFonts w:eastAsiaTheme="minorEastAsia"/>
          <w:b/>
          <w:color w:val="000000" w:themeColor="text1"/>
          <w:kern w:val="0"/>
          <w:sz w:val="24"/>
        </w:rPr>
        <w:t>5.2.2</w:t>
      </w:r>
      <w:r w:rsidRPr="00220895">
        <w:rPr>
          <w:rFonts w:eastAsiaTheme="minorEastAsia" w:hint="eastAsia"/>
          <w:b/>
          <w:color w:val="000000" w:themeColor="text1"/>
          <w:kern w:val="0"/>
          <w:sz w:val="24"/>
        </w:rPr>
        <w:t>报告期末按行业分类的港股通投资股票投资组合</w:t>
      </w:r>
    </w:p>
    <w:p w:rsidR="00642DDE" w:rsidRDefault="00642DDE" w:rsidP="00642DDE">
      <w:pPr>
        <w:spacing w:before="29" w:line="360" w:lineRule="auto"/>
        <w:ind w:left="17"/>
        <w:rPr>
          <w:color w:val="000000"/>
          <w:sz w:val="24"/>
          <w:szCs w:val="24"/>
        </w:rPr>
      </w:pPr>
      <w:r>
        <w:rPr>
          <w:rFonts w:ascii="宋体" w:hAnsi="宋体" w:hint="eastAsia"/>
          <w:color w:val="000000"/>
          <w:sz w:val="24"/>
          <w:szCs w:val="24"/>
        </w:rPr>
        <w:t>本基金本报告期末未持有通过港股通投资的股票。</w:t>
      </w:r>
    </w:p>
    <w:p w:rsidR="00642DDE" w:rsidRPr="00642DDE" w:rsidRDefault="00642DDE"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C60C9">
        <w:trPr>
          <w:jc w:val="center"/>
        </w:trPr>
        <w:tc>
          <w:tcPr>
            <w:tcW w:w="855" w:type="dxa"/>
            <w:vAlign w:val="center"/>
          </w:tcPr>
          <w:p w:rsidR="005C60C9" w:rsidRDefault="00DB49CD">
            <w:pPr>
              <w:jc w:val="center"/>
            </w:pPr>
            <w:r>
              <w:rPr>
                <w:color w:val="000000"/>
                <w:sz w:val="24"/>
                <w:szCs w:val="24"/>
              </w:rPr>
              <w:t>1</w:t>
            </w:r>
          </w:p>
        </w:tc>
        <w:tc>
          <w:tcPr>
            <w:tcW w:w="1334" w:type="dxa"/>
            <w:vAlign w:val="center"/>
          </w:tcPr>
          <w:p w:rsidR="005C60C9" w:rsidRDefault="00DB49CD">
            <w:pPr>
              <w:jc w:val="center"/>
            </w:pPr>
            <w:r>
              <w:rPr>
                <w:color w:val="000000"/>
                <w:sz w:val="24"/>
                <w:szCs w:val="24"/>
              </w:rPr>
              <w:t>000830</w:t>
            </w:r>
          </w:p>
        </w:tc>
        <w:tc>
          <w:tcPr>
            <w:tcW w:w="1777" w:type="dxa"/>
            <w:vAlign w:val="center"/>
          </w:tcPr>
          <w:p w:rsidR="005C60C9" w:rsidRDefault="00DB49CD">
            <w:pPr>
              <w:jc w:val="center"/>
            </w:pPr>
            <w:r>
              <w:rPr>
                <w:color w:val="000000"/>
                <w:sz w:val="24"/>
                <w:szCs w:val="24"/>
              </w:rPr>
              <w:t>鲁西化工</w:t>
            </w:r>
          </w:p>
        </w:tc>
        <w:tc>
          <w:tcPr>
            <w:tcW w:w="1334" w:type="dxa"/>
            <w:vAlign w:val="center"/>
          </w:tcPr>
          <w:p w:rsidR="005C60C9" w:rsidRDefault="00DB49CD">
            <w:pPr>
              <w:jc w:val="right"/>
            </w:pPr>
            <w:r>
              <w:rPr>
                <w:color w:val="000000"/>
                <w:sz w:val="24"/>
                <w:szCs w:val="24"/>
              </w:rPr>
              <w:t>74,700</w:t>
            </w:r>
          </w:p>
        </w:tc>
        <w:tc>
          <w:tcPr>
            <w:tcW w:w="1924" w:type="dxa"/>
            <w:vAlign w:val="center"/>
          </w:tcPr>
          <w:p w:rsidR="005C60C9" w:rsidRDefault="00DB49CD">
            <w:pPr>
              <w:jc w:val="right"/>
            </w:pPr>
            <w:r>
              <w:rPr>
                <w:color w:val="000000"/>
                <w:sz w:val="24"/>
                <w:szCs w:val="24"/>
              </w:rPr>
              <w:t>1,090,620.00</w:t>
            </w:r>
          </w:p>
        </w:tc>
        <w:tc>
          <w:tcPr>
            <w:tcW w:w="1644" w:type="dxa"/>
            <w:vAlign w:val="center"/>
          </w:tcPr>
          <w:p w:rsidR="005C60C9" w:rsidRDefault="00DB49CD">
            <w:pPr>
              <w:jc w:val="right"/>
            </w:pPr>
            <w:r>
              <w:rPr>
                <w:color w:val="000000"/>
                <w:sz w:val="24"/>
                <w:szCs w:val="24"/>
              </w:rPr>
              <w:t>0.48</w:t>
            </w:r>
          </w:p>
        </w:tc>
      </w:tr>
      <w:tr w:rsidR="005C60C9">
        <w:trPr>
          <w:jc w:val="center"/>
        </w:trPr>
        <w:tc>
          <w:tcPr>
            <w:tcW w:w="855" w:type="dxa"/>
            <w:vAlign w:val="center"/>
          </w:tcPr>
          <w:p w:rsidR="005C60C9" w:rsidRDefault="00DB49CD">
            <w:pPr>
              <w:jc w:val="center"/>
            </w:pPr>
            <w:r>
              <w:rPr>
                <w:color w:val="000000"/>
                <w:sz w:val="24"/>
                <w:szCs w:val="24"/>
              </w:rPr>
              <w:t>2</w:t>
            </w:r>
          </w:p>
        </w:tc>
        <w:tc>
          <w:tcPr>
            <w:tcW w:w="1334" w:type="dxa"/>
            <w:vAlign w:val="center"/>
          </w:tcPr>
          <w:p w:rsidR="005C60C9" w:rsidRDefault="00DB49CD">
            <w:pPr>
              <w:jc w:val="center"/>
            </w:pPr>
            <w:r>
              <w:rPr>
                <w:color w:val="000000"/>
                <w:sz w:val="24"/>
                <w:szCs w:val="24"/>
              </w:rPr>
              <w:t>600673</w:t>
            </w:r>
          </w:p>
        </w:tc>
        <w:tc>
          <w:tcPr>
            <w:tcW w:w="1777" w:type="dxa"/>
            <w:vAlign w:val="center"/>
          </w:tcPr>
          <w:p w:rsidR="005C60C9" w:rsidRDefault="00DB49CD">
            <w:pPr>
              <w:jc w:val="center"/>
            </w:pPr>
            <w:r>
              <w:rPr>
                <w:color w:val="000000"/>
                <w:sz w:val="24"/>
                <w:szCs w:val="24"/>
              </w:rPr>
              <w:t>东阳光科</w:t>
            </w:r>
          </w:p>
        </w:tc>
        <w:tc>
          <w:tcPr>
            <w:tcW w:w="1334" w:type="dxa"/>
            <w:vAlign w:val="center"/>
          </w:tcPr>
          <w:p w:rsidR="005C60C9" w:rsidRDefault="00DB49CD">
            <w:pPr>
              <w:jc w:val="right"/>
            </w:pPr>
            <w:r>
              <w:rPr>
                <w:color w:val="000000"/>
                <w:sz w:val="24"/>
                <w:szCs w:val="24"/>
              </w:rPr>
              <w:t>109,700</w:t>
            </w:r>
          </w:p>
        </w:tc>
        <w:tc>
          <w:tcPr>
            <w:tcW w:w="1924" w:type="dxa"/>
            <w:vAlign w:val="center"/>
          </w:tcPr>
          <w:p w:rsidR="005C60C9" w:rsidRDefault="00DB49CD">
            <w:pPr>
              <w:jc w:val="right"/>
            </w:pPr>
            <w:r>
              <w:rPr>
                <w:color w:val="000000"/>
                <w:sz w:val="24"/>
                <w:szCs w:val="24"/>
              </w:rPr>
              <w:t>957,681.00</w:t>
            </w:r>
          </w:p>
        </w:tc>
        <w:tc>
          <w:tcPr>
            <w:tcW w:w="1644" w:type="dxa"/>
            <w:vAlign w:val="center"/>
          </w:tcPr>
          <w:p w:rsidR="005C60C9" w:rsidRDefault="00DB49CD">
            <w:pPr>
              <w:jc w:val="right"/>
            </w:pPr>
            <w:r>
              <w:rPr>
                <w:color w:val="000000"/>
                <w:sz w:val="24"/>
                <w:szCs w:val="24"/>
              </w:rPr>
              <w:t>0.42</w:t>
            </w:r>
          </w:p>
        </w:tc>
      </w:tr>
      <w:tr w:rsidR="005C60C9">
        <w:trPr>
          <w:jc w:val="center"/>
        </w:trPr>
        <w:tc>
          <w:tcPr>
            <w:tcW w:w="855" w:type="dxa"/>
            <w:vAlign w:val="center"/>
          </w:tcPr>
          <w:p w:rsidR="005C60C9" w:rsidRDefault="00DB49CD">
            <w:pPr>
              <w:jc w:val="center"/>
            </w:pPr>
            <w:r>
              <w:rPr>
                <w:color w:val="000000"/>
                <w:sz w:val="24"/>
                <w:szCs w:val="24"/>
              </w:rPr>
              <w:t>3</w:t>
            </w:r>
          </w:p>
        </w:tc>
        <w:tc>
          <w:tcPr>
            <w:tcW w:w="1334" w:type="dxa"/>
            <w:vAlign w:val="center"/>
          </w:tcPr>
          <w:p w:rsidR="005C60C9" w:rsidRDefault="00DB49CD">
            <w:pPr>
              <w:jc w:val="center"/>
            </w:pPr>
            <w:r>
              <w:rPr>
                <w:color w:val="000000"/>
                <w:sz w:val="24"/>
                <w:szCs w:val="24"/>
              </w:rPr>
              <w:t>000690</w:t>
            </w:r>
          </w:p>
        </w:tc>
        <w:tc>
          <w:tcPr>
            <w:tcW w:w="1777" w:type="dxa"/>
            <w:vAlign w:val="center"/>
          </w:tcPr>
          <w:p w:rsidR="005C60C9" w:rsidRDefault="00DB49CD">
            <w:pPr>
              <w:jc w:val="center"/>
            </w:pPr>
            <w:r>
              <w:rPr>
                <w:color w:val="000000"/>
                <w:sz w:val="24"/>
                <w:szCs w:val="24"/>
              </w:rPr>
              <w:t>宝新能源</w:t>
            </w:r>
          </w:p>
        </w:tc>
        <w:tc>
          <w:tcPr>
            <w:tcW w:w="1334" w:type="dxa"/>
            <w:vAlign w:val="center"/>
          </w:tcPr>
          <w:p w:rsidR="005C60C9" w:rsidRDefault="00DB49CD">
            <w:pPr>
              <w:jc w:val="right"/>
            </w:pPr>
            <w:r>
              <w:rPr>
                <w:color w:val="000000"/>
                <w:sz w:val="24"/>
                <w:szCs w:val="24"/>
              </w:rPr>
              <w:t>126,800</w:t>
            </w:r>
          </w:p>
        </w:tc>
        <w:tc>
          <w:tcPr>
            <w:tcW w:w="1924" w:type="dxa"/>
            <w:vAlign w:val="center"/>
          </w:tcPr>
          <w:p w:rsidR="005C60C9" w:rsidRDefault="00DB49CD">
            <w:pPr>
              <w:jc w:val="right"/>
            </w:pPr>
            <w:r>
              <w:rPr>
                <w:color w:val="000000"/>
                <w:sz w:val="24"/>
                <w:szCs w:val="24"/>
              </w:rPr>
              <w:t>912,960.00</w:t>
            </w:r>
          </w:p>
        </w:tc>
        <w:tc>
          <w:tcPr>
            <w:tcW w:w="1644" w:type="dxa"/>
            <w:vAlign w:val="center"/>
          </w:tcPr>
          <w:p w:rsidR="005C60C9" w:rsidRDefault="00DB49CD">
            <w:pPr>
              <w:jc w:val="right"/>
            </w:pPr>
            <w:r>
              <w:rPr>
                <w:color w:val="000000"/>
                <w:sz w:val="24"/>
                <w:szCs w:val="24"/>
              </w:rPr>
              <w:t>0.40</w:t>
            </w:r>
          </w:p>
        </w:tc>
      </w:tr>
      <w:tr w:rsidR="005C60C9">
        <w:trPr>
          <w:jc w:val="center"/>
        </w:trPr>
        <w:tc>
          <w:tcPr>
            <w:tcW w:w="855" w:type="dxa"/>
            <w:vAlign w:val="center"/>
          </w:tcPr>
          <w:p w:rsidR="005C60C9" w:rsidRDefault="00DB49CD">
            <w:pPr>
              <w:jc w:val="center"/>
            </w:pPr>
            <w:r>
              <w:rPr>
                <w:color w:val="000000"/>
                <w:sz w:val="24"/>
                <w:szCs w:val="24"/>
              </w:rPr>
              <w:t>4</w:t>
            </w:r>
          </w:p>
        </w:tc>
        <w:tc>
          <w:tcPr>
            <w:tcW w:w="1334" w:type="dxa"/>
            <w:vAlign w:val="center"/>
          </w:tcPr>
          <w:p w:rsidR="005C60C9" w:rsidRDefault="00DB49CD">
            <w:pPr>
              <w:jc w:val="center"/>
            </w:pPr>
            <w:r>
              <w:rPr>
                <w:color w:val="000000"/>
                <w:sz w:val="24"/>
                <w:szCs w:val="24"/>
              </w:rPr>
              <w:t>002078</w:t>
            </w:r>
          </w:p>
        </w:tc>
        <w:tc>
          <w:tcPr>
            <w:tcW w:w="1777" w:type="dxa"/>
            <w:vAlign w:val="center"/>
          </w:tcPr>
          <w:p w:rsidR="005C60C9" w:rsidRDefault="00DB49CD">
            <w:pPr>
              <w:jc w:val="center"/>
            </w:pPr>
            <w:r>
              <w:rPr>
                <w:color w:val="000000"/>
                <w:sz w:val="24"/>
                <w:szCs w:val="24"/>
              </w:rPr>
              <w:t>太阳纸业</w:t>
            </w:r>
          </w:p>
        </w:tc>
        <w:tc>
          <w:tcPr>
            <w:tcW w:w="1334" w:type="dxa"/>
            <w:vAlign w:val="center"/>
          </w:tcPr>
          <w:p w:rsidR="005C60C9" w:rsidRDefault="00DB49CD">
            <w:pPr>
              <w:jc w:val="right"/>
            </w:pPr>
            <w:r>
              <w:rPr>
                <w:color w:val="000000"/>
                <w:sz w:val="24"/>
                <w:szCs w:val="24"/>
              </w:rPr>
              <w:t>113,300</w:t>
            </w:r>
          </w:p>
        </w:tc>
        <w:tc>
          <w:tcPr>
            <w:tcW w:w="1924" w:type="dxa"/>
            <w:vAlign w:val="center"/>
          </w:tcPr>
          <w:p w:rsidR="005C60C9" w:rsidRDefault="00DB49CD">
            <w:pPr>
              <w:jc w:val="right"/>
            </w:pPr>
            <w:r>
              <w:rPr>
                <w:color w:val="000000"/>
                <w:sz w:val="24"/>
                <w:szCs w:val="24"/>
              </w:rPr>
              <w:t>866,745.00</w:t>
            </w:r>
          </w:p>
        </w:tc>
        <w:tc>
          <w:tcPr>
            <w:tcW w:w="1644" w:type="dxa"/>
            <w:vAlign w:val="center"/>
          </w:tcPr>
          <w:p w:rsidR="005C60C9" w:rsidRDefault="00DB49CD">
            <w:pPr>
              <w:jc w:val="right"/>
            </w:pPr>
            <w:r>
              <w:rPr>
                <w:color w:val="000000"/>
                <w:sz w:val="24"/>
                <w:szCs w:val="24"/>
              </w:rPr>
              <w:t>0.38</w:t>
            </w:r>
          </w:p>
        </w:tc>
      </w:tr>
      <w:tr w:rsidR="005C60C9">
        <w:trPr>
          <w:jc w:val="center"/>
        </w:trPr>
        <w:tc>
          <w:tcPr>
            <w:tcW w:w="855" w:type="dxa"/>
            <w:vAlign w:val="center"/>
          </w:tcPr>
          <w:p w:rsidR="005C60C9" w:rsidRDefault="00DB49CD">
            <w:pPr>
              <w:jc w:val="center"/>
            </w:pPr>
            <w:r>
              <w:rPr>
                <w:color w:val="000000"/>
                <w:sz w:val="24"/>
                <w:szCs w:val="24"/>
              </w:rPr>
              <w:t>5</w:t>
            </w:r>
          </w:p>
        </w:tc>
        <w:tc>
          <w:tcPr>
            <w:tcW w:w="1334" w:type="dxa"/>
            <w:vAlign w:val="center"/>
          </w:tcPr>
          <w:p w:rsidR="005C60C9" w:rsidRDefault="00DB49CD">
            <w:pPr>
              <w:jc w:val="center"/>
            </w:pPr>
            <w:r>
              <w:rPr>
                <w:color w:val="000000"/>
                <w:sz w:val="24"/>
                <w:szCs w:val="24"/>
              </w:rPr>
              <w:t>300315</w:t>
            </w:r>
          </w:p>
        </w:tc>
        <w:tc>
          <w:tcPr>
            <w:tcW w:w="1777" w:type="dxa"/>
            <w:vAlign w:val="center"/>
          </w:tcPr>
          <w:p w:rsidR="005C60C9" w:rsidRDefault="00DB49CD">
            <w:pPr>
              <w:jc w:val="center"/>
            </w:pPr>
            <w:r>
              <w:rPr>
                <w:color w:val="000000"/>
                <w:sz w:val="24"/>
                <w:szCs w:val="24"/>
              </w:rPr>
              <w:t>掌趣科技</w:t>
            </w:r>
          </w:p>
        </w:tc>
        <w:tc>
          <w:tcPr>
            <w:tcW w:w="1334" w:type="dxa"/>
            <w:vAlign w:val="center"/>
          </w:tcPr>
          <w:p w:rsidR="005C60C9" w:rsidRDefault="00DB49CD">
            <w:pPr>
              <w:jc w:val="right"/>
            </w:pPr>
            <w:r>
              <w:rPr>
                <w:color w:val="000000"/>
                <w:sz w:val="24"/>
                <w:szCs w:val="24"/>
              </w:rPr>
              <w:t>200,600</w:t>
            </w:r>
          </w:p>
        </w:tc>
        <w:tc>
          <w:tcPr>
            <w:tcW w:w="1924" w:type="dxa"/>
            <w:vAlign w:val="center"/>
          </w:tcPr>
          <w:p w:rsidR="005C60C9" w:rsidRDefault="00DB49CD">
            <w:pPr>
              <w:jc w:val="right"/>
            </w:pPr>
            <w:r>
              <w:rPr>
                <w:color w:val="000000"/>
                <w:sz w:val="24"/>
                <w:szCs w:val="24"/>
              </w:rPr>
              <w:t>854,556.00</w:t>
            </w:r>
          </w:p>
        </w:tc>
        <w:tc>
          <w:tcPr>
            <w:tcW w:w="1644" w:type="dxa"/>
            <w:vAlign w:val="center"/>
          </w:tcPr>
          <w:p w:rsidR="005C60C9" w:rsidRDefault="00DB49CD">
            <w:pPr>
              <w:jc w:val="right"/>
            </w:pPr>
            <w:r>
              <w:rPr>
                <w:color w:val="000000"/>
                <w:sz w:val="24"/>
                <w:szCs w:val="24"/>
              </w:rPr>
              <w:t>0.38</w:t>
            </w:r>
          </w:p>
        </w:tc>
      </w:tr>
      <w:tr w:rsidR="005C60C9">
        <w:trPr>
          <w:jc w:val="center"/>
        </w:trPr>
        <w:tc>
          <w:tcPr>
            <w:tcW w:w="855" w:type="dxa"/>
            <w:vAlign w:val="center"/>
          </w:tcPr>
          <w:p w:rsidR="005C60C9" w:rsidRDefault="00DB49CD">
            <w:pPr>
              <w:jc w:val="center"/>
            </w:pPr>
            <w:r>
              <w:rPr>
                <w:color w:val="000000"/>
                <w:sz w:val="24"/>
                <w:szCs w:val="24"/>
              </w:rPr>
              <w:t>6</w:t>
            </w:r>
          </w:p>
        </w:tc>
        <w:tc>
          <w:tcPr>
            <w:tcW w:w="1334" w:type="dxa"/>
            <w:vAlign w:val="center"/>
          </w:tcPr>
          <w:p w:rsidR="005C60C9" w:rsidRDefault="00DB49CD">
            <w:pPr>
              <w:jc w:val="center"/>
            </w:pPr>
            <w:r>
              <w:rPr>
                <w:color w:val="000000"/>
                <w:sz w:val="24"/>
                <w:szCs w:val="24"/>
              </w:rPr>
              <w:t>002195</w:t>
            </w:r>
          </w:p>
        </w:tc>
        <w:tc>
          <w:tcPr>
            <w:tcW w:w="1777" w:type="dxa"/>
            <w:vAlign w:val="center"/>
          </w:tcPr>
          <w:p w:rsidR="005C60C9" w:rsidRDefault="00DB49CD">
            <w:pPr>
              <w:jc w:val="center"/>
            </w:pPr>
            <w:r>
              <w:rPr>
                <w:color w:val="000000"/>
                <w:sz w:val="24"/>
                <w:szCs w:val="24"/>
              </w:rPr>
              <w:t>二三四五</w:t>
            </w:r>
          </w:p>
        </w:tc>
        <w:tc>
          <w:tcPr>
            <w:tcW w:w="1334" w:type="dxa"/>
            <w:vAlign w:val="center"/>
          </w:tcPr>
          <w:p w:rsidR="005C60C9" w:rsidRDefault="00DB49CD">
            <w:pPr>
              <w:jc w:val="right"/>
            </w:pPr>
            <w:r>
              <w:rPr>
                <w:color w:val="000000"/>
                <w:sz w:val="24"/>
                <w:szCs w:val="24"/>
              </w:rPr>
              <w:t>194,000</w:t>
            </w:r>
          </w:p>
        </w:tc>
        <w:tc>
          <w:tcPr>
            <w:tcW w:w="1924" w:type="dxa"/>
            <w:vAlign w:val="center"/>
          </w:tcPr>
          <w:p w:rsidR="005C60C9" w:rsidRDefault="00DB49CD">
            <w:pPr>
              <w:jc w:val="right"/>
            </w:pPr>
            <w:r>
              <w:rPr>
                <w:color w:val="000000"/>
                <w:sz w:val="24"/>
                <w:szCs w:val="24"/>
              </w:rPr>
              <w:t>834,200.00</w:t>
            </w:r>
          </w:p>
        </w:tc>
        <w:tc>
          <w:tcPr>
            <w:tcW w:w="1644" w:type="dxa"/>
            <w:vAlign w:val="center"/>
          </w:tcPr>
          <w:p w:rsidR="005C60C9" w:rsidRDefault="00DB49CD">
            <w:pPr>
              <w:jc w:val="right"/>
            </w:pPr>
            <w:r>
              <w:rPr>
                <w:color w:val="000000"/>
                <w:sz w:val="24"/>
                <w:szCs w:val="24"/>
              </w:rPr>
              <w:t>0.37</w:t>
            </w:r>
          </w:p>
        </w:tc>
      </w:tr>
      <w:tr w:rsidR="005C60C9">
        <w:trPr>
          <w:jc w:val="center"/>
        </w:trPr>
        <w:tc>
          <w:tcPr>
            <w:tcW w:w="855" w:type="dxa"/>
            <w:vAlign w:val="center"/>
          </w:tcPr>
          <w:p w:rsidR="005C60C9" w:rsidRDefault="00DB49CD">
            <w:pPr>
              <w:jc w:val="center"/>
            </w:pPr>
            <w:r>
              <w:rPr>
                <w:color w:val="000000"/>
                <w:sz w:val="24"/>
                <w:szCs w:val="24"/>
              </w:rPr>
              <w:t>7</w:t>
            </w:r>
          </w:p>
        </w:tc>
        <w:tc>
          <w:tcPr>
            <w:tcW w:w="1334" w:type="dxa"/>
            <w:vAlign w:val="center"/>
          </w:tcPr>
          <w:p w:rsidR="005C60C9" w:rsidRDefault="00DB49CD">
            <w:pPr>
              <w:jc w:val="center"/>
            </w:pPr>
            <w:r>
              <w:rPr>
                <w:color w:val="000000"/>
                <w:sz w:val="24"/>
                <w:szCs w:val="24"/>
              </w:rPr>
              <w:t>600643</w:t>
            </w:r>
          </w:p>
        </w:tc>
        <w:tc>
          <w:tcPr>
            <w:tcW w:w="1777" w:type="dxa"/>
            <w:vAlign w:val="center"/>
          </w:tcPr>
          <w:p w:rsidR="005C60C9" w:rsidRDefault="00DB49CD">
            <w:pPr>
              <w:jc w:val="center"/>
            </w:pPr>
            <w:r>
              <w:rPr>
                <w:color w:val="000000"/>
                <w:sz w:val="24"/>
                <w:szCs w:val="24"/>
              </w:rPr>
              <w:t>爱建集团</w:t>
            </w:r>
          </w:p>
        </w:tc>
        <w:tc>
          <w:tcPr>
            <w:tcW w:w="1334" w:type="dxa"/>
            <w:vAlign w:val="center"/>
          </w:tcPr>
          <w:p w:rsidR="005C60C9" w:rsidRDefault="00DB49CD">
            <w:pPr>
              <w:jc w:val="right"/>
            </w:pPr>
            <w:r>
              <w:rPr>
                <w:color w:val="000000"/>
                <w:sz w:val="24"/>
                <w:szCs w:val="24"/>
              </w:rPr>
              <w:t>82,700</w:t>
            </w:r>
          </w:p>
        </w:tc>
        <w:tc>
          <w:tcPr>
            <w:tcW w:w="1924" w:type="dxa"/>
            <w:vAlign w:val="center"/>
          </w:tcPr>
          <w:p w:rsidR="005C60C9" w:rsidRDefault="00DB49CD">
            <w:pPr>
              <w:jc w:val="right"/>
            </w:pPr>
            <w:r>
              <w:rPr>
                <w:color w:val="000000"/>
                <w:sz w:val="24"/>
                <w:szCs w:val="24"/>
              </w:rPr>
              <w:t>800,536.00</w:t>
            </w:r>
          </w:p>
        </w:tc>
        <w:tc>
          <w:tcPr>
            <w:tcW w:w="1644" w:type="dxa"/>
            <w:vAlign w:val="center"/>
          </w:tcPr>
          <w:p w:rsidR="005C60C9" w:rsidRDefault="00DB49CD">
            <w:pPr>
              <w:jc w:val="right"/>
            </w:pPr>
            <w:r>
              <w:rPr>
                <w:color w:val="000000"/>
                <w:sz w:val="24"/>
                <w:szCs w:val="24"/>
              </w:rPr>
              <w:t>0.35</w:t>
            </w:r>
          </w:p>
        </w:tc>
      </w:tr>
      <w:tr w:rsidR="005C60C9">
        <w:trPr>
          <w:jc w:val="center"/>
        </w:trPr>
        <w:tc>
          <w:tcPr>
            <w:tcW w:w="855" w:type="dxa"/>
            <w:vAlign w:val="center"/>
          </w:tcPr>
          <w:p w:rsidR="005C60C9" w:rsidRDefault="00DB49CD">
            <w:pPr>
              <w:jc w:val="center"/>
            </w:pPr>
            <w:r>
              <w:rPr>
                <w:color w:val="000000"/>
                <w:sz w:val="24"/>
                <w:szCs w:val="24"/>
              </w:rPr>
              <w:t>8</w:t>
            </w:r>
          </w:p>
        </w:tc>
        <w:tc>
          <w:tcPr>
            <w:tcW w:w="1334" w:type="dxa"/>
            <w:vAlign w:val="center"/>
          </w:tcPr>
          <w:p w:rsidR="005C60C9" w:rsidRDefault="00DB49CD">
            <w:pPr>
              <w:jc w:val="center"/>
            </w:pPr>
            <w:r>
              <w:rPr>
                <w:color w:val="000000"/>
                <w:sz w:val="24"/>
                <w:szCs w:val="24"/>
              </w:rPr>
              <w:t>000636</w:t>
            </w:r>
          </w:p>
        </w:tc>
        <w:tc>
          <w:tcPr>
            <w:tcW w:w="1777" w:type="dxa"/>
            <w:vAlign w:val="center"/>
          </w:tcPr>
          <w:p w:rsidR="005C60C9" w:rsidRDefault="00DB49CD">
            <w:pPr>
              <w:jc w:val="center"/>
            </w:pPr>
            <w:r>
              <w:rPr>
                <w:color w:val="000000"/>
                <w:sz w:val="24"/>
                <w:szCs w:val="24"/>
              </w:rPr>
              <w:t>风华高科</w:t>
            </w:r>
          </w:p>
        </w:tc>
        <w:tc>
          <w:tcPr>
            <w:tcW w:w="1334" w:type="dxa"/>
            <w:vAlign w:val="center"/>
          </w:tcPr>
          <w:p w:rsidR="005C60C9" w:rsidRDefault="00DB49CD">
            <w:pPr>
              <w:jc w:val="right"/>
            </w:pPr>
            <w:r>
              <w:rPr>
                <w:color w:val="000000"/>
                <w:sz w:val="24"/>
                <w:szCs w:val="24"/>
              </w:rPr>
              <w:t>52,200</w:t>
            </w:r>
          </w:p>
        </w:tc>
        <w:tc>
          <w:tcPr>
            <w:tcW w:w="1924" w:type="dxa"/>
            <w:vAlign w:val="center"/>
          </w:tcPr>
          <w:p w:rsidR="005C60C9" w:rsidRDefault="00DB49CD">
            <w:pPr>
              <w:jc w:val="right"/>
            </w:pPr>
            <w:r>
              <w:rPr>
                <w:color w:val="000000"/>
                <w:sz w:val="24"/>
                <w:szCs w:val="24"/>
              </w:rPr>
              <w:t>785,088.00</w:t>
            </w:r>
          </w:p>
        </w:tc>
        <w:tc>
          <w:tcPr>
            <w:tcW w:w="1644" w:type="dxa"/>
            <w:vAlign w:val="center"/>
          </w:tcPr>
          <w:p w:rsidR="005C60C9" w:rsidRDefault="00DB49CD">
            <w:pPr>
              <w:jc w:val="right"/>
            </w:pPr>
            <w:r>
              <w:rPr>
                <w:color w:val="000000"/>
                <w:sz w:val="24"/>
                <w:szCs w:val="24"/>
              </w:rPr>
              <w:t>0.35</w:t>
            </w:r>
          </w:p>
        </w:tc>
      </w:tr>
      <w:tr w:rsidR="005C60C9">
        <w:trPr>
          <w:jc w:val="center"/>
        </w:trPr>
        <w:tc>
          <w:tcPr>
            <w:tcW w:w="855" w:type="dxa"/>
            <w:vAlign w:val="center"/>
          </w:tcPr>
          <w:p w:rsidR="005C60C9" w:rsidRDefault="00DB49CD">
            <w:pPr>
              <w:jc w:val="center"/>
            </w:pPr>
            <w:r>
              <w:rPr>
                <w:color w:val="000000"/>
                <w:sz w:val="24"/>
                <w:szCs w:val="24"/>
              </w:rPr>
              <w:t>9</w:t>
            </w:r>
          </w:p>
        </w:tc>
        <w:tc>
          <w:tcPr>
            <w:tcW w:w="1334" w:type="dxa"/>
            <w:vAlign w:val="center"/>
          </w:tcPr>
          <w:p w:rsidR="005C60C9" w:rsidRDefault="00DB49CD">
            <w:pPr>
              <w:jc w:val="center"/>
            </w:pPr>
            <w:r>
              <w:rPr>
                <w:color w:val="000000"/>
                <w:sz w:val="24"/>
                <w:szCs w:val="24"/>
              </w:rPr>
              <w:t>002589</w:t>
            </w:r>
          </w:p>
        </w:tc>
        <w:tc>
          <w:tcPr>
            <w:tcW w:w="1777" w:type="dxa"/>
            <w:vAlign w:val="center"/>
          </w:tcPr>
          <w:p w:rsidR="005C60C9" w:rsidRDefault="00DB49CD">
            <w:pPr>
              <w:jc w:val="center"/>
            </w:pPr>
            <w:r>
              <w:rPr>
                <w:color w:val="000000"/>
                <w:sz w:val="24"/>
                <w:szCs w:val="24"/>
              </w:rPr>
              <w:t>瑞康医药</w:t>
            </w:r>
          </w:p>
        </w:tc>
        <w:tc>
          <w:tcPr>
            <w:tcW w:w="1334" w:type="dxa"/>
            <w:vAlign w:val="center"/>
          </w:tcPr>
          <w:p w:rsidR="005C60C9" w:rsidRDefault="00DB49CD">
            <w:pPr>
              <w:jc w:val="right"/>
            </w:pPr>
            <w:r>
              <w:rPr>
                <w:color w:val="000000"/>
                <w:sz w:val="24"/>
                <w:szCs w:val="24"/>
              </w:rPr>
              <w:t>76,600</w:t>
            </w:r>
          </w:p>
        </w:tc>
        <w:tc>
          <w:tcPr>
            <w:tcW w:w="1924" w:type="dxa"/>
            <w:vAlign w:val="center"/>
          </w:tcPr>
          <w:p w:rsidR="005C60C9" w:rsidRDefault="00DB49CD">
            <w:pPr>
              <w:jc w:val="right"/>
            </w:pPr>
            <w:r>
              <w:rPr>
                <w:color w:val="000000"/>
                <w:sz w:val="24"/>
                <w:szCs w:val="24"/>
              </w:rPr>
              <w:t>765,234.00</w:t>
            </w:r>
          </w:p>
        </w:tc>
        <w:tc>
          <w:tcPr>
            <w:tcW w:w="1644" w:type="dxa"/>
            <w:vAlign w:val="center"/>
          </w:tcPr>
          <w:p w:rsidR="005C60C9" w:rsidRDefault="00DB49CD">
            <w:pPr>
              <w:jc w:val="right"/>
            </w:pPr>
            <w:r>
              <w:rPr>
                <w:color w:val="000000"/>
                <w:sz w:val="24"/>
                <w:szCs w:val="24"/>
              </w:rPr>
              <w:t>0.34</w:t>
            </w:r>
          </w:p>
        </w:tc>
      </w:tr>
      <w:tr w:rsidR="005C60C9">
        <w:trPr>
          <w:jc w:val="center"/>
        </w:trPr>
        <w:tc>
          <w:tcPr>
            <w:tcW w:w="855" w:type="dxa"/>
            <w:vAlign w:val="center"/>
          </w:tcPr>
          <w:p w:rsidR="005C60C9" w:rsidRDefault="00DB49CD">
            <w:pPr>
              <w:jc w:val="center"/>
            </w:pPr>
            <w:r>
              <w:rPr>
                <w:color w:val="000000"/>
                <w:sz w:val="24"/>
                <w:szCs w:val="24"/>
              </w:rPr>
              <w:t>10</w:t>
            </w:r>
          </w:p>
        </w:tc>
        <w:tc>
          <w:tcPr>
            <w:tcW w:w="1334" w:type="dxa"/>
            <w:vAlign w:val="center"/>
          </w:tcPr>
          <w:p w:rsidR="005C60C9" w:rsidRDefault="00DB49CD">
            <w:pPr>
              <w:jc w:val="center"/>
            </w:pPr>
            <w:r>
              <w:rPr>
                <w:color w:val="000000"/>
                <w:sz w:val="24"/>
                <w:szCs w:val="24"/>
              </w:rPr>
              <w:t>600525</w:t>
            </w:r>
          </w:p>
        </w:tc>
        <w:tc>
          <w:tcPr>
            <w:tcW w:w="1777" w:type="dxa"/>
            <w:vAlign w:val="center"/>
          </w:tcPr>
          <w:p w:rsidR="005C60C9" w:rsidRDefault="00DB49CD">
            <w:pPr>
              <w:jc w:val="center"/>
            </w:pPr>
            <w:r>
              <w:rPr>
                <w:color w:val="000000"/>
                <w:sz w:val="24"/>
                <w:szCs w:val="24"/>
              </w:rPr>
              <w:t>长园集团</w:t>
            </w:r>
          </w:p>
        </w:tc>
        <w:tc>
          <w:tcPr>
            <w:tcW w:w="1334" w:type="dxa"/>
            <w:vAlign w:val="center"/>
          </w:tcPr>
          <w:p w:rsidR="005C60C9" w:rsidRDefault="00DB49CD">
            <w:pPr>
              <w:jc w:val="right"/>
            </w:pPr>
            <w:r>
              <w:rPr>
                <w:color w:val="000000"/>
                <w:sz w:val="24"/>
                <w:szCs w:val="24"/>
              </w:rPr>
              <w:t>96,500</w:t>
            </w:r>
          </w:p>
        </w:tc>
        <w:tc>
          <w:tcPr>
            <w:tcW w:w="1924" w:type="dxa"/>
            <w:vAlign w:val="center"/>
          </w:tcPr>
          <w:p w:rsidR="005C60C9" w:rsidRDefault="00DB49CD">
            <w:pPr>
              <w:jc w:val="right"/>
            </w:pPr>
            <w:r>
              <w:rPr>
                <w:color w:val="000000"/>
                <w:sz w:val="24"/>
                <w:szCs w:val="24"/>
              </w:rPr>
              <w:t>725,680.00</w:t>
            </w:r>
          </w:p>
        </w:tc>
        <w:tc>
          <w:tcPr>
            <w:tcW w:w="1644" w:type="dxa"/>
            <w:vAlign w:val="center"/>
          </w:tcPr>
          <w:p w:rsidR="005C60C9" w:rsidRDefault="00DB49CD">
            <w:pPr>
              <w:jc w:val="right"/>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184,554,000.00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81.21</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194,586,000.00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w:t>
            </w:r>
            <w:r w:rsidRPr="00414345">
              <w:rPr>
                <w:color w:val="000000"/>
                <w:sz w:val="24"/>
                <w:szCs w:val="24"/>
              </w:rPr>
              <w:lastRenderedPageBreak/>
              <w:t>产净值比例</w:t>
            </w:r>
            <w:r w:rsidR="003B3494" w:rsidRPr="00414345">
              <w:rPr>
                <w:color w:val="000000"/>
                <w:sz w:val="24"/>
              </w:rPr>
              <w:t>（％）</w:t>
            </w:r>
          </w:p>
        </w:tc>
      </w:tr>
      <w:tr w:rsidR="005C60C9">
        <w:trPr>
          <w:jc w:val="center"/>
        </w:trPr>
        <w:tc>
          <w:tcPr>
            <w:tcW w:w="850" w:type="dxa"/>
            <w:vAlign w:val="center"/>
          </w:tcPr>
          <w:p w:rsidR="005C60C9" w:rsidRDefault="00DB49CD">
            <w:pPr>
              <w:jc w:val="center"/>
            </w:pPr>
            <w:r>
              <w:rPr>
                <w:color w:val="000000"/>
                <w:sz w:val="24"/>
                <w:szCs w:val="24"/>
              </w:rPr>
              <w:lastRenderedPageBreak/>
              <w:t>1</w:t>
            </w:r>
          </w:p>
        </w:tc>
        <w:tc>
          <w:tcPr>
            <w:tcW w:w="1475" w:type="dxa"/>
            <w:vAlign w:val="center"/>
          </w:tcPr>
          <w:p w:rsidR="005C60C9" w:rsidRDefault="00DB49CD">
            <w:pPr>
              <w:jc w:val="center"/>
            </w:pPr>
            <w:r>
              <w:rPr>
                <w:color w:val="000000"/>
                <w:sz w:val="24"/>
                <w:szCs w:val="24"/>
              </w:rPr>
              <w:t>111814106</w:t>
            </w:r>
          </w:p>
        </w:tc>
        <w:tc>
          <w:tcPr>
            <w:tcW w:w="1769" w:type="dxa"/>
            <w:vAlign w:val="center"/>
          </w:tcPr>
          <w:p w:rsidR="005C60C9" w:rsidRDefault="00DB49CD">
            <w:pPr>
              <w:jc w:val="center"/>
            </w:pPr>
            <w:r>
              <w:rPr>
                <w:color w:val="000000"/>
                <w:sz w:val="24"/>
                <w:szCs w:val="24"/>
              </w:rPr>
              <w:t>18</w:t>
            </w:r>
            <w:r>
              <w:rPr>
                <w:color w:val="000000"/>
                <w:sz w:val="24"/>
                <w:szCs w:val="24"/>
              </w:rPr>
              <w:t>江苏银行</w:t>
            </w:r>
            <w:r>
              <w:rPr>
                <w:color w:val="000000"/>
                <w:sz w:val="24"/>
                <w:szCs w:val="24"/>
              </w:rPr>
              <w:t>CD106</w:t>
            </w:r>
          </w:p>
        </w:tc>
        <w:tc>
          <w:tcPr>
            <w:tcW w:w="1387" w:type="dxa"/>
            <w:vAlign w:val="center"/>
          </w:tcPr>
          <w:p w:rsidR="005C60C9" w:rsidRDefault="00DB49CD">
            <w:pPr>
              <w:jc w:val="right"/>
            </w:pPr>
            <w:r>
              <w:rPr>
                <w:color w:val="000000"/>
                <w:sz w:val="24"/>
                <w:szCs w:val="24"/>
              </w:rPr>
              <w:t>400,000</w:t>
            </w:r>
          </w:p>
        </w:tc>
        <w:tc>
          <w:tcPr>
            <w:tcW w:w="2150" w:type="dxa"/>
            <w:vAlign w:val="center"/>
          </w:tcPr>
          <w:p w:rsidR="005C60C9" w:rsidRDefault="00DB49CD">
            <w:pPr>
              <w:jc w:val="right"/>
            </w:pPr>
            <w:r>
              <w:rPr>
                <w:color w:val="000000"/>
                <w:sz w:val="24"/>
                <w:szCs w:val="24"/>
              </w:rPr>
              <w:t>38,888,000.00</w:t>
            </w:r>
          </w:p>
        </w:tc>
        <w:tc>
          <w:tcPr>
            <w:tcW w:w="1237" w:type="dxa"/>
            <w:vAlign w:val="center"/>
          </w:tcPr>
          <w:p w:rsidR="005C60C9" w:rsidRDefault="00DB49CD">
            <w:pPr>
              <w:jc w:val="right"/>
            </w:pPr>
            <w:r>
              <w:rPr>
                <w:color w:val="000000"/>
                <w:sz w:val="24"/>
                <w:szCs w:val="24"/>
              </w:rPr>
              <w:t>17.11</w:t>
            </w:r>
          </w:p>
        </w:tc>
      </w:tr>
      <w:tr w:rsidR="005C60C9">
        <w:trPr>
          <w:jc w:val="center"/>
        </w:trPr>
        <w:tc>
          <w:tcPr>
            <w:tcW w:w="850" w:type="dxa"/>
            <w:vAlign w:val="center"/>
          </w:tcPr>
          <w:p w:rsidR="005C60C9" w:rsidRDefault="00DB49CD">
            <w:pPr>
              <w:jc w:val="center"/>
            </w:pPr>
            <w:r>
              <w:rPr>
                <w:color w:val="000000"/>
                <w:sz w:val="24"/>
                <w:szCs w:val="24"/>
              </w:rPr>
              <w:t>2</w:t>
            </w:r>
          </w:p>
        </w:tc>
        <w:tc>
          <w:tcPr>
            <w:tcW w:w="1475" w:type="dxa"/>
            <w:vAlign w:val="center"/>
          </w:tcPr>
          <w:p w:rsidR="005C60C9" w:rsidRDefault="00DB49CD">
            <w:pPr>
              <w:jc w:val="center"/>
            </w:pPr>
            <w:r>
              <w:rPr>
                <w:color w:val="000000"/>
                <w:sz w:val="24"/>
                <w:szCs w:val="24"/>
              </w:rPr>
              <w:t>111819258</w:t>
            </w:r>
          </w:p>
        </w:tc>
        <w:tc>
          <w:tcPr>
            <w:tcW w:w="1769" w:type="dxa"/>
            <w:vAlign w:val="center"/>
          </w:tcPr>
          <w:p w:rsidR="005C60C9" w:rsidRDefault="00DB49CD">
            <w:pPr>
              <w:jc w:val="center"/>
            </w:pPr>
            <w:r>
              <w:rPr>
                <w:color w:val="000000"/>
                <w:sz w:val="24"/>
                <w:szCs w:val="24"/>
              </w:rPr>
              <w:t>18</w:t>
            </w:r>
            <w:r>
              <w:rPr>
                <w:color w:val="000000"/>
                <w:sz w:val="24"/>
                <w:szCs w:val="24"/>
              </w:rPr>
              <w:t>恒丰银行</w:t>
            </w:r>
            <w:r>
              <w:rPr>
                <w:color w:val="000000"/>
                <w:sz w:val="24"/>
                <w:szCs w:val="24"/>
              </w:rPr>
              <w:t>CD258</w:t>
            </w:r>
          </w:p>
        </w:tc>
        <w:tc>
          <w:tcPr>
            <w:tcW w:w="1387" w:type="dxa"/>
            <w:vAlign w:val="center"/>
          </w:tcPr>
          <w:p w:rsidR="005C60C9" w:rsidRDefault="00DB49CD">
            <w:pPr>
              <w:jc w:val="right"/>
            </w:pPr>
            <w:r>
              <w:rPr>
                <w:color w:val="000000"/>
                <w:sz w:val="24"/>
                <w:szCs w:val="24"/>
              </w:rPr>
              <w:t>400,000</w:t>
            </w:r>
          </w:p>
        </w:tc>
        <w:tc>
          <w:tcPr>
            <w:tcW w:w="2150" w:type="dxa"/>
            <w:vAlign w:val="center"/>
          </w:tcPr>
          <w:p w:rsidR="005C60C9" w:rsidRDefault="00DB49CD">
            <w:pPr>
              <w:jc w:val="right"/>
            </w:pPr>
            <w:r>
              <w:rPr>
                <w:color w:val="000000"/>
                <w:sz w:val="24"/>
                <w:szCs w:val="24"/>
              </w:rPr>
              <w:t>38,844,000.00</w:t>
            </w:r>
          </w:p>
        </w:tc>
        <w:tc>
          <w:tcPr>
            <w:tcW w:w="1237" w:type="dxa"/>
            <w:vAlign w:val="center"/>
          </w:tcPr>
          <w:p w:rsidR="005C60C9" w:rsidRDefault="00DB49CD">
            <w:pPr>
              <w:jc w:val="right"/>
            </w:pPr>
            <w:r>
              <w:rPr>
                <w:color w:val="000000"/>
                <w:sz w:val="24"/>
                <w:szCs w:val="24"/>
              </w:rPr>
              <w:t>17.09</w:t>
            </w:r>
          </w:p>
        </w:tc>
      </w:tr>
      <w:tr w:rsidR="005C60C9">
        <w:trPr>
          <w:jc w:val="center"/>
        </w:trPr>
        <w:tc>
          <w:tcPr>
            <w:tcW w:w="850" w:type="dxa"/>
            <w:vAlign w:val="center"/>
          </w:tcPr>
          <w:p w:rsidR="005C60C9" w:rsidRDefault="00DB49CD">
            <w:pPr>
              <w:jc w:val="center"/>
            </w:pPr>
            <w:r>
              <w:rPr>
                <w:color w:val="000000"/>
                <w:sz w:val="24"/>
                <w:szCs w:val="24"/>
              </w:rPr>
              <w:t>3</w:t>
            </w:r>
          </w:p>
        </w:tc>
        <w:tc>
          <w:tcPr>
            <w:tcW w:w="1475" w:type="dxa"/>
            <w:vAlign w:val="center"/>
          </w:tcPr>
          <w:p w:rsidR="005C60C9" w:rsidRDefault="00DB49CD">
            <w:pPr>
              <w:jc w:val="center"/>
            </w:pPr>
            <w:r>
              <w:rPr>
                <w:color w:val="000000"/>
                <w:sz w:val="24"/>
                <w:szCs w:val="24"/>
              </w:rPr>
              <w:t>011801362</w:t>
            </w:r>
          </w:p>
        </w:tc>
        <w:tc>
          <w:tcPr>
            <w:tcW w:w="1769" w:type="dxa"/>
            <w:vAlign w:val="center"/>
          </w:tcPr>
          <w:p w:rsidR="005C60C9" w:rsidRDefault="00DB49CD">
            <w:pPr>
              <w:jc w:val="center"/>
            </w:pPr>
            <w:r>
              <w:rPr>
                <w:color w:val="000000"/>
                <w:sz w:val="24"/>
                <w:szCs w:val="24"/>
              </w:rPr>
              <w:t>18</w:t>
            </w:r>
            <w:r>
              <w:rPr>
                <w:color w:val="000000"/>
                <w:sz w:val="24"/>
                <w:szCs w:val="24"/>
              </w:rPr>
              <w:t>新中泰集</w:t>
            </w:r>
            <w:r>
              <w:rPr>
                <w:color w:val="000000"/>
                <w:sz w:val="24"/>
                <w:szCs w:val="24"/>
              </w:rPr>
              <w:t>SCP004</w:t>
            </w:r>
          </w:p>
        </w:tc>
        <w:tc>
          <w:tcPr>
            <w:tcW w:w="1387" w:type="dxa"/>
            <w:vAlign w:val="center"/>
          </w:tcPr>
          <w:p w:rsidR="005C60C9" w:rsidRDefault="00DB49CD">
            <w:pPr>
              <w:jc w:val="right"/>
            </w:pPr>
            <w:r>
              <w:rPr>
                <w:color w:val="000000"/>
                <w:sz w:val="24"/>
                <w:szCs w:val="24"/>
              </w:rPr>
              <w:t>100,000</w:t>
            </w:r>
          </w:p>
        </w:tc>
        <w:tc>
          <w:tcPr>
            <w:tcW w:w="2150" w:type="dxa"/>
            <w:vAlign w:val="center"/>
          </w:tcPr>
          <w:p w:rsidR="005C60C9" w:rsidRDefault="00DB49CD">
            <w:pPr>
              <w:jc w:val="right"/>
            </w:pPr>
            <w:r>
              <w:rPr>
                <w:color w:val="000000"/>
                <w:sz w:val="24"/>
                <w:szCs w:val="24"/>
              </w:rPr>
              <w:t>10,032,000.00</w:t>
            </w:r>
          </w:p>
        </w:tc>
        <w:tc>
          <w:tcPr>
            <w:tcW w:w="1237" w:type="dxa"/>
            <w:vAlign w:val="center"/>
          </w:tcPr>
          <w:p w:rsidR="005C60C9" w:rsidRDefault="00DB49CD">
            <w:pPr>
              <w:jc w:val="right"/>
            </w:pPr>
            <w:r>
              <w:rPr>
                <w:color w:val="000000"/>
                <w:sz w:val="24"/>
                <w:szCs w:val="24"/>
              </w:rPr>
              <w:t>4.41</w:t>
            </w:r>
          </w:p>
        </w:tc>
      </w:tr>
      <w:tr w:rsidR="005C60C9">
        <w:trPr>
          <w:jc w:val="center"/>
        </w:trPr>
        <w:tc>
          <w:tcPr>
            <w:tcW w:w="850" w:type="dxa"/>
            <w:vAlign w:val="center"/>
          </w:tcPr>
          <w:p w:rsidR="005C60C9" w:rsidRDefault="00DB49CD">
            <w:pPr>
              <w:jc w:val="center"/>
            </w:pPr>
            <w:r>
              <w:rPr>
                <w:color w:val="000000"/>
                <w:sz w:val="24"/>
                <w:szCs w:val="24"/>
              </w:rPr>
              <w:t>4</w:t>
            </w:r>
          </w:p>
        </w:tc>
        <w:tc>
          <w:tcPr>
            <w:tcW w:w="1475" w:type="dxa"/>
            <w:vAlign w:val="center"/>
          </w:tcPr>
          <w:p w:rsidR="005C60C9" w:rsidRDefault="00DB49CD">
            <w:pPr>
              <w:jc w:val="center"/>
            </w:pPr>
            <w:r>
              <w:rPr>
                <w:color w:val="000000"/>
                <w:sz w:val="24"/>
                <w:szCs w:val="24"/>
              </w:rPr>
              <w:t>111899735</w:t>
            </w:r>
          </w:p>
        </w:tc>
        <w:tc>
          <w:tcPr>
            <w:tcW w:w="1769" w:type="dxa"/>
            <w:vAlign w:val="center"/>
          </w:tcPr>
          <w:p w:rsidR="005C60C9" w:rsidRDefault="00DB49CD">
            <w:pPr>
              <w:jc w:val="center"/>
            </w:pPr>
            <w:r>
              <w:rPr>
                <w:color w:val="000000"/>
                <w:sz w:val="24"/>
                <w:szCs w:val="24"/>
              </w:rPr>
              <w:t>18</w:t>
            </w:r>
            <w:r>
              <w:rPr>
                <w:color w:val="000000"/>
                <w:sz w:val="24"/>
                <w:szCs w:val="24"/>
              </w:rPr>
              <w:t>贵阳银行</w:t>
            </w:r>
            <w:r>
              <w:rPr>
                <w:color w:val="000000"/>
                <w:sz w:val="24"/>
                <w:szCs w:val="24"/>
              </w:rPr>
              <w:t>CD107</w:t>
            </w:r>
          </w:p>
        </w:tc>
        <w:tc>
          <w:tcPr>
            <w:tcW w:w="1387" w:type="dxa"/>
            <w:vAlign w:val="center"/>
          </w:tcPr>
          <w:p w:rsidR="005C60C9" w:rsidRDefault="00DB49CD">
            <w:pPr>
              <w:jc w:val="right"/>
            </w:pPr>
            <w:r>
              <w:rPr>
                <w:color w:val="000000"/>
                <w:sz w:val="24"/>
                <w:szCs w:val="24"/>
              </w:rPr>
              <w:t>100,000</w:t>
            </w:r>
          </w:p>
        </w:tc>
        <w:tc>
          <w:tcPr>
            <w:tcW w:w="2150" w:type="dxa"/>
            <w:vAlign w:val="center"/>
          </w:tcPr>
          <w:p w:rsidR="005C60C9" w:rsidRDefault="00DB49CD">
            <w:pPr>
              <w:jc w:val="right"/>
            </w:pPr>
            <w:r>
              <w:rPr>
                <w:color w:val="000000"/>
                <w:sz w:val="24"/>
                <w:szCs w:val="24"/>
              </w:rPr>
              <w:t>9,716,000.00</w:t>
            </w:r>
          </w:p>
        </w:tc>
        <w:tc>
          <w:tcPr>
            <w:tcW w:w="1237" w:type="dxa"/>
            <w:vAlign w:val="center"/>
          </w:tcPr>
          <w:p w:rsidR="005C60C9" w:rsidRDefault="00DB49CD">
            <w:pPr>
              <w:jc w:val="right"/>
            </w:pPr>
            <w:r>
              <w:rPr>
                <w:color w:val="000000"/>
                <w:sz w:val="24"/>
                <w:szCs w:val="24"/>
              </w:rPr>
              <w:t>4.28</w:t>
            </w:r>
          </w:p>
        </w:tc>
      </w:tr>
      <w:tr w:rsidR="005C60C9">
        <w:trPr>
          <w:jc w:val="center"/>
        </w:trPr>
        <w:tc>
          <w:tcPr>
            <w:tcW w:w="850" w:type="dxa"/>
            <w:vAlign w:val="center"/>
          </w:tcPr>
          <w:p w:rsidR="005C60C9" w:rsidRDefault="00DB49CD">
            <w:pPr>
              <w:jc w:val="center"/>
            </w:pPr>
            <w:r>
              <w:rPr>
                <w:color w:val="000000"/>
                <w:sz w:val="24"/>
                <w:szCs w:val="24"/>
              </w:rPr>
              <w:t>5</w:t>
            </w:r>
          </w:p>
        </w:tc>
        <w:tc>
          <w:tcPr>
            <w:tcW w:w="1475" w:type="dxa"/>
            <w:vAlign w:val="center"/>
          </w:tcPr>
          <w:p w:rsidR="005C60C9" w:rsidRDefault="00DB49CD">
            <w:pPr>
              <w:jc w:val="center"/>
            </w:pPr>
            <w:r>
              <w:rPr>
                <w:color w:val="000000"/>
                <w:sz w:val="24"/>
                <w:szCs w:val="24"/>
              </w:rPr>
              <w:t>111899746</w:t>
            </w:r>
          </w:p>
        </w:tc>
        <w:tc>
          <w:tcPr>
            <w:tcW w:w="1769" w:type="dxa"/>
            <w:vAlign w:val="center"/>
          </w:tcPr>
          <w:p w:rsidR="005C60C9" w:rsidRDefault="00DB49CD">
            <w:pPr>
              <w:jc w:val="center"/>
            </w:pPr>
            <w:r>
              <w:rPr>
                <w:color w:val="000000"/>
                <w:sz w:val="24"/>
                <w:szCs w:val="24"/>
              </w:rPr>
              <w:t>18</w:t>
            </w:r>
            <w:r>
              <w:rPr>
                <w:color w:val="000000"/>
                <w:sz w:val="24"/>
                <w:szCs w:val="24"/>
              </w:rPr>
              <w:t>天津银行</w:t>
            </w:r>
            <w:r>
              <w:rPr>
                <w:color w:val="000000"/>
                <w:sz w:val="24"/>
                <w:szCs w:val="24"/>
              </w:rPr>
              <w:t>CD175</w:t>
            </w:r>
          </w:p>
        </w:tc>
        <w:tc>
          <w:tcPr>
            <w:tcW w:w="1387" w:type="dxa"/>
            <w:vAlign w:val="center"/>
          </w:tcPr>
          <w:p w:rsidR="005C60C9" w:rsidRDefault="00DB49CD">
            <w:pPr>
              <w:jc w:val="right"/>
            </w:pPr>
            <w:r>
              <w:rPr>
                <w:color w:val="000000"/>
                <w:sz w:val="24"/>
                <w:szCs w:val="24"/>
              </w:rPr>
              <w:t>100,000</w:t>
            </w:r>
          </w:p>
        </w:tc>
        <w:tc>
          <w:tcPr>
            <w:tcW w:w="2150" w:type="dxa"/>
            <w:vAlign w:val="center"/>
          </w:tcPr>
          <w:p w:rsidR="005C60C9" w:rsidRDefault="00DB49CD">
            <w:pPr>
              <w:jc w:val="right"/>
            </w:pPr>
            <w:r>
              <w:rPr>
                <w:color w:val="000000"/>
                <w:sz w:val="24"/>
                <w:szCs w:val="24"/>
              </w:rPr>
              <w:t>9,716,000.00</w:t>
            </w:r>
          </w:p>
        </w:tc>
        <w:tc>
          <w:tcPr>
            <w:tcW w:w="1237" w:type="dxa"/>
            <w:vAlign w:val="center"/>
          </w:tcPr>
          <w:p w:rsidR="005C60C9" w:rsidRDefault="00DB49CD">
            <w:pPr>
              <w:jc w:val="right"/>
            </w:pPr>
            <w:r>
              <w:rPr>
                <w:color w:val="000000"/>
                <w:sz w:val="24"/>
                <w:szCs w:val="24"/>
              </w:rPr>
              <w:t>4.28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Default="00A54C7D" w:rsidP="00C15CAC">
      <w:pPr>
        <w:autoSpaceDE w:val="0"/>
        <w:autoSpaceDN w:val="0"/>
        <w:adjustRightInd w:val="0"/>
        <w:spacing w:before="29" w:line="288" w:lineRule="auto"/>
        <w:jc w:val="left"/>
        <w:rPr>
          <w:rFonts w:hAnsi="宋体"/>
          <w:b/>
          <w:bCs/>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42DDE" w:rsidRDefault="00642DDE" w:rsidP="00642DDE">
      <w:pPr>
        <w:spacing w:line="288" w:lineRule="auto"/>
        <w:jc w:val="left"/>
        <w:rPr>
          <w:sz w:val="24"/>
          <w:szCs w:val="24"/>
        </w:rPr>
      </w:pPr>
      <w:r>
        <w:rPr>
          <w:rFonts w:ascii="宋体" w:hAnsi="宋体" w:hint="eastAsia"/>
          <w:sz w:val="24"/>
          <w:szCs w:val="24"/>
        </w:rPr>
        <w:t>本基金本报告期末未持有贵金属。</w:t>
      </w:r>
    </w:p>
    <w:p w:rsidR="00642DDE" w:rsidRPr="00642DDE" w:rsidRDefault="00642DDE"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29,991.96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2,453,447.87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2,483,439.83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Default="002918E3" w:rsidP="00C15CAC">
      <w:pPr>
        <w:autoSpaceDE w:val="0"/>
        <w:autoSpaceDN w:val="0"/>
        <w:adjustRightInd w:val="0"/>
        <w:spacing w:before="29" w:line="288" w:lineRule="auto"/>
        <w:rPr>
          <w:color w:val="000000"/>
          <w:sz w:val="24"/>
          <w:szCs w:val="24"/>
        </w:rPr>
      </w:pPr>
    </w:p>
    <w:p w:rsidR="00642DDE" w:rsidRDefault="00642DDE" w:rsidP="00642DDE">
      <w:pPr>
        <w:autoSpaceDE w:val="0"/>
        <w:autoSpaceDN w:val="0"/>
        <w:spacing w:before="29" w:line="288" w:lineRule="auto"/>
        <w:jc w:val="left"/>
        <w:rPr>
          <w:color w:val="000000"/>
          <w:sz w:val="24"/>
          <w:szCs w:val="24"/>
        </w:rPr>
      </w:pPr>
      <w:r>
        <w:rPr>
          <w:color w:val="000000"/>
          <w:sz w:val="24"/>
          <w:szCs w:val="24"/>
        </w:rPr>
        <w:t>5.11.6</w:t>
      </w:r>
      <w:r>
        <w:rPr>
          <w:rFonts w:ascii="宋体" w:hAnsi="宋体" w:hint="eastAsia"/>
          <w:color w:val="000000"/>
          <w:sz w:val="24"/>
          <w:szCs w:val="24"/>
        </w:rPr>
        <w:t>投资组合报告附注的其他文字描述部分</w:t>
      </w:r>
    </w:p>
    <w:p w:rsidR="00642DDE" w:rsidRDefault="00642DDE" w:rsidP="00642DDE">
      <w:pPr>
        <w:spacing w:before="29" w:line="288" w:lineRule="auto"/>
        <w:rPr>
          <w:color w:val="000000"/>
          <w:sz w:val="24"/>
          <w:szCs w:val="24"/>
        </w:rPr>
      </w:pPr>
      <w:r>
        <w:rPr>
          <w:rFonts w:ascii="宋体" w:hAnsi="宋体" w:hint="eastAsia"/>
          <w:color w:val="000000"/>
          <w:sz w:val="24"/>
          <w:szCs w:val="24"/>
        </w:rPr>
        <w:t>由于四舍五入的原因，分项之和与合计项之间可能存在尾差。</w:t>
      </w:r>
    </w:p>
    <w:p w:rsidR="00642DDE" w:rsidRPr="00642DDE" w:rsidRDefault="00642DDE" w:rsidP="00C15CAC">
      <w:pPr>
        <w:autoSpaceDE w:val="0"/>
        <w:autoSpaceDN w:val="0"/>
        <w:adjustRightInd w:val="0"/>
        <w:spacing w:before="29" w:line="288" w:lineRule="auto"/>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642DDE" w:rsidRDefault="00642DDE" w:rsidP="00642DDE">
      <w:pPr>
        <w:snapToGrid w:val="0"/>
        <w:spacing w:line="360" w:lineRule="auto"/>
        <w:rPr>
          <w:b/>
          <w:bCs/>
          <w:color w:val="000000"/>
          <w:sz w:val="24"/>
          <w:szCs w:val="24"/>
        </w:rPr>
      </w:pPr>
      <w:r>
        <w:rPr>
          <w:b/>
          <w:bCs/>
          <w:color w:val="000000"/>
          <w:sz w:val="24"/>
          <w:szCs w:val="24"/>
        </w:rPr>
        <w:t xml:space="preserve">6.1 </w:t>
      </w:r>
      <w:r>
        <w:rPr>
          <w:rFonts w:ascii="宋体" w:hAnsi="宋体" w:hint="eastAsia"/>
          <w:b/>
          <w:bCs/>
          <w:color w:val="000000"/>
          <w:sz w:val="24"/>
          <w:szCs w:val="24"/>
        </w:rPr>
        <w:t>报告期末按公允价值占基金资产净值比例大小排序的前十名基金投资明细</w:t>
      </w:r>
    </w:p>
    <w:p w:rsidR="00642DDE" w:rsidRDefault="00642DDE" w:rsidP="00642DDE">
      <w:pPr>
        <w:autoSpaceDE w:val="0"/>
        <w:autoSpaceDN w:val="0"/>
        <w:spacing w:line="360" w:lineRule="auto"/>
        <w:ind w:firstLine="480"/>
        <w:jc w:val="left"/>
        <w:rPr>
          <w:color w:val="000000"/>
          <w:sz w:val="24"/>
          <w:szCs w:val="24"/>
        </w:rPr>
      </w:pPr>
      <w:r>
        <w:rPr>
          <w:rFonts w:ascii="宋体" w:hAnsi="宋体" w:hint="eastAsia"/>
          <w:color w:val="000000"/>
          <w:sz w:val="24"/>
          <w:szCs w:val="24"/>
        </w:rPr>
        <w:t>本基金本报告期末未持有基金。</w:t>
      </w:r>
    </w:p>
    <w:p w:rsidR="00642DDE" w:rsidRDefault="00642DDE" w:rsidP="00642DDE">
      <w:pPr>
        <w:snapToGrid w:val="0"/>
        <w:spacing w:beforeLines="50" w:before="156" w:line="360" w:lineRule="auto"/>
        <w:rPr>
          <w:b/>
          <w:bCs/>
          <w:color w:val="000000"/>
          <w:sz w:val="24"/>
          <w:szCs w:val="24"/>
        </w:rPr>
      </w:pPr>
      <w:r>
        <w:rPr>
          <w:b/>
          <w:bCs/>
          <w:color w:val="000000"/>
          <w:sz w:val="24"/>
          <w:szCs w:val="24"/>
        </w:rPr>
        <w:t xml:space="preserve">6.2 </w:t>
      </w:r>
      <w:r>
        <w:rPr>
          <w:rFonts w:ascii="宋体" w:hAnsi="宋体" w:hint="eastAsia"/>
          <w:b/>
          <w:bCs/>
          <w:color w:val="000000"/>
          <w:sz w:val="24"/>
          <w:szCs w:val="24"/>
        </w:rPr>
        <w:t>当期交易及持有基金产生的费用</w:t>
      </w:r>
    </w:p>
    <w:p w:rsidR="00642DDE" w:rsidRDefault="00642DDE" w:rsidP="00642DDE">
      <w:pPr>
        <w:autoSpaceDE w:val="0"/>
        <w:autoSpaceDN w:val="0"/>
        <w:spacing w:line="360" w:lineRule="auto"/>
        <w:ind w:firstLine="480"/>
        <w:jc w:val="left"/>
        <w:rPr>
          <w:color w:val="000000"/>
          <w:sz w:val="24"/>
          <w:szCs w:val="24"/>
        </w:rPr>
      </w:pPr>
      <w:r>
        <w:rPr>
          <w:rFonts w:ascii="宋体" w:hAnsi="宋体" w:hint="eastAsia"/>
          <w:color w:val="000000"/>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w:t>
      </w:r>
      <w:r w:rsidR="00642DDE">
        <w:rPr>
          <w:rFonts w:eastAsiaTheme="minorEastAsia" w:hint="eastAsia"/>
          <w:b/>
          <w:color w:val="000000" w:themeColor="text1"/>
          <w:kern w:val="0"/>
          <w:sz w:val="24"/>
          <w:szCs w:val="24"/>
        </w:rPr>
        <w:t>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DB49CD">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228,753,120.21</w:t>
            </w:r>
          </w:p>
        </w:tc>
      </w:tr>
      <w:tr w:rsidR="004061AC" w:rsidRPr="00414345" w:rsidTr="00DB49CD">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DB49CD">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DB49CD">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DB49CD">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228,753,120.21</w:t>
            </w:r>
          </w:p>
        </w:tc>
      </w:tr>
    </w:tbl>
    <w:p w:rsidR="00DB49CD" w:rsidRDefault="00DB49CD" w:rsidP="00DB49CD">
      <w:pPr>
        <w:autoSpaceDE w:val="0"/>
        <w:autoSpaceDN w:val="0"/>
        <w:spacing w:before="29" w:line="288" w:lineRule="auto"/>
        <w:jc w:val="left"/>
        <w:rPr>
          <w:color w:val="000000"/>
          <w:sz w:val="24"/>
          <w:szCs w:val="24"/>
        </w:rPr>
      </w:pPr>
      <w:r>
        <w:rPr>
          <w:rFonts w:ascii="宋体" w:hAnsi="宋体" w:hint="eastAsia"/>
          <w:color w:val="000000"/>
          <w:sz w:val="24"/>
          <w:szCs w:val="24"/>
        </w:rPr>
        <w:t>注：</w:t>
      </w:r>
      <w:r>
        <w:rPr>
          <w:color w:val="000000"/>
          <w:sz w:val="24"/>
          <w:szCs w:val="24"/>
        </w:rPr>
        <w:t>1</w:t>
      </w:r>
      <w:r>
        <w:rPr>
          <w:rFonts w:ascii="宋体" w:hAnsi="宋体" w:hint="eastAsia"/>
          <w:color w:val="000000"/>
          <w:sz w:val="24"/>
          <w:szCs w:val="24"/>
        </w:rPr>
        <w:t>、如果本报告期间发生转换入、红利再投业务，则总申购份额中包含该业务；</w:t>
      </w:r>
    </w:p>
    <w:p w:rsidR="00DB49CD" w:rsidRDefault="00DB49CD" w:rsidP="00DB49CD">
      <w:pPr>
        <w:autoSpaceDE w:val="0"/>
        <w:autoSpaceDN w:val="0"/>
        <w:spacing w:before="29" w:line="288" w:lineRule="auto"/>
        <w:jc w:val="left"/>
        <w:rPr>
          <w:rFonts w:ascii="Calibri" w:hAnsi="Calibri" w:cs="宋体"/>
          <w:color w:val="000000"/>
          <w:sz w:val="24"/>
          <w:szCs w:val="24"/>
        </w:rPr>
      </w:pPr>
      <w:r>
        <w:rPr>
          <w:rFonts w:hint="eastAsia"/>
          <w:color w:val="000000"/>
          <w:sz w:val="24"/>
          <w:szCs w:val="24"/>
        </w:rPr>
        <w:t xml:space="preserve">    </w:t>
      </w:r>
      <w:r>
        <w:rPr>
          <w:color w:val="000000"/>
          <w:sz w:val="24"/>
          <w:szCs w:val="24"/>
        </w:rPr>
        <w:t>2</w:t>
      </w:r>
      <w:r>
        <w:rPr>
          <w:rFonts w:ascii="宋体" w:hAnsi="宋体" w:hint="eastAsia"/>
          <w:color w:val="000000"/>
          <w:sz w:val="24"/>
          <w:szCs w:val="24"/>
        </w:rPr>
        <w:t>、如果本报告期间发生转换出业务，则总赎回份额中包含该业务。</w:t>
      </w:r>
    </w:p>
    <w:p w:rsidR="00320E90" w:rsidRPr="00DB49CD"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C60C9" w:rsidRDefault="00DB49C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、中国证监会准予交银施罗德致远量化智投策略定期开放混合型证券投资基金募集注册的文件；</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、《交银施罗德致远量化智投策略定期开放混合型证券投资基金基金合同》；</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、《交银施罗德致远量化智投策略定期开放混合型证券投资基金招募说明书》；</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、《交银施罗德致远量化智投策略定期开放混合型证券投资基金托管协议》；</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、关于申请募集注册交银施罗德致远量化智投策略定期开放混合型证券投资基金的法律意见书；</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C60C9" w:rsidRDefault="00DB49C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、报告期内交银施罗德致远量化智投策略定期开放混合型证券投资基金在指定报刊上各项公告的原稿。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C60C9" w:rsidRDefault="00DB49C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279" w:rsidRDefault="00B60279" w:rsidP="00876D65">
      <w:r>
        <w:separator/>
      </w:r>
    </w:p>
  </w:endnote>
  <w:endnote w:type="continuationSeparator" w:id="0">
    <w:p w:rsidR="00B60279" w:rsidRDefault="00B6027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20895">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20895">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279" w:rsidRDefault="00B60279" w:rsidP="00876D65">
      <w:r>
        <w:separator/>
      </w:r>
    </w:p>
  </w:footnote>
  <w:footnote w:type="continuationSeparator" w:id="0">
    <w:p w:rsidR="00B60279" w:rsidRDefault="00B6027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交银施罗德致远量化智投策略定期开放混合型证券投资基金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167F"/>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0895"/>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1DBF"/>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C0D89"/>
    <w:rsid w:val="005C60C9"/>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DDE"/>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0279"/>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B49CD"/>
    <w:rsid w:val="00DC0B51"/>
    <w:rsid w:val="00DC141F"/>
    <w:rsid w:val="00DC28F1"/>
    <w:rsid w:val="00DC456F"/>
    <w:rsid w:val="00DC6B55"/>
    <w:rsid w:val="00DD070C"/>
    <w:rsid w:val="00DE27F7"/>
    <w:rsid w:val="00DE4B43"/>
    <w:rsid w:val="00E02660"/>
    <w:rsid w:val="00E04BE1"/>
    <w:rsid w:val="00E12DBF"/>
    <w:rsid w:val="00E20C3C"/>
    <w:rsid w:val="00E215BA"/>
    <w:rsid w:val="00E36549"/>
    <w:rsid w:val="00E40D31"/>
    <w:rsid w:val="00E41260"/>
    <w:rsid w:val="00E44E18"/>
    <w:rsid w:val="00E45584"/>
    <w:rsid w:val="00E46B0C"/>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3D38"/>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D26BAE-6AA1-4E45-B820-66784CF1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8285">
      <w:bodyDiv w:val="1"/>
      <w:marLeft w:val="0"/>
      <w:marRight w:val="0"/>
      <w:marTop w:val="0"/>
      <w:marBottom w:val="0"/>
      <w:divBdr>
        <w:top w:val="none" w:sz="0" w:space="0" w:color="auto"/>
        <w:left w:val="none" w:sz="0" w:space="0" w:color="auto"/>
        <w:bottom w:val="none" w:sz="0" w:space="0" w:color="auto"/>
        <w:right w:val="none" w:sz="0" w:space="0" w:color="auto"/>
      </w:divBdr>
    </w:div>
    <w:div w:id="382170010">
      <w:bodyDiv w:val="1"/>
      <w:marLeft w:val="0"/>
      <w:marRight w:val="0"/>
      <w:marTop w:val="0"/>
      <w:marBottom w:val="0"/>
      <w:divBdr>
        <w:top w:val="none" w:sz="0" w:space="0" w:color="auto"/>
        <w:left w:val="none" w:sz="0" w:space="0" w:color="auto"/>
        <w:bottom w:val="none" w:sz="0" w:space="0" w:color="auto"/>
        <w:right w:val="none" w:sz="0" w:space="0" w:color="auto"/>
      </w:divBdr>
    </w:div>
    <w:div w:id="656685063">
      <w:bodyDiv w:val="1"/>
      <w:marLeft w:val="0"/>
      <w:marRight w:val="0"/>
      <w:marTop w:val="0"/>
      <w:marBottom w:val="0"/>
      <w:divBdr>
        <w:top w:val="none" w:sz="0" w:space="0" w:color="auto"/>
        <w:left w:val="none" w:sz="0" w:space="0" w:color="auto"/>
        <w:bottom w:val="none" w:sz="0" w:space="0" w:color="auto"/>
        <w:right w:val="none" w:sz="0" w:space="0" w:color="auto"/>
      </w:divBdr>
    </w:div>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00810658">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505238474">
      <w:bodyDiv w:val="1"/>
      <w:marLeft w:val="0"/>
      <w:marRight w:val="0"/>
      <w:marTop w:val="0"/>
      <w:marBottom w:val="0"/>
      <w:divBdr>
        <w:top w:val="none" w:sz="0" w:space="0" w:color="auto"/>
        <w:left w:val="none" w:sz="0" w:space="0" w:color="auto"/>
        <w:bottom w:val="none" w:sz="0" w:space="0" w:color="auto"/>
        <w:right w:val="none" w:sz="0" w:space="0" w:color="auto"/>
      </w:divBdr>
    </w:div>
    <w:div w:id="1776706789">
      <w:bodyDiv w:val="1"/>
      <w:marLeft w:val="0"/>
      <w:marRight w:val="0"/>
      <w:marTop w:val="0"/>
      <w:marBottom w:val="0"/>
      <w:divBdr>
        <w:top w:val="none" w:sz="0" w:space="0" w:color="auto"/>
        <w:left w:val="none" w:sz="0" w:space="0" w:color="auto"/>
        <w:bottom w:val="none" w:sz="0" w:space="0" w:color="auto"/>
        <w:right w:val="none" w:sz="0" w:space="0" w:color="auto"/>
      </w:divBdr>
    </w:div>
    <w:div w:id="1806043787">
      <w:bodyDiv w:val="1"/>
      <w:marLeft w:val="0"/>
      <w:marRight w:val="0"/>
      <w:marTop w:val="0"/>
      <w:marBottom w:val="0"/>
      <w:divBdr>
        <w:top w:val="none" w:sz="0" w:space="0" w:color="auto"/>
        <w:left w:val="none" w:sz="0" w:space="0" w:color="auto"/>
        <w:bottom w:val="none" w:sz="0" w:space="0" w:color="auto"/>
        <w:right w:val="none" w:sz="0" w:space="0" w:color="auto"/>
      </w:divBdr>
    </w:div>
    <w:div w:id="191138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FE330-509B-4DBA-BABE-C48DB1B1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1</Pages>
  <Words>1067</Words>
  <Characters>6084</Characters>
  <Application>Microsoft Office Word</Application>
  <DocSecurity>0</DocSecurity>
  <Lines>50</Lines>
  <Paragraphs>14</Paragraphs>
  <ScaleCrop>false</ScaleCrop>
  <Company/>
  <LinksUpToDate>false</LinksUpToDate>
  <CharactersWithSpaces>7137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585</cp:revision>
  <dcterms:created xsi:type="dcterms:W3CDTF">2012-10-16T06:07:00Z</dcterms:created>
  <dcterms:modified xsi:type="dcterms:W3CDTF">2018-10-22T08:14:00Z</dcterms:modified>
</cp:coreProperties>
</file>