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交银施罗德品质升级混合型证券投资基金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B103E" w:rsidRDefault="001A027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1,741,555,320.72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lastRenderedPageBreak/>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A0273" w:rsidRPr="00414345" w:rsidTr="001A027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A0273" w:rsidRPr="00414345" w:rsidTr="001A02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-99,846,436.02</w:t>
            </w:r>
          </w:p>
        </w:tc>
      </w:tr>
      <w:tr w:rsidR="001A0273" w:rsidRPr="00414345" w:rsidTr="001A02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-140,192,160.83</w:t>
            </w:r>
          </w:p>
        </w:tc>
      </w:tr>
      <w:tr w:rsidR="001A0273" w:rsidRPr="00414345" w:rsidTr="001A02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-0.0793</w:t>
            </w:r>
          </w:p>
        </w:tc>
      </w:tr>
      <w:tr w:rsidR="001A0273" w:rsidRPr="00414345" w:rsidTr="001A02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1,569,145,838.90</w:t>
            </w:r>
          </w:p>
        </w:tc>
      </w:tr>
      <w:tr w:rsidR="001A0273" w:rsidRPr="00414345" w:rsidTr="001A027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0.9010</w:t>
            </w:r>
          </w:p>
        </w:tc>
      </w:tr>
    </w:tbl>
    <w:p w:rsidR="002B103E" w:rsidRDefault="001A027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B103E">
        <w:trPr>
          <w:jc w:val="center"/>
        </w:trPr>
        <w:tc>
          <w:tcPr>
            <w:tcW w:w="1701" w:type="dxa"/>
            <w:vAlign w:val="center"/>
          </w:tcPr>
          <w:p w:rsidR="002B103E" w:rsidRDefault="001A0273">
            <w:pPr>
              <w:jc w:val="left"/>
            </w:pPr>
            <w:r>
              <w:rPr>
                <w:color w:val="000000"/>
                <w:sz w:val="24"/>
                <w:szCs w:val="24"/>
              </w:rPr>
              <w:t>过去三个月</w:t>
            </w:r>
          </w:p>
        </w:tc>
        <w:tc>
          <w:tcPr>
            <w:tcW w:w="1045" w:type="dxa"/>
            <w:vAlign w:val="center"/>
          </w:tcPr>
          <w:p w:rsidR="002B103E" w:rsidRDefault="001A0273">
            <w:pPr>
              <w:jc w:val="center"/>
            </w:pPr>
            <w:r>
              <w:rPr>
                <w:color w:val="000000"/>
                <w:sz w:val="24"/>
                <w:szCs w:val="24"/>
              </w:rPr>
              <w:t>-8.04%</w:t>
            </w:r>
          </w:p>
        </w:tc>
        <w:tc>
          <w:tcPr>
            <w:tcW w:w="1344" w:type="dxa"/>
            <w:vAlign w:val="center"/>
          </w:tcPr>
          <w:p w:rsidR="002B103E" w:rsidRDefault="001A0273">
            <w:pPr>
              <w:jc w:val="center"/>
            </w:pPr>
            <w:r>
              <w:rPr>
                <w:color w:val="000000"/>
                <w:sz w:val="24"/>
                <w:szCs w:val="24"/>
              </w:rPr>
              <w:t>1.57%</w:t>
            </w:r>
          </w:p>
        </w:tc>
        <w:tc>
          <w:tcPr>
            <w:tcW w:w="1194" w:type="dxa"/>
            <w:vAlign w:val="center"/>
          </w:tcPr>
          <w:p w:rsidR="002B103E" w:rsidRDefault="001A0273">
            <w:pPr>
              <w:jc w:val="center"/>
            </w:pPr>
            <w:r>
              <w:rPr>
                <w:color w:val="000000"/>
                <w:sz w:val="24"/>
                <w:szCs w:val="24"/>
              </w:rPr>
              <w:t>-0.58%</w:t>
            </w:r>
          </w:p>
        </w:tc>
        <w:tc>
          <w:tcPr>
            <w:tcW w:w="1492" w:type="dxa"/>
            <w:vAlign w:val="center"/>
          </w:tcPr>
          <w:p w:rsidR="002B103E" w:rsidRDefault="001A0273">
            <w:pPr>
              <w:jc w:val="center"/>
            </w:pPr>
            <w:r>
              <w:rPr>
                <w:color w:val="000000"/>
                <w:sz w:val="24"/>
                <w:szCs w:val="24"/>
              </w:rPr>
              <w:t>0.81%</w:t>
            </w:r>
          </w:p>
        </w:tc>
        <w:tc>
          <w:tcPr>
            <w:tcW w:w="1194" w:type="dxa"/>
            <w:vAlign w:val="center"/>
          </w:tcPr>
          <w:p w:rsidR="002B103E" w:rsidRDefault="001A0273">
            <w:pPr>
              <w:jc w:val="center"/>
            </w:pPr>
            <w:r>
              <w:rPr>
                <w:color w:val="000000"/>
                <w:sz w:val="24"/>
                <w:szCs w:val="24"/>
              </w:rPr>
              <w:t>-7.46%</w:t>
            </w:r>
          </w:p>
        </w:tc>
        <w:tc>
          <w:tcPr>
            <w:tcW w:w="898" w:type="dxa"/>
            <w:vAlign w:val="center"/>
          </w:tcPr>
          <w:p w:rsidR="002B103E" w:rsidRDefault="001A0273">
            <w:pPr>
              <w:jc w:val="center"/>
            </w:pPr>
            <w:r>
              <w:rPr>
                <w:color w:val="000000"/>
                <w:sz w:val="24"/>
                <w:szCs w:val="24"/>
              </w:rPr>
              <w:t>0.76%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交银施罗德品质升级混合型证券投资基金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B103E">
        <w:trPr>
          <w:jc w:val="center"/>
        </w:trPr>
        <w:tc>
          <w:tcPr>
            <w:tcW w:w="846" w:type="dxa"/>
            <w:vAlign w:val="center"/>
          </w:tcPr>
          <w:p w:rsidR="002B103E" w:rsidRDefault="001A0273">
            <w:pPr>
              <w:jc w:val="center"/>
            </w:pPr>
            <w:r>
              <w:rPr>
                <w:color w:val="000000"/>
                <w:sz w:val="24"/>
                <w:szCs w:val="24"/>
              </w:rPr>
              <w:t>韩威俊</w:t>
            </w:r>
          </w:p>
        </w:tc>
        <w:tc>
          <w:tcPr>
            <w:tcW w:w="845" w:type="dxa"/>
            <w:vAlign w:val="center"/>
          </w:tcPr>
          <w:p w:rsidR="002B103E" w:rsidRDefault="001A0273">
            <w:pPr>
              <w:jc w:val="center"/>
            </w:pPr>
            <w:r>
              <w:rPr>
                <w:color w:val="000000"/>
                <w:sz w:val="24"/>
                <w:szCs w:val="24"/>
              </w:rPr>
              <w:t>交银趋势混合、交银策略回报灵活配置混合、交银消费新驱</w:t>
            </w:r>
            <w:r>
              <w:rPr>
                <w:color w:val="000000"/>
                <w:sz w:val="24"/>
                <w:szCs w:val="24"/>
              </w:rPr>
              <w:lastRenderedPageBreak/>
              <w:t>动股票、交银股息优化混合、交银品质升级混合的基金经理</w:t>
            </w:r>
          </w:p>
        </w:tc>
        <w:tc>
          <w:tcPr>
            <w:tcW w:w="1549" w:type="dxa"/>
            <w:vAlign w:val="center"/>
          </w:tcPr>
          <w:p w:rsidR="002B103E" w:rsidRDefault="001A0273">
            <w:pPr>
              <w:jc w:val="center"/>
            </w:pPr>
            <w:r>
              <w:rPr>
                <w:color w:val="000000"/>
                <w:sz w:val="24"/>
                <w:szCs w:val="24"/>
              </w:rPr>
              <w:lastRenderedPageBreak/>
              <w:t>2018-02-08</w:t>
            </w:r>
          </w:p>
        </w:tc>
        <w:tc>
          <w:tcPr>
            <w:tcW w:w="1548" w:type="dxa"/>
            <w:vAlign w:val="center"/>
          </w:tcPr>
          <w:p w:rsidR="002B103E" w:rsidRDefault="001A0273">
            <w:pPr>
              <w:jc w:val="center"/>
            </w:pPr>
            <w:r>
              <w:rPr>
                <w:color w:val="000000"/>
                <w:sz w:val="24"/>
                <w:szCs w:val="24"/>
              </w:rPr>
              <w:t>-</w:t>
            </w:r>
          </w:p>
        </w:tc>
        <w:tc>
          <w:tcPr>
            <w:tcW w:w="1407" w:type="dxa"/>
            <w:vAlign w:val="center"/>
          </w:tcPr>
          <w:p w:rsidR="002B103E" w:rsidRDefault="001A0273">
            <w:pPr>
              <w:jc w:val="center"/>
            </w:pPr>
            <w:r>
              <w:rPr>
                <w:color w:val="000000"/>
                <w:sz w:val="24"/>
                <w:szCs w:val="24"/>
              </w:rPr>
              <w:t>12</w:t>
            </w:r>
            <w:r>
              <w:rPr>
                <w:color w:val="000000"/>
                <w:sz w:val="24"/>
                <w:szCs w:val="24"/>
              </w:rPr>
              <w:t>年</w:t>
            </w:r>
          </w:p>
        </w:tc>
        <w:tc>
          <w:tcPr>
            <w:tcW w:w="2673" w:type="dxa"/>
            <w:vAlign w:val="center"/>
          </w:tcPr>
          <w:p w:rsidR="002B103E" w:rsidRDefault="001A0273">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B103E" w:rsidRDefault="001A027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B103E" w:rsidRDefault="001A027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B103E" w:rsidRDefault="001A027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B103E" w:rsidRDefault="001A0273">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年三季度，贸易战、人民币汇率等海外因素进入白热化阶段，海外资金对于</w:t>
      </w:r>
      <w:r>
        <w:rPr>
          <w:color w:val="000000"/>
          <w:sz w:val="24"/>
          <w:szCs w:val="24"/>
        </w:rPr>
        <w:t>A</w:t>
      </w:r>
      <w:r>
        <w:rPr>
          <w:color w:val="000000"/>
          <w:sz w:val="24"/>
          <w:szCs w:val="24"/>
        </w:rPr>
        <w:t>股的边际波动影响加大。虽然国内货币政策和财政政策在七月份出现拐点，但是真正传导到实体经济进而传导到资本市场还需要一定的时间。</w:t>
      </w:r>
    </w:p>
    <w:p w:rsidR="002B103E" w:rsidRDefault="001A0273">
      <w:pPr>
        <w:spacing w:before="29" w:line="288" w:lineRule="auto"/>
        <w:ind w:firstLineChars="200" w:firstLine="480"/>
        <w:rPr>
          <w:color w:val="000000"/>
          <w:sz w:val="24"/>
          <w:szCs w:val="24"/>
        </w:rPr>
      </w:pPr>
      <w:r>
        <w:rPr>
          <w:color w:val="000000"/>
          <w:sz w:val="24"/>
          <w:szCs w:val="24"/>
        </w:rPr>
        <w:t>本基金在三季度适度降低了整体仓位，特别是在九月份整体反弹的时候减持了部分后续可能持续下调盈利预测的白马股。九月份增加了地产股的配置比例，特别是一、二线占比较高的地产股，此类公司目前处于低预期下的低估值状态，现金流和分红收益率未来三年如果能够保持，将是较好的投资标的。</w:t>
      </w:r>
    </w:p>
    <w:p w:rsidR="002B103E" w:rsidRDefault="001A0273">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四季度，在高油价、高信用风险的背景下，整个市场的流动性和风险偏好很难出现系统性上升，市场将继续出现小区间震荡向下的趋势，除非市场风险偏好出现明显上升或者事件性驱动，否则市场很难出现系统性上涨。由于降准等货币政策对冲了去杠杆的负面因</w:t>
      </w:r>
      <w:r>
        <w:rPr>
          <w:color w:val="000000"/>
          <w:sz w:val="24"/>
          <w:szCs w:val="24"/>
        </w:rPr>
        <w:t>素，整个宏观经济流动性压力并不大，但真正要影响到资本市场还需要一定时滞，年内货币政策的调整余地后续并不大。此外，年内财政政策仍然有进一步调整的空间，包括增值税的系统性调整，消费下乡细则的落地，短期效应虽然并不明显，但对国内消费会有长期的驱动利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受制于整个宏观经济增速的放缓，三驾马车驱动下的大行业增速都会出现比较明显的放缓，细分子行业内部出现各个公司的分化，三季度增速较快的公司会比二季度更加稀缺，对个股研究的要求也会越来越高。本基金希望通过自下而上的分析，选择继续持有业绩和现金流持续好转的个股，特别三季度增速可能快于二季度的个股做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Default="009C5186" w:rsidP="00C15CAC">
      <w:pPr>
        <w:spacing w:before="29" w:line="288" w:lineRule="auto"/>
        <w:ind w:firstLineChars="200" w:firstLine="480"/>
        <w:rPr>
          <w:color w:val="000000"/>
          <w:sz w:val="24"/>
          <w:szCs w:val="24"/>
        </w:rPr>
      </w:pPr>
    </w:p>
    <w:p w:rsidR="001A0273" w:rsidRPr="002070B4" w:rsidRDefault="001A0273" w:rsidP="001A027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A0273" w:rsidRDefault="001A0273" w:rsidP="001A0273">
      <w:pPr>
        <w:spacing w:before="29" w:line="288" w:lineRule="auto"/>
        <w:ind w:firstLineChars="200" w:firstLine="480"/>
        <w:rPr>
          <w:color w:val="000000"/>
          <w:sz w:val="24"/>
        </w:rPr>
      </w:pPr>
      <w:r w:rsidRPr="002070B4">
        <w:rPr>
          <w:color w:val="000000"/>
          <w:sz w:val="24"/>
        </w:rPr>
        <w:t>本基金本报告期内无需预警说明。</w:t>
      </w:r>
    </w:p>
    <w:p w:rsidR="001A0273" w:rsidRPr="001A0273" w:rsidRDefault="001A0273" w:rsidP="00C15CAC">
      <w:pPr>
        <w:spacing w:before="29" w:line="288" w:lineRule="auto"/>
        <w:ind w:firstLineChars="200" w:firstLine="480"/>
        <w:rPr>
          <w:rFonts w:hint="eastAsia"/>
          <w:color w:val="000000"/>
          <w:sz w:val="24"/>
          <w:szCs w:val="24"/>
        </w:rPr>
      </w:pPr>
      <w:bookmarkStart w:id="0" w:name="_GoBack"/>
      <w:bookmarkEnd w:id="0"/>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1,279,464,966.93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1,279,464,966.93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350,127,126.59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21.45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2,751,759.05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1,632,343,852.57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863,419,422.10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54,477,900.76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8,034,000.00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298,920,049.46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31,891,352.65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592,882.96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22,129,359.00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1,279,464,966.93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81.54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B103E">
        <w:trPr>
          <w:jc w:val="center"/>
        </w:trPr>
        <w:tc>
          <w:tcPr>
            <w:tcW w:w="855" w:type="dxa"/>
            <w:vAlign w:val="center"/>
          </w:tcPr>
          <w:p w:rsidR="002B103E" w:rsidRDefault="001A0273">
            <w:pPr>
              <w:jc w:val="center"/>
            </w:pPr>
            <w:r>
              <w:rPr>
                <w:color w:val="000000"/>
                <w:sz w:val="24"/>
                <w:szCs w:val="24"/>
              </w:rPr>
              <w:t>1</w:t>
            </w:r>
          </w:p>
        </w:tc>
        <w:tc>
          <w:tcPr>
            <w:tcW w:w="1334" w:type="dxa"/>
            <w:vAlign w:val="center"/>
          </w:tcPr>
          <w:p w:rsidR="002B103E" w:rsidRDefault="001A0273">
            <w:pPr>
              <w:jc w:val="center"/>
            </w:pPr>
            <w:r>
              <w:rPr>
                <w:color w:val="000000"/>
                <w:sz w:val="24"/>
                <w:szCs w:val="24"/>
              </w:rPr>
              <w:t>603808</w:t>
            </w:r>
          </w:p>
        </w:tc>
        <w:tc>
          <w:tcPr>
            <w:tcW w:w="1777" w:type="dxa"/>
            <w:vAlign w:val="center"/>
          </w:tcPr>
          <w:p w:rsidR="002B103E" w:rsidRDefault="001A0273">
            <w:pPr>
              <w:jc w:val="center"/>
            </w:pPr>
            <w:r>
              <w:rPr>
                <w:color w:val="000000"/>
                <w:sz w:val="24"/>
                <w:szCs w:val="24"/>
              </w:rPr>
              <w:t>歌力思</w:t>
            </w:r>
          </w:p>
        </w:tc>
        <w:tc>
          <w:tcPr>
            <w:tcW w:w="1334" w:type="dxa"/>
            <w:vAlign w:val="center"/>
          </w:tcPr>
          <w:p w:rsidR="002B103E" w:rsidRDefault="001A0273">
            <w:pPr>
              <w:jc w:val="right"/>
            </w:pPr>
            <w:r>
              <w:rPr>
                <w:color w:val="000000"/>
                <w:sz w:val="24"/>
                <w:szCs w:val="24"/>
              </w:rPr>
              <w:t>7,310,624</w:t>
            </w:r>
          </w:p>
        </w:tc>
        <w:tc>
          <w:tcPr>
            <w:tcW w:w="1924" w:type="dxa"/>
            <w:vAlign w:val="center"/>
          </w:tcPr>
          <w:p w:rsidR="002B103E" w:rsidRDefault="001A0273">
            <w:pPr>
              <w:jc w:val="right"/>
            </w:pPr>
            <w:r>
              <w:rPr>
                <w:color w:val="000000"/>
                <w:sz w:val="24"/>
                <w:szCs w:val="24"/>
              </w:rPr>
              <w:t>127,935,920.00</w:t>
            </w:r>
          </w:p>
        </w:tc>
        <w:tc>
          <w:tcPr>
            <w:tcW w:w="1644" w:type="dxa"/>
            <w:vAlign w:val="center"/>
          </w:tcPr>
          <w:p w:rsidR="002B103E" w:rsidRDefault="001A0273">
            <w:pPr>
              <w:jc w:val="right"/>
            </w:pPr>
            <w:r>
              <w:rPr>
                <w:color w:val="000000"/>
                <w:sz w:val="24"/>
                <w:szCs w:val="24"/>
              </w:rPr>
              <w:t>8.15</w:t>
            </w:r>
          </w:p>
        </w:tc>
      </w:tr>
      <w:tr w:rsidR="002B103E">
        <w:trPr>
          <w:jc w:val="center"/>
        </w:trPr>
        <w:tc>
          <w:tcPr>
            <w:tcW w:w="855" w:type="dxa"/>
            <w:vAlign w:val="center"/>
          </w:tcPr>
          <w:p w:rsidR="002B103E" w:rsidRDefault="001A0273">
            <w:pPr>
              <w:jc w:val="center"/>
            </w:pPr>
            <w:r>
              <w:rPr>
                <w:color w:val="000000"/>
                <w:sz w:val="24"/>
                <w:szCs w:val="24"/>
              </w:rPr>
              <w:t>2</w:t>
            </w:r>
          </w:p>
        </w:tc>
        <w:tc>
          <w:tcPr>
            <w:tcW w:w="1334" w:type="dxa"/>
            <w:vAlign w:val="center"/>
          </w:tcPr>
          <w:p w:rsidR="002B103E" w:rsidRDefault="001A0273">
            <w:pPr>
              <w:jc w:val="center"/>
            </w:pPr>
            <w:r>
              <w:rPr>
                <w:color w:val="000000"/>
                <w:sz w:val="24"/>
                <w:szCs w:val="24"/>
              </w:rPr>
              <w:t>300146</w:t>
            </w:r>
          </w:p>
        </w:tc>
        <w:tc>
          <w:tcPr>
            <w:tcW w:w="1777" w:type="dxa"/>
            <w:vAlign w:val="center"/>
          </w:tcPr>
          <w:p w:rsidR="002B103E" w:rsidRDefault="001A0273">
            <w:pPr>
              <w:jc w:val="center"/>
            </w:pPr>
            <w:r>
              <w:rPr>
                <w:color w:val="000000"/>
                <w:sz w:val="24"/>
                <w:szCs w:val="24"/>
              </w:rPr>
              <w:t>汤臣倍健</w:t>
            </w:r>
          </w:p>
        </w:tc>
        <w:tc>
          <w:tcPr>
            <w:tcW w:w="1334" w:type="dxa"/>
            <w:vAlign w:val="center"/>
          </w:tcPr>
          <w:p w:rsidR="002B103E" w:rsidRDefault="001A0273">
            <w:pPr>
              <w:jc w:val="right"/>
            </w:pPr>
            <w:r>
              <w:rPr>
                <w:color w:val="000000"/>
                <w:sz w:val="24"/>
                <w:szCs w:val="24"/>
              </w:rPr>
              <w:t>5,872,533</w:t>
            </w:r>
          </w:p>
        </w:tc>
        <w:tc>
          <w:tcPr>
            <w:tcW w:w="1924" w:type="dxa"/>
            <w:vAlign w:val="center"/>
          </w:tcPr>
          <w:p w:rsidR="002B103E" w:rsidRDefault="001A0273">
            <w:pPr>
              <w:jc w:val="right"/>
            </w:pPr>
            <w:r>
              <w:rPr>
                <w:color w:val="000000"/>
                <w:sz w:val="24"/>
                <w:szCs w:val="24"/>
              </w:rPr>
              <w:t>120,386,926.50</w:t>
            </w:r>
          </w:p>
        </w:tc>
        <w:tc>
          <w:tcPr>
            <w:tcW w:w="1644" w:type="dxa"/>
            <w:vAlign w:val="center"/>
          </w:tcPr>
          <w:p w:rsidR="002B103E" w:rsidRDefault="001A0273">
            <w:pPr>
              <w:jc w:val="right"/>
            </w:pPr>
            <w:r>
              <w:rPr>
                <w:color w:val="000000"/>
                <w:sz w:val="24"/>
                <w:szCs w:val="24"/>
              </w:rPr>
              <w:t>7.67</w:t>
            </w:r>
          </w:p>
        </w:tc>
      </w:tr>
      <w:tr w:rsidR="002B103E">
        <w:trPr>
          <w:jc w:val="center"/>
        </w:trPr>
        <w:tc>
          <w:tcPr>
            <w:tcW w:w="855" w:type="dxa"/>
            <w:vAlign w:val="center"/>
          </w:tcPr>
          <w:p w:rsidR="002B103E" w:rsidRDefault="001A0273">
            <w:pPr>
              <w:jc w:val="center"/>
            </w:pPr>
            <w:r>
              <w:rPr>
                <w:color w:val="000000"/>
                <w:sz w:val="24"/>
                <w:szCs w:val="24"/>
              </w:rPr>
              <w:t>3</w:t>
            </w:r>
          </w:p>
        </w:tc>
        <w:tc>
          <w:tcPr>
            <w:tcW w:w="1334" w:type="dxa"/>
            <w:vAlign w:val="center"/>
          </w:tcPr>
          <w:p w:rsidR="002B103E" w:rsidRDefault="001A0273">
            <w:pPr>
              <w:jc w:val="center"/>
            </w:pPr>
            <w:r>
              <w:rPr>
                <w:color w:val="000000"/>
                <w:sz w:val="24"/>
                <w:szCs w:val="24"/>
              </w:rPr>
              <w:t>600519</w:t>
            </w:r>
          </w:p>
        </w:tc>
        <w:tc>
          <w:tcPr>
            <w:tcW w:w="1777" w:type="dxa"/>
            <w:vAlign w:val="center"/>
          </w:tcPr>
          <w:p w:rsidR="002B103E" w:rsidRDefault="001A0273">
            <w:pPr>
              <w:jc w:val="center"/>
            </w:pPr>
            <w:r>
              <w:rPr>
                <w:color w:val="000000"/>
                <w:sz w:val="24"/>
                <w:szCs w:val="24"/>
              </w:rPr>
              <w:t>贵州茅台</w:t>
            </w:r>
          </w:p>
        </w:tc>
        <w:tc>
          <w:tcPr>
            <w:tcW w:w="1334" w:type="dxa"/>
            <w:vAlign w:val="center"/>
          </w:tcPr>
          <w:p w:rsidR="002B103E" w:rsidRDefault="001A0273">
            <w:pPr>
              <w:jc w:val="right"/>
            </w:pPr>
            <w:r>
              <w:rPr>
                <w:color w:val="000000"/>
                <w:sz w:val="24"/>
                <w:szCs w:val="24"/>
              </w:rPr>
              <w:t>160,694</w:t>
            </w:r>
          </w:p>
        </w:tc>
        <w:tc>
          <w:tcPr>
            <w:tcW w:w="1924" w:type="dxa"/>
            <w:vAlign w:val="center"/>
          </w:tcPr>
          <w:p w:rsidR="002B103E" w:rsidRDefault="001A0273">
            <w:pPr>
              <w:jc w:val="right"/>
            </w:pPr>
            <w:r>
              <w:rPr>
                <w:color w:val="000000"/>
                <w:sz w:val="24"/>
                <w:szCs w:val="24"/>
              </w:rPr>
              <w:t>117,306,620.00</w:t>
            </w:r>
          </w:p>
        </w:tc>
        <w:tc>
          <w:tcPr>
            <w:tcW w:w="1644" w:type="dxa"/>
            <w:vAlign w:val="center"/>
          </w:tcPr>
          <w:p w:rsidR="002B103E" w:rsidRDefault="001A0273">
            <w:pPr>
              <w:jc w:val="right"/>
            </w:pPr>
            <w:r>
              <w:rPr>
                <w:color w:val="000000"/>
                <w:sz w:val="24"/>
                <w:szCs w:val="24"/>
              </w:rPr>
              <w:t>7.48</w:t>
            </w:r>
          </w:p>
        </w:tc>
      </w:tr>
      <w:tr w:rsidR="002B103E">
        <w:trPr>
          <w:jc w:val="center"/>
        </w:trPr>
        <w:tc>
          <w:tcPr>
            <w:tcW w:w="855" w:type="dxa"/>
            <w:vAlign w:val="center"/>
          </w:tcPr>
          <w:p w:rsidR="002B103E" w:rsidRDefault="001A0273">
            <w:pPr>
              <w:jc w:val="center"/>
            </w:pPr>
            <w:r>
              <w:rPr>
                <w:color w:val="000000"/>
                <w:sz w:val="24"/>
                <w:szCs w:val="24"/>
              </w:rPr>
              <w:t>4</w:t>
            </w:r>
          </w:p>
        </w:tc>
        <w:tc>
          <w:tcPr>
            <w:tcW w:w="1334" w:type="dxa"/>
            <w:vAlign w:val="center"/>
          </w:tcPr>
          <w:p w:rsidR="002B103E" w:rsidRDefault="001A0273">
            <w:pPr>
              <w:jc w:val="center"/>
            </w:pPr>
            <w:r>
              <w:rPr>
                <w:color w:val="000000"/>
                <w:sz w:val="24"/>
                <w:szCs w:val="24"/>
              </w:rPr>
              <w:t>000858</w:t>
            </w:r>
          </w:p>
        </w:tc>
        <w:tc>
          <w:tcPr>
            <w:tcW w:w="1777" w:type="dxa"/>
            <w:vAlign w:val="center"/>
          </w:tcPr>
          <w:p w:rsidR="002B103E" w:rsidRDefault="001A0273">
            <w:pPr>
              <w:jc w:val="center"/>
            </w:pPr>
            <w:r>
              <w:rPr>
                <w:color w:val="000000"/>
                <w:sz w:val="24"/>
                <w:szCs w:val="24"/>
              </w:rPr>
              <w:t>五粮液</w:t>
            </w:r>
          </w:p>
        </w:tc>
        <w:tc>
          <w:tcPr>
            <w:tcW w:w="1334" w:type="dxa"/>
            <w:vAlign w:val="center"/>
          </w:tcPr>
          <w:p w:rsidR="002B103E" w:rsidRDefault="001A0273">
            <w:pPr>
              <w:jc w:val="right"/>
            </w:pPr>
            <w:r>
              <w:rPr>
                <w:color w:val="000000"/>
                <w:sz w:val="24"/>
                <w:szCs w:val="24"/>
              </w:rPr>
              <w:t>1,645,719</w:t>
            </w:r>
          </w:p>
        </w:tc>
        <w:tc>
          <w:tcPr>
            <w:tcW w:w="1924" w:type="dxa"/>
            <w:vAlign w:val="center"/>
          </w:tcPr>
          <w:p w:rsidR="002B103E" w:rsidRDefault="001A0273">
            <w:pPr>
              <w:jc w:val="right"/>
            </w:pPr>
            <w:r>
              <w:rPr>
                <w:color w:val="000000"/>
                <w:sz w:val="24"/>
                <w:szCs w:val="24"/>
              </w:rPr>
              <w:t>111,826,606.05</w:t>
            </w:r>
          </w:p>
        </w:tc>
        <w:tc>
          <w:tcPr>
            <w:tcW w:w="1644" w:type="dxa"/>
            <w:vAlign w:val="center"/>
          </w:tcPr>
          <w:p w:rsidR="002B103E" w:rsidRDefault="001A0273">
            <w:pPr>
              <w:jc w:val="right"/>
            </w:pPr>
            <w:r>
              <w:rPr>
                <w:color w:val="000000"/>
                <w:sz w:val="24"/>
                <w:szCs w:val="24"/>
              </w:rPr>
              <w:t>7.13</w:t>
            </w:r>
          </w:p>
        </w:tc>
      </w:tr>
      <w:tr w:rsidR="002B103E">
        <w:trPr>
          <w:jc w:val="center"/>
        </w:trPr>
        <w:tc>
          <w:tcPr>
            <w:tcW w:w="855" w:type="dxa"/>
            <w:vAlign w:val="center"/>
          </w:tcPr>
          <w:p w:rsidR="002B103E" w:rsidRDefault="001A0273">
            <w:pPr>
              <w:jc w:val="center"/>
            </w:pPr>
            <w:r>
              <w:rPr>
                <w:color w:val="000000"/>
                <w:sz w:val="24"/>
                <w:szCs w:val="24"/>
              </w:rPr>
              <w:t>5</w:t>
            </w:r>
          </w:p>
        </w:tc>
        <w:tc>
          <w:tcPr>
            <w:tcW w:w="1334" w:type="dxa"/>
            <w:vAlign w:val="center"/>
          </w:tcPr>
          <w:p w:rsidR="002B103E" w:rsidRDefault="001A0273">
            <w:pPr>
              <w:jc w:val="center"/>
            </w:pPr>
            <w:r>
              <w:rPr>
                <w:color w:val="000000"/>
                <w:sz w:val="24"/>
                <w:szCs w:val="24"/>
              </w:rPr>
              <w:t>600048</w:t>
            </w:r>
          </w:p>
        </w:tc>
        <w:tc>
          <w:tcPr>
            <w:tcW w:w="1777" w:type="dxa"/>
            <w:vAlign w:val="center"/>
          </w:tcPr>
          <w:p w:rsidR="002B103E" w:rsidRDefault="001A0273">
            <w:pPr>
              <w:jc w:val="center"/>
            </w:pPr>
            <w:r>
              <w:rPr>
                <w:color w:val="000000"/>
                <w:sz w:val="24"/>
                <w:szCs w:val="24"/>
              </w:rPr>
              <w:t>保利地产</w:t>
            </w:r>
          </w:p>
        </w:tc>
        <w:tc>
          <w:tcPr>
            <w:tcW w:w="1334" w:type="dxa"/>
            <w:vAlign w:val="center"/>
          </w:tcPr>
          <w:p w:rsidR="002B103E" w:rsidRDefault="001A0273">
            <w:pPr>
              <w:jc w:val="right"/>
            </w:pPr>
            <w:r>
              <w:rPr>
                <w:color w:val="000000"/>
                <w:sz w:val="24"/>
                <w:szCs w:val="24"/>
              </w:rPr>
              <w:t>8,841,028</w:t>
            </w:r>
          </w:p>
        </w:tc>
        <w:tc>
          <w:tcPr>
            <w:tcW w:w="1924" w:type="dxa"/>
            <w:vAlign w:val="center"/>
          </w:tcPr>
          <w:p w:rsidR="002B103E" w:rsidRDefault="001A0273">
            <w:pPr>
              <w:jc w:val="right"/>
            </w:pPr>
            <w:r>
              <w:rPr>
                <w:color w:val="000000"/>
                <w:sz w:val="24"/>
                <w:szCs w:val="24"/>
              </w:rPr>
              <w:t>107,595,310.76</w:t>
            </w:r>
          </w:p>
        </w:tc>
        <w:tc>
          <w:tcPr>
            <w:tcW w:w="1644" w:type="dxa"/>
            <w:vAlign w:val="center"/>
          </w:tcPr>
          <w:p w:rsidR="002B103E" w:rsidRDefault="001A0273">
            <w:pPr>
              <w:jc w:val="right"/>
            </w:pPr>
            <w:r>
              <w:rPr>
                <w:color w:val="000000"/>
                <w:sz w:val="24"/>
                <w:szCs w:val="24"/>
              </w:rPr>
              <w:t>6.86</w:t>
            </w:r>
          </w:p>
        </w:tc>
      </w:tr>
      <w:tr w:rsidR="002B103E">
        <w:trPr>
          <w:jc w:val="center"/>
        </w:trPr>
        <w:tc>
          <w:tcPr>
            <w:tcW w:w="855" w:type="dxa"/>
            <w:vAlign w:val="center"/>
          </w:tcPr>
          <w:p w:rsidR="002B103E" w:rsidRDefault="001A0273">
            <w:pPr>
              <w:jc w:val="center"/>
            </w:pPr>
            <w:r>
              <w:rPr>
                <w:color w:val="000000"/>
                <w:sz w:val="24"/>
                <w:szCs w:val="24"/>
              </w:rPr>
              <w:t>6</w:t>
            </w:r>
          </w:p>
        </w:tc>
        <w:tc>
          <w:tcPr>
            <w:tcW w:w="1334" w:type="dxa"/>
            <w:vAlign w:val="center"/>
          </w:tcPr>
          <w:p w:rsidR="002B103E" w:rsidRDefault="001A0273">
            <w:pPr>
              <w:jc w:val="center"/>
            </w:pPr>
            <w:r>
              <w:rPr>
                <w:color w:val="000000"/>
                <w:sz w:val="24"/>
                <w:szCs w:val="24"/>
              </w:rPr>
              <w:t>000002</w:t>
            </w:r>
          </w:p>
        </w:tc>
        <w:tc>
          <w:tcPr>
            <w:tcW w:w="1777" w:type="dxa"/>
            <w:vAlign w:val="center"/>
          </w:tcPr>
          <w:p w:rsidR="002B103E" w:rsidRDefault="001A0273">
            <w:pPr>
              <w:jc w:val="center"/>
            </w:pPr>
            <w:r>
              <w:rPr>
                <w:color w:val="000000"/>
                <w:sz w:val="24"/>
                <w:szCs w:val="24"/>
              </w:rPr>
              <w:t>万科</w:t>
            </w:r>
            <w:r>
              <w:rPr>
                <w:color w:val="000000"/>
                <w:sz w:val="24"/>
                <w:szCs w:val="24"/>
              </w:rPr>
              <w:t>A</w:t>
            </w:r>
          </w:p>
        </w:tc>
        <w:tc>
          <w:tcPr>
            <w:tcW w:w="1334" w:type="dxa"/>
            <w:vAlign w:val="center"/>
          </w:tcPr>
          <w:p w:rsidR="002B103E" w:rsidRDefault="001A0273">
            <w:pPr>
              <w:jc w:val="right"/>
            </w:pPr>
            <w:r>
              <w:rPr>
                <w:color w:val="000000"/>
                <w:sz w:val="24"/>
                <w:szCs w:val="24"/>
              </w:rPr>
              <w:t>4,363,089</w:t>
            </w:r>
          </w:p>
        </w:tc>
        <w:tc>
          <w:tcPr>
            <w:tcW w:w="1924" w:type="dxa"/>
            <w:vAlign w:val="center"/>
          </w:tcPr>
          <w:p w:rsidR="002B103E" w:rsidRDefault="001A0273">
            <w:pPr>
              <w:jc w:val="right"/>
            </w:pPr>
            <w:r>
              <w:rPr>
                <w:color w:val="000000"/>
                <w:sz w:val="24"/>
                <w:szCs w:val="24"/>
              </w:rPr>
              <w:t>106,023,062.70</w:t>
            </w:r>
          </w:p>
        </w:tc>
        <w:tc>
          <w:tcPr>
            <w:tcW w:w="1644" w:type="dxa"/>
            <w:vAlign w:val="center"/>
          </w:tcPr>
          <w:p w:rsidR="002B103E" w:rsidRDefault="001A0273">
            <w:pPr>
              <w:jc w:val="right"/>
            </w:pPr>
            <w:r>
              <w:rPr>
                <w:color w:val="000000"/>
                <w:sz w:val="24"/>
                <w:szCs w:val="24"/>
              </w:rPr>
              <w:t>6.76</w:t>
            </w:r>
          </w:p>
        </w:tc>
      </w:tr>
      <w:tr w:rsidR="002B103E">
        <w:trPr>
          <w:jc w:val="center"/>
        </w:trPr>
        <w:tc>
          <w:tcPr>
            <w:tcW w:w="855" w:type="dxa"/>
            <w:vAlign w:val="center"/>
          </w:tcPr>
          <w:p w:rsidR="002B103E" w:rsidRDefault="001A0273">
            <w:pPr>
              <w:jc w:val="center"/>
            </w:pPr>
            <w:r>
              <w:rPr>
                <w:color w:val="000000"/>
                <w:sz w:val="24"/>
                <w:szCs w:val="24"/>
              </w:rPr>
              <w:t>7</w:t>
            </w:r>
          </w:p>
        </w:tc>
        <w:tc>
          <w:tcPr>
            <w:tcW w:w="1334" w:type="dxa"/>
            <w:vAlign w:val="center"/>
          </w:tcPr>
          <w:p w:rsidR="002B103E" w:rsidRDefault="001A0273">
            <w:pPr>
              <w:jc w:val="center"/>
            </w:pPr>
            <w:r>
              <w:rPr>
                <w:color w:val="000000"/>
                <w:sz w:val="24"/>
                <w:szCs w:val="24"/>
              </w:rPr>
              <w:t>002304</w:t>
            </w:r>
          </w:p>
        </w:tc>
        <w:tc>
          <w:tcPr>
            <w:tcW w:w="1777" w:type="dxa"/>
            <w:vAlign w:val="center"/>
          </w:tcPr>
          <w:p w:rsidR="002B103E" w:rsidRDefault="001A0273">
            <w:pPr>
              <w:jc w:val="center"/>
            </w:pPr>
            <w:r>
              <w:rPr>
                <w:color w:val="000000"/>
                <w:sz w:val="24"/>
                <w:szCs w:val="24"/>
              </w:rPr>
              <w:t>洋河股份</w:t>
            </w:r>
          </w:p>
        </w:tc>
        <w:tc>
          <w:tcPr>
            <w:tcW w:w="1334" w:type="dxa"/>
            <w:vAlign w:val="center"/>
          </w:tcPr>
          <w:p w:rsidR="002B103E" w:rsidRDefault="001A0273">
            <w:pPr>
              <w:jc w:val="right"/>
            </w:pPr>
            <w:r>
              <w:rPr>
                <w:color w:val="000000"/>
                <w:sz w:val="24"/>
                <w:szCs w:val="24"/>
              </w:rPr>
              <w:t>823,044</w:t>
            </w:r>
          </w:p>
        </w:tc>
        <w:tc>
          <w:tcPr>
            <w:tcW w:w="1924" w:type="dxa"/>
            <w:vAlign w:val="center"/>
          </w:tcPr>
          <w:p w:rsidR="002B103E" w:rsidRDefault="001A0273">
            <w:pPr>
              <w:jc w:val="right"/>
            </w:pPr>
            <w:r>
              <w:rPr>
                <w:color w:val="000000"/>
                <w:sz w:val="24"/>
                <w:szCs w:val="24"/>
              </w:rPr>
              <w:t>105,349,632.00</w:t>
            </w:r>
          </w:p>
        </w:tc>
        <w:tc>
          <w:tcPr>
            <w:tcW w:w="1644" w:type="dxa"/>
            <w:vAlign w:val="center"/>
          </w:tcPr>
          <w:p w:rsidR="002B103E" w:rsidRDefault="001A0273">
            <w:pPr>
              <w:jc w:val="right"/>
            </w:pPr>
            <w:r>
              <w:rPr>
                <w:color w:val="000000"/>
                <w:sz w:val="24"/>
                <w:szCs w:val="24"/>
              </w:rPr>
              <w:t>6.71</w:t>
            </w:r>
          </w:p>
        </w:tc>
      </w:tr>
      <w:tr w:rsidR="002B103E">
        <w:trPr>
          <w:jc w:val="center"/>
        </w:trPr>
        <w:tc>
          <w:tcPr>
            <w:tcW w:w="855" w:type="dxa"/>
            <w:vAlign w:val="center"/>
          </w:tcPr>
          <w:p w:rsidR="002B103E" w:rsidRDefault="001A0273">
            <w:pPr>
              <w:jc w:val="center"/>
            </w:pPr>
            <w:r>
              <w:rPr>
                <w:color w:val="000000"/>
                <w:sz w:val="24"/>
                <w:szCs w:val="24"/>
              </w:rPr>
              <w:t>8</w:t>
            </w:r>
          </w:p>
        </w:tc>
        <w:tc>
          <w:tcPr>
            <w:tcW w:w="1334" w:type="dxa"/>
            <w:vAlign w:val="center"/>
          </w:tcPr>
          <w:p w:rsidR="002B103E" w:rsidRDefault="001A0273">
            <w:pPr>
              <w:jc w:val="center"/>
            </w:pPr>
            <w:r>
              <w:rPr>
                <w:color w:val="000000"/>
                <w:sz w:val="24"/>
                <w:szCs w:val="24"/>
              </w:rPr>
              <w:t>600559</w:t>
            </w:r>
          </w:p>
        </w:tc>
        <w:tc>
          <w:tcPr>
            <w:tcW w:w="1777" w:type="dxa"/>
            <w:vAlign w:val="center"/>
          </w:tcPr>
          <w:p w:rsidR="002B103E" w:rsidRDefault="001A0273">
            <w:pPr>
              <w:jc w:val="center"/>
            </w:pPr>
            <w:r>
              <w:rPr>
                <w:color w:val="000000"/>
                <w:sz w:val="24"/>
                <w:szCs w:val="24"/>
              </w:rPr>
              <w:t>老白干酒</w:t>
            </w:r>
          </w:p>
        </w:tc>
        <w:tc>
          <w:tcPr>
            <w:tcW w:w="1334" w:type="dxa"/>
            <w:vAlign w:val="center"/>
          </w:tcPr>
          <w:p w:rsidR="002B103E" w:rsidRDefault="001A0273">
            <w:pPr>
              <w:jc w:val="right"/>
            </w:pPr>
            <w:r>
              <w:rPr>
                <w:color w:val="000000"/>
                <w:sz w:val="24"/>
                <w:szCs w:val="24"/>
              </w:rPr>
              <w:t>4,011,497</w:t>
            </w:r>
          </w:p>
        </w:tc>
        <w:tc>
          <w:tcPr>
            <w:tcW w:w="1924" w:type="dxa"/>
            <w:vAlign w:val="center"/>
          </w:tcPr>
          <w:p w:rsidR="002B103E" w:rsidRDefault="001A0273">
            <w:pPr>
              <w:jc w:val="right"/>
            </w:pPr>
            <w:r>
              <w:rPr>
                <w:color w:val="000000"/>
                <w:sz w:val="24"/>
                <w:szCs w:val="24"/>
              </w:rPr>
              <w:t>73,169,705.28</w:t>
            </w:r>
          </w:p>
        </w:tc>
        <w:tc>
          <w:tcPr>
            <w:tcW w:w="1644" w:type="dxa"/>
            <w:vAlign w:val="center"/>
          </w:tcPr>
          <w:p w:rsidR="002B103E" w:rsidRDefault="001A0273">
            <w:pPr>
              <w:jc w:val="right"/>
            </w:pPr>
            <w:r>
              <w:rPr>
                <w:color w:val="000000"/>
                <w:sz w:val="24"/>
                <w:szCs w:val="24"/>
              </w:rPr>
              <w:t>4.66</w:t>
            </w:r>
          </w:p>
        </w:tc>
      </w:tr>
      <w:tr w:rsidR="002B103E">
        <w:trPr>
          <w:jc w:val="center"/>
        </w:trPr>
        <w:tc>
          <w:tcPr>
            <w:tcW w:w="855" w:type="dxa"/>
            <w:vAlign w:val="center"/>
          </w:tcPr>
          <w:p w:rsidR="002B103E" w:rsidRDefault="001A0273">
            <w:pPr>
              <w:jc w:val="center"/>
            </w:pPr>
            <w:r>
              <w:rPr>
                <w:color w:val="000000"/>
                <w:sz w:val="24"/>
                <w:szCs w:val="24"/>
              </w:rPr>
              <w:t>9</w:t>
            </w:r>
          </w:p>
        </w:tc>
        <w:tc>
          <w:tcPr>
            <w:tcW w:w="1334" w:type="dxa"/>
            <w:vAlign w:val="center"/>
          </w:tcPr>
          <w:p w:rsidR="002B103E" w:rsidRDefault="001A0273">
            <w:pPr>
              <w:jc w:val="center"/>
            </w:pPr>
            <w:r>
              <w:rPr>
                <w:color w:val="000000"/>
                <w:sz w:val="24"/>
                <w:szCs w:val="24"/>
              </w:rPr>
              <w:t>601155</w:t>
            </w:r>
          </w:p>
        </w:tc>
        <w:tc>
          <w:tcPr>
            <w:tcW w:w="1777" w:type="dxa"/>
            <w:vAlign w:val="center"/>
          </w:tcPr>
          <w:p w:rsidR="002B103E" w:rsidRDefault="001A0273">
            <w:pPr>
              <w:jc w:val="center"/>
            </w:pPr>
            <w:r>
              <w:rPr>
                <w:color w:val="000000"/>
                <w:sz w:val="24"/>
                <w:szCs w:val="24"/>
              </w:rPr>
              <w:t>新城控股</w:t>
            </w:r>
          </w:p>
        </w:tc>
        <w:tc>
          <w:tcPr>
            <w:tcW w:w="1334" w:type="dxa"/>
            <w:vAlign w:val="center"/>
          </w:tcPr>
          <w:p w:rsidR="002B103E" w:rsidRDefault="001A0273">
            <w:pPr>
              <w:jc w:val="right"/>
            </w:pPr>
            <w:r>
              <w:rPr>
                <w:color w:val="000000"/>
                <w:sz w:val="24"/>
                <w:szCs w:val="24"/>
              </w:rPr>
              <w:t>2,077,400</w:t>
            </w:r>
          </w:p>
        </w:tc>
        <w:tc>
          <w:tcPr>
            <w:tcW w:w="1924" w:type="dxa"/>
            <w:vAlign w:val="center"/>
          </w:tcPr>
          <w:p w:rsidR="002B103E" w:rsidRDefault="001A0273">
            <w:pPr>
              <w:jc w:val="right"/>
            </w:pPr>
            <w:r>
              <w:rPr>
                <w:color w:val="000000"/>
                <w:sz w:val="24"/>
                <w:szCs w:val="24"/>
              </w:rPr>
              <w:t>54,407,106.00</w:t>
            </w:r>
          </w:p>
        </w:tc>
        <w:tc>
          <w:tcPr>
            <w:tcW w:w="1644" w:type="dxa"/>
            <w:vAlign w:val="center"/>
          </w:tcPr>
          <w:p w:rsidR="002B103E" w:rsidRDefault="001A0273">
            <w:pPr>
              <w:jc w:val="right"/>
            </w:pPr>
            <w:r>
              <w:rPr>
                <w:color w:val="000000"/>
                <w:sz w:val="24"/>
                <w:szCs w:val="24"/>
              </w:rPr>
              <w:t>3.47</w:t>
            </w:r>
          </w:p>
        </w:tc>
      </w:tr>
      <w:tr w:rsidR="002B103E">
        <w:trPr>
          <w:jc w:val="center"/>
        </w:trPr>
        <w:tc>
          <w:tcPr>
            <w:tcW w:w="855" w:type="dxa"/>
            <w:vAlign w:val="center"/>
          </w:tcPr>
          <w:p w:rsidR="002B103E" w:rsidRDefault="001A0273">
            <w:pPr>
              <w:jc w:val="center"/>
            </w:pPr>
            <w:r>
              <w:rPr>
                <w:color w:val="000000"/>
                <w:sz w:val="24"/>
                <w:szCs w:val="24"/>
              </w:rPr>
              <w:t>10</w:t>
            </w:r>
          </w:p>
        </w:tc>
        <w:tc>
          <w:tcPr>
            <w:tcW w:w="1334" w:type="dxa"/>
            <w:vAlign w:val="center"/>
          </w:tcPr>
          <w:p w:rsidR="002B103E" w:rsidRDefault="001A0273">
            <w:pPr>
              <w:jc w:val="center"/>
            </w:pPr>
            <w:r>
              <w:rPr>
                <w:color w:val="000000"/>
                <w:sz w:val="24"/>
                <w:szCs w:val="24"/>
              </w:rPr>
              <w:t>000596</w:t>
            </w:r>
          </w:p>
        </w:tc>
        <w:tc>
          <w:tcPr>
            <w:tcW w:w="1777" w:type="dxa"/>
            <w:vAlign w:val="center"/>
          </w:tcPr>
          <w:p w:rsidR="002B103E" w:rsidRDefault="001A0273">
            <w:pPr>
              <w:jc w:val="center"/>
            </w:pPr>
            <w:r>
              <w:rPr>
                <w:color w:val="000000"/>
                <w:sz w:val="24"/>
                <w:szCs w:val="24"/>
              </w:rPr>
              <w:t>古井贡酒</w:t>
            </w:r>
          </w:p>
        </w:tc>
        <w:tc>
          <w:tcPr>
            <w:tcW w:w="1334" w:type="dxa"/>
            <w:vAlign w:val="center"/>
          </w:tcPr>
          <w:p w:rsidR="002B103E" w:rsidRDefault="001A0273">
            <w:pPr>
              <w:jc w:val="right"/>
            </w:pPr>
            <w:r>
              <w:rPr>
                <w:color w:val="000000"/>
                <w:sz w:val="24"/>
                <w:szCs w:val="24"/>
              </w:rPr>
              <w:t>575,555</w:t>
            </w:r>
          </w:p>
        </w:tc>
        <w:tc>
          <w:tcPr>
            <w:tcW w:w="1924" w:type="dxa"/>
            <w:vAlign w:val="center"/>
          </w:tcPr>
          <w:p w:rsidR="002B103E" w:rsidRDefault="001A0273">
            <w:pPr>
              <w:jc w:val="right"/>
            </w:pPr>
            <w:r>
              <w:rPr>
                <w:color w:val="000000"/>
                <w:sz w:val="24"/>
                <w:szCs w:val="24"/>
              </w:rPr>
              <w:t>47,903,442.65</w:t>
            </w:r>
          </w:p>
        </w:tc>
        <w:tc>
          <w:tcPr>
            <w:tcW w:w="1644" w:type="dxa"/>
            <w:vAlign w:val="center"/>
          </w:tcPr>
          <w:p w:rsidR="002B103E" w:rsidRDefault="001A0273">
            <w:pPr>
              <w:jc w:val="right"/>
            </w:pPr>
            <w:r>
              <w:rPr>
                <w:color w:val="000000"/>
                <w:sz w:val="24"/>
                <w:szCs w:val="24"/>
              </w:rPr>
              <w:t>3.05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605,598.07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70,819.20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2,075,341.78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2,751,759.05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1,794,034,603.00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26,708,458.85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79,187,741.13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1,741,555,320.72</w:t>
            </w:r>
          </w:p>
        </w:tc>
      </w:tr>
    </w:tbl>
    <w:p w:rsidR="002B103E" w:rsidRDefault="001A027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B103E" w:rsidRDefault="001A027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、中国证监会准予交银施罗德品质升级混合型证券投资基金募集注册的文件；</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、《交银施罗德品质升级混合型证券投资基金基金合同》；</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、《交银施罗德品质升级混合型证券投资基金招募说明书》；</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、《交银施罗德品质升级混合型证券投资基金托管协议》；</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、关于申请募集注册交银施罗德品质升级混合型证券投资基金的法律意见书；</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B103E" w:rsidRDefault="001A027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、报告期内交银施罗德品质升级混合型证券投资基金在指定报刊上各项公告的原稿。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B103E" w:rsidRDefault="001A027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lastRenderedPageBreak/>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A0273">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A0273">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交银施罗德品质升级混合型证券投资基金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0273"/>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03E"/>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653A27-EE3C-4CE5-BC70-F2198656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DD2B-B79F-4ECC-8CEF-F2EA171B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贾金勇</cp:lastModifiedBy>
  <cp:revision>579</cp:revision>
  <dcterms:created xsi:type="dcterms:W3CDTF">2012-10-16T06:07:00Z</dcterms:created>
  <dcterms:modified xsi:type="dcterms:W3CDTF">2018-10-17T12:35:00Z</dcterms:modified>
</cp:coreProperties>
</file>