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交银施罗德天运宝货币市场基金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兴业银行股份有限公司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9"/>
          <w:headerReference w:type="default" r:id="rId10"/>
          <w:footerReference w:type="even" r:id="rId11"/>
          <w:footerReference w:type="default" r:id="rId12"/>
          <w:headerReference w:type="first" r:id="rId13"/>
          <w:footerReference w:type="first" r:id="rId14"/>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二〇一八年十月二十六日</w:t>
      </w:r>
    </w:p>
    <w:p w:rsidR="00902E3F" w:rsidRPr="000E4C40" w:rsidRDefault="00902E3F" w:rsidP="0086507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0A2EFF" w:rsidRDefault="00AB1921">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A2EFF" w:rsidRDefault="00AB1921">
      <w:pPr>
        <w:adjustRightInd w:val="0"/>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2018</w:t>
      </w:r>
      <w:r>
        <w:rPr>
          <w:color w:val="000000"/>
          <w:sz w:val="24"/>
        </w:rPr>
        <w:t>年</w:t>
      </w:r>
      <w:r>
        <w:rPr>
          <w:color w:val="000000"/>
          <w:sz w:val="24"/>
        </w:rPr>
        <w:t>10</w:t>
      </w:r>
      <w:r>
        <w:rPr>
          <w:color w:val="000000"/>
          <w:sz w:val="24"/>
        </w:rPr>
        <w:t>月</w:t>
      </w:r>
      <w:r>
        <w:rPr>
          <w:color w:val="000000"/>
          <w:sz w:val="24"/>
        </w:rPr>
        <w:t>25</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A2EFF" w:rsidRDefault="00AB1921">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A2EFF" w:rsidRDefault="00AB1921">
      <w:pPr>
        <w:adjustRightInd w:val="0"/>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0A2EFF" w:rsidRDefault="00AB1921">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6507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交银天运</w:t>
            </w:r>
            <w:proofErr w:type="gramStart"/>
            <w:r w:rsidRPr="000E4C40">
              <w:rPr>
                <w:color w:val="000000"/>
                <w:kern w:val="0"/>
                <w:sz w:val="24"/>
              </w:rPr>
              <w:t>宝货币</w:t>
            </w:r>
            <w:proofErr w:type="gramEnd"/>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005002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2017</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29</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203,003,990.51</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交银天运</w:t>
            </w:r>
            <w:proofErr w:type="gramStart"/>
            <w:r w:rsidRPr="000E4C40">
              <w:rPr>
                <w:sz w:val="24"/>
              </w:rPr>
              <w:t>宝货币</w:t>
            </w:r>
            <w:proofErr w:type="gramEnd"/>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交银天运</w:t>
            </w:r>
            <w:proofErr w:type="gramStart"/>
            <w:r w:rsidRPr="000E4C40">
              <w:rPr>
                <w:sz w:val="24"/>
              </w:rPr>
              <w:t>宝货币</w:t>
            </w:r>
            <w:proofErr w:type="gramEnd"/>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005002</w:t>
            </w:r>
          </w:p>
        </w:tc>
        <w:tc>
          <w:tcPr>
            <w:tcW w:w="2923" w:type="dxa"/>
            <w:vAlign w:val="center"/>
          </w:tcPr>
          <w:p w:rsidR="00A805BC" w:rsidRPr="000E4C40" w:rsidRDefault="00A805BC" w:rsidP="00281564">
            <w:pPr>
              <w:spacing w:before="29" w:line="288" w:lineRule="auto"/>
              <w:jc w:val="left"/>
              <w:rPr>
                <w:sz w:val="24"/>
              </w:rPr>
            </w:pPr>
            <w:r w:rsidRPr="000E4C40">
              <w:rPr>
                <w:sz w:val="24"/>
              </w:rPr>
              <w:t>005003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11,465,260.21</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191,538,730.30</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6507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交银天运</w:t>
            </w:r>
            <w:proofErr w:type="gramStart"/>
            <w:r w:rsidRPr="000E4C40">
              <w:rPr>
                <w:sz w:val="24"/>
              </w:rPr>
              <w:t>宝货币</w:t>
            </w:r>
            <w:proofErr w:type="gramEnd"/>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交银天运</w:t>
            </w:r>
            <w:proofErr w:type="gramStart"/>
            <w:r w:rsidRPr="000E4C40">
              <w:rPr>
                <w:sz w:val="24"/>
              </w:rPr>
              <w:t>宝货币</w:t>
            </w:r>
            <w:proofErr w:type="gramEnd"/>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97,937.16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1,683,863.58</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97,937.16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1,683,863.58</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11,465,260.21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191,538,730.30</w:t>
            </w:r>
          </w:p>
        </w:tc>
      </w:tr>
    </w:tbl>
    <w:p w:rsidR="000A2EFF" w:rsidRDefault="00AB192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0A2EFF" w:rsidRDefault="00AB1921">
      <w:pPr>
        <w:autoSpaceDE w:val="0"/>
        <w:autoSpaceDN w:val="0"/>
        <w:adjustRightInd w:val="0"/>
        <w:spacing w:before="29" w:line="288" w:lineRule="auto"/>
        <w:jc w:val="left"/>
        <w:rPr>
          <w:color w:val="000000"/>
          <w:sz w:val="24"/>
        </w:rPr>
      </w:pPr>
      <w:r>
        <w:rPr>
          <w:color w:val="000000"/>
          <w:sz w:val="24"/>
        </w:rPr>
        <w:t xml:space="preserve">   </w:t>
      </w:r>
      <w:r w:rsidR="00865074">
        <w:rPr>
          <w:rFonts w:hint="eastAsia"/>
          <w:color w:val="000000"/>
          <w:sz w:val="24"/>
        </w:rPr>
        <w:t xml:space="preserve"> </w:t>
      </w:r>
      <w:r>
        <w:rPr>
          <w:color w:val="000000"/>
          <w:sz w:val="24"/>
        </w:rPr>
        <w:t>2</w:t>
      </w:r>
      <w:r>
        <w:rPr>
          <w:color w:val="00000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Pr>
          <w:color w:val="000000"/>
          <w:sz w:val="24"/>
        </w:rPr>
        <w:t>余成本</w:t>
      </w:r>
      <w:proofErr w:type="gramEnd"/>
      <w:r>
        <w:rPr>
          <w:color w:val="000000"/>
          <w:sz w:val="24"/>
        </w:rPr>
        <w:t>法核算，因此，公允价值变动收益为零，本期已实现收益和本期利润的金额相等。</w:t>
      </w:r>
    </w:p>
    <w:p w:rsidR="00893021" w:rsidRPr="000E4C40" w:rsidRDefault="00893021" w:rsidP="00281564">
      <w:pPr>
        <w:autoSpaceDE w:val="0"/>
        <w:autoSpaceDN w:val="0"/>
        <w:adjustRightInd w:val="0"/>
        <w:spacing w:before="29" w:line="288" w:lineRule="auto"/>
        <w:jc w:val="left"/>
        <w:rPr>
          <w:color w:val="000000"/>
          <w:sz w:val="24"/>
        </w:rPr>
      </w:pP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交银天运</w:t>
      </w:r>
      <w:proofErr w:type="gramStart"/>
      <w:r w:rsidR="00834F7F" w:rsidRPr="000E4C40">
        <w:rPr>
          <w:rFonts w:ascii="Times New Roman" w:hAnsi="Times New Roman"/>
          <w:b/>
          <w:color w:val="auto"/>
        </w:rPr>
        <w:t>宝货币</w:t>
      </w:r>
      <w:proofErr w:type="gramEnd"/>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lastRenderedPageBreak/>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0A2EFF">
        <w:trPr>
          <w:jc w:val="center"/>
        </w:trPr>
        <w:tc>
          <w:tcPr>
            <w:tcW w:w="1266" w:type="dxa"/>
            <w:vAlign w:val="center"/>
          </w:tcPr>
          <w:p w:rsidR="000A2EFF" w:rsidRDefault="00AB1921">
            <w:pPr>
              <w:jc w:val="left"/>
            </w:pPr>
            <w:r>
              <w:rPr>
                <w:color w:val="000000"/>
              </w:rPr>
              <w:lastRenderedPageBreak/>
              <w:t>过去三个月</w:t>
            </w:r>
          </w:p>
        </w:tc>
        <w:tc>
          <w:tcPr>
            <w:tcW w:w="1267" w:type="dxa"/>
            <w:vAlign w:val="center"/>
          </w:tcPr>
          <w:p w:rsidR="000A2EFF" w:rsidRDefault="00AB1921">
            <w:pPr>
              <w:jc w:val="center"/>
            </w:pPr>
            <w:r>
              <w:rPr>
                <w:color w:val="000000"/>
              </w:rPr>
              <w:t>0.7803%</w:t>
            </w:r>
          </w:p>
        </w:tc>
        <w:tc>
          <w:tcPr>
            <w:tcW w:w="1267" w:type="dxa"/>
            <w:vAlign w:val="center"/>
          </w:tcPr>
          <w:p w:rsidR="000A2EFF" w:rsidRDefault="00AB1921">
            <w:pPr>
              <w:jc w:val="center"/>
            </w:pPr>
            <w:r>
              <w:rPr>
                <w:color w:val="000000"/>
              </w:rPr>
              <w:t>0.0017%</w:t>
            </w:r>
          </w:p>
        </w:tc>
        <w:tc>
          <w:tcPr>
            <w:tcW w:w="1267" w:type="dxa"/>
            <w:vAlign w:val="center"/>
          </w:tcPr>
          <w:p w:rsidR="000A2EFF" w:rsidRDefault="00AB1921">
            <w:pPr>
              <w:jc w:val="center"/>
            </w:pPr>
            <w:r>
              <w:rPr>
                <w:color w:val="000000"/>
              </w:rPr>
              <w:t>0.0882%</w:t>
            </w:r>
          </w:p>
        </w:tc>
        <w:tc>
          <w:tcPr>
            <w:tcW w:w="1267" w:type="dxa"/>
            <w:vAlign w:val="center"/>
          </w:tcPr>
          <w:p w:rsidR="000A2EFF" w:rsidRDefault="00AB1921">
            <w:pPr>
              <w:jc w:val="center"/>
            </w:pPr>
            <w:r>
              <w:rPr>
                <w:color w:val="000000"/>
              </w:rPr>
              <w:t>0.0000%</w:t>
            </w:r>
          </w:p>
        </w:tc>
        <w:tc>
          <w:tcPr>
            <w:tcW w:w="1267" w:type="dxa"/>
            <w:vAlign w:val="center"/>
          </w:tcPr>
          <w:p w:rsidR="000A2EFF" w:rsidRDefault="00AB1921">
            <w:pPr>
              <w:jc w:val="center"/>
            </w:pPr>
            <w:r>
              <w:rPr>
                <w:color w:val="000000"/>
              </w:rPr>
              <w:t>0.6921%</w:t>
            </w:r>
          </w:p>
        </w:tc>
        <w:tc>
          <w:tcPr>
            <w:tcW w:w="1267" w:type="dxa"/>
            <w:vAlign w:val="center"/>
          </w:tcPr>
          <w:p w:rsidR="000A2EFF" w:rsidRDefault="00AB1921">
            <w:pPr>
              <w:jc w:val="center"/>
            </w:pPr>
            <w:r>
              <w:rPr>
                <w:color w:val="000000"/>
              </w:rPr>
              <w:t>0.0017%</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交银天运</w:t>
      </w:r>
      <w:proofErr w:type="gramStart"/>
      <w:r w:rsidR="000B2044" w:rsidRPr="000E4C40">
        <w:rPr>
          <w:rFonts w:ascii="Times New Roman" w:hAnsi="Times New Roman"/>
          <w:b/>
          <w:color w:val="000000"/>
        </w:rPr>
        <w:t>宝货币</w:t>
      </w:r>
      <w:proofErr w:type="gramEnd"/>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0A2EFF">
        <w:trPr>
          <w:jc w:val="center"/>
        </w:trPr>
        <w:tc>
          <w:tcPr>
            <w:tcW w:w="1266" w:type="dxa"/>
            <w:vAlign w:val="center"/>
          </w:tcPr>
          <w:p w:rsidR="000A2EFF" w:rsidRDefault="00AB1921">
            <w:pPr>
              <w:jc w:val="left"/>
            </w:pPr>
            <w:r>
              <w:rPr>
                <w:color w:val="000000"/>
              </w:rPr>
              <w:t>过去三个月</w:t>
            </w:r>
          </w:p>
        </w:tc>
        <w:tc>
          <w:tcPr>
            <w:tcW w:w="1267" w:type="dxa"/>
            <w:vAlign w:val="center"/>
          </w:tcPr>
          <w:p w:rsidR="000A2EFF" w:rsidRDefault="00AB1921">
            <w:pPr>
              <w:jc w:val="center"/>
            </w:pPr>
            <w:r>
              <w:rPr>
                <w:color w:val="000000"/>
              </w:rPr>
              <w:t>0.8389%</w:t>
            </w:r>
          </w:p>
        </w:tc>
        <w:tc>
          <w:tcPr>
            <w:tcW w:w="1267" w:type="dxa"/>
            <w:vAlign w:val="center"/>
          </w:tcPr>
          <w:p w:rsidR="000A2EFF" w:rsidRDefault="00AB1921">
            <w:pPr>
              <w:jc w:val="center"/>
            </w:pPr>
            <w:r>
              <w:rPr>
                <w:color w:val="000000"/>
              </w:rPr>
              <w:t>0.0017%</w:t>
            </w:r>
          </w:p>
        </w:tc>
        <w:tc>
          <w:tcPr>
            <w:tcW w:w="1267" w:type="dxa"/>
            <w:vAlign w:val="center"/>
          </w:tcPr>
          <w:p w:rsidR="000A2EFF" w:rsidRDefault="00AB1921">
            <w:pPr>
              <w:jc w:val="center"/>
            </w:pPr>
            <w:r>
              <w:rPr>
                <w:color w:val="000000"/>
              </w:rPr>
              <w:t>0.0882%</w:t>
            </w:r>
          </w:p>
        </w:tc>
        <w:tc>
          <w:tcPr>
            <w:tcW w:w="1267" w:type="dxa"/>
            <w:vAlign w:val="center"/>
          </w:tcPr>
          <w:p w:rsidR="000A2EFF" w:rsidRDefault="00AB1921">
            <w:pPr>
              <w:jc w:val="center"/>
            </w:pPr>
            <w:r>
              <w:rPr>
                <w:color w:val="000000"/>
              </w:rPr>
              <w:t>0.0000%</w:t>
            </w:r>
          </w:p>
        </w:tc>
        <w:tc>
          <w:tcPr>
            <w:tcW w:w="1267" w:type="dxa"/>
            <w:vAlign w:val="center"/>
          </w:tcPr>
          <w:p w:rsidR="000A2EFF" w:rsidRDefault="00AB1921">
            <w:pPr>
              <w:jc w:val="center"/>
            </w:pPr>
            <w:r>
              <w:rPr>
                <w:color w:val="000000"/>
              </w:rPr>
              <w:t>0.7507%</w:t>
            </w:r>
          </w:p>
        </w:tc>
        <w:tc>
          <w:tcPr>
            <w:tcW w:w="1267" w:type="dxa"/>
            <w:vAlign w:val="center"/>
          </w:tcPr>
          <w:p w:rsidR="000A2EFF" w:rsidRDefault="00AB1921">
            <w:pPr>
              <w:jc w:val="center"/>
            </w:pPr>
            <w:r>
              <w:rPr>
                <w:color w:val="000000"/>
              </w:rPr>
              <w:t>0.0017%</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交银施罗德天运宝货币市场基金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2017</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29</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交银天运</w:t>
      </w:r>
      <w:proofErr w:type="gramStart"/>
      <w:r w:rsidRPr="000E4C40">
        <w:rPr>
          <w:color w:val="000000"/>
          <w:kern w:val="0"/>
          <w:sz w:val="24"/>
        </w:rPr>
        <w:t>宝货币</w:t>
      </w:r>
      <w:proofErr w:type="gramEnd"/>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lastRenderedPageBreak/>
        <w:t>注：本</w:t>
      </w:r>
      <w:proofErr w:type="gramStart"/>
      <w:r w:rsidRPr="000E4C40">
        <w:rPr>
          <w:color w:val="000000"/>
          <w:sz w:val="24"/>
        </w:rPr>
        <w:t>基金基金</w:t>
      </w:r>
      <w:proofErr w:type="gramEnd"/>
      <w:r w:rsidRPr="000E4C40">
        <w:rPr>
          <w:color w:val="000000"/>
          <w:sz w:val="24"/>
        </w:rPr>
        <w:t>合同生效日为</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29</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交银天运</w:t>
      </w:r>
      <w:proofErr w:type="gramStart"/>
      <w:r w:rsidR="005F668B" w:rsidRPr="000E4C40">
        <w:rPr>
          <w:color w:val="000000"/>
          <w:kern w:val="0"/>
          <w:sz w:val="24"/>
        </w:rPr>
        <w:t>宝货币</w:t>
      </w:r>
      <w:proofErr w:type="gramEnd"/>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6"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w:t>
      </w:r>
      <w:proofErr w:type="gramStart"/>
      <w:r w:rsidRPr="000E4C40">
        <w:rPr>
          <w:color w:val="000000"/>
          <w:sz w:val="24"/>
        </w:rPr>
        <w:t>基金基金</w:t>
      </w:r>
      <w:proofErr w:type="gramEnd"/>
      <w:r w:rsidRPr="000E4C40">
        <w:rPr>
          <w:color w:val="000000"/>
          <w:sz w:val="24"/>
        </w:rPr>
        <w:t>合同生效日为</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29</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6507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0A2EFF">
        <w:trPr>
          <w:jc w:val="center"/>
        </w:trPr>
        <w:tc>
          <w:tcPr>
            <w:tcW w:w="945" w:type="dxa"/>
            <w:vAlign w:val="center"/>
          </w:tcPr>
          <w:p w:rsidR="000A2EFF" w:rsidRDefault="00AB1921">
            <w:pPr>
              <w:jc w:val="center"/>
            </w:pPr>
            <w:r>
              <w:rPr>
                <w:color w:val="000000"/>
                <w:sz w:val="24"/>
              </w:rPr>
              <w:t>连端清</w:t>
            </w:r>
          </w:p>
        </w:tc>
        <w:tc>
          <w:tcPr>
            <w:tcW w:w="1589" w:type="dxa"/>
            <w:vAlign w:val="center"/>
          </w:tcPr>
          <w:p w:rsidR="000A2EFF" w:rsidRDefault="00AB1921">
            <w:pPr>
              <w:jc w:val="center"/>
            </w:pPr>
            <w:r>
              <w:rPr>
                <w:color w:val="000000"/>
                <w:sz w:val="24"/>
              </w:rPr>
              <w:t>交银货币、交银理财</w:t>
            </w:r>
            <w:r>
              <w:rPr>
                <w:color w:val="000000"/>
                <w:sz w:val="24"/>
              </w:rPr>
              <w:t>60</w:t>
            </w:r>
            <w:r>
              <w:rPr>
                <w:color w:val="000000"/>
                <w:sz w:val="24"/>
              </w:rPr>
              <w:t>天债券、交银丰盈收益债券、交银现金宝</w:t>
            </w:r>
            <w:r>
              <w:rPr>
                <w:color w:val="000000"/>
                <w:sz w:val="24"/>
              </w:rPr>
              <w:lastRenderedPageBreak/>
              <w:t>货币、交银丰润收益债券、交银活期通货币、交银天利宝货币、交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收益债券、交银天运</w:t>
            </w:r>
            <w:proofErr w:type="gramStart"/>
            <w:r>
              <w:rPr>
                <w:color w:val="000000"/>
                <w:sz w:val="24"/>
              </w:rPr>
              <w:t>宝货币</w:t>
            </w:r>
            <w:proofErr w:type="gramEnd"/>
            <w:r>
              <w:rPr>
                <w:color w:val="000000"/>
                <w:sz w:val="24"/>
              </w:rPr>
              <w:t>的基金经理</w:t>
            </w:r>
          </w:p>
          <w:p w:rsidR="000A2EFF" w:rsidRDefault="000A2EFF">
            <w:pPr>
              <w:jc w:val="center"/>
            </w:pPr>
          </w:p>
        </w:tc>
        <w:tc>
          <w:tcPr>
            <w:tcW w:w="1478" w:type="dxa"/>
            <w:vAlign w:val="center"/>
          </w:tcPr>
          <w:p w:rsidR="000A2EFF" w:rsidRDefault="00AB1921">
            <w:pPr>
              <w:jc w:val="center"/>
            </w:pPr>
            <w:r>
              <w:rPr>
                <w:color w:val="000000"/>
                <w:sz w:val="24"/>
              </w:rPr>
              <w:lastRenderedPageBreak/>
              <w:t>2017-12-29</w:t>
            </w:r>
          </w:p>
        </w:tc>
        <w:tc>
          <w:tcPr>
            <w:tcW w:w="1478" w:type="dxa"/>
            <w:vAlign w:val="center"/>
          </w:tcPr>
          <w:p w:rsidR="000A2EFF" w:rsidRDefault="00AB1921">
            <w:pPr>
              <w:jc w:val="center"/>
            </w:pPr>
            <w:r>
              <w:rPr>
                <w:color w:val="000000"/>
                <w:sz w:val="24"/>
              </w:rPr>
              <w:t>-</w:t>
            </w:r>
          </w:p>
        </w:tc>
        <w:tc>
          <w:tcPr>
            <w:tcW w:w="986" w:type="dxa"/>
            <w:vAlign w:val="center"/>
          </w:tcPr>
          <w:p w:rsidR="000A2EFF" w:rsidRDefault="00AB1921">
            <w:pPr>
              <w:jc w:val="center"/>
            </w:pPr>
            <w:r>
              <w:rPr>
                <w:color w:val="000000"/>
                <w:sz w:val="24"/>
              </w:rPr>
              <w:t>5</w:t>
            </w:r>
            <w:r>
              <w:rPr>
                <w:color w:val="000000"/>
                <w:sz w:val="24"/>
              </w:rPr>
              <w:t>年</w:t>
            </w:r>
          </w:p>
        </w:tc>
        <w:tc>
          <w:tcPr>
            <w:tcW w:w="2392" w:type="dxa"/>
            <w:vAlign w:val="center"/>
          </w:tcPr>
          <w:p w:rsidR="000A2EFF" w:rsidRDefault="00AB1921">
            <w:r>
              <w:rPr>
                <w:color w:val="000000"/>
                <w:sz w:val="24"/>
              </w:rPr>
              <w:t>连端清先生，复旦大学经济学博士。历任交通银行总行金融市场部、湘财证券研究所研究员、中航信托</w:t>
            </w:r>
            <w:r>
              <w:rPr>
                <w:color w:val="000000"/>
                <w:sz w:val="24"/>
              </w:rPr>
              <w:lastRenderedPageBreak/>
              <w:t>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w:t>
            </w:r>
            <w:proofErr w:type="gramStart"/>
            <w:r>
              <w:rPr>
                <w:color w:val="000000"/>
                <w:sz w:val="24"/>
              </w:rPr>
              <w:t>交银施罗</w:t>
            </w:r>
            <w:proofErr w:type="gramEnd"/>
            <w:r>
              <w:rPr>
                <w:color w:val="000000"/>
                <w:sz w:val="24"/>
              </w:rPr>
              <w:t>德裕</w:t>
            </w:r>
            <w:proofErr w:type="gramStart"/>
            <w:r>
              <w:rPr>
                <w:color w:val="000000"/>
                <w:sz w:val="24"/>
              </w:rPr>
              <w:t>兴纯债</w:t>
            </w:r>
            <w:proofErr w:type="gramEnd"/>
            <w:r>
              <w:rPr>
                <w:color w:val="000000"/>
                <w:sz w:val="24"/>
              </w:rPr>
              <w:t>债券型证券投资基金的基金经理。</w:t>
            </w:r>
          </w:p>
          <w:p w:rsidR="000A2EFF" w:rsidRDefault="000A2EFF"/>
          <w:p w:rsidR="000A2EFF" w:rsidRDefault="000A2EFF"/>
        </w:tc>
      </w:tr>
    </w:tbl>
    <w:p w:rsidR="000A2EFF" w:rsidRDefault="00AB1921">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w:t>
      </w:r>
      <w:proofErr w:type="gramStart"/>
      <w:r>
        <w:rPr>
          <w:color w:val="000000"/>
          <w:sz w:val="24"/>
        </w:rPr>
        <w:t>作出</w:t>
      </w:r>
      <w:proofErr w:type="gramEnd"/>
      <w:r>
        <w:rPr>
          <w:color w:val="000000"/>
          <w:sz w:val="24"/>
        </w:rPr>
        <w:t>决定并公告</w:t>
      </w:r>
      <w:r>
        <w:rPr>
          <w:color w:val="000000"/>
          <w:sz w:val="24"/>
        </w:rPr>
        <w:t>(</w:t>
      </w:r>
      <w:r>
        <w:rPr>
          <w:color w:val="000000"/>
          <w:sz w:val="24"/>
        </w:rPr>
        <w:t>如适用</w:t>
      </w:r>
      <w:r>
        <w:rPr>
          <w:color w:val="000000"/>
          <w:sz w:val="24"/>
        </w:rPr>
        <w:t>)</w:t>
      </w:r>
      <w:r>
        <w:rPr>
          <w:color w:val="000000"/>
          <w:sz w:val="24"/>
        </w:rPr>
        <w:t>之日为准；</w:t>
      </w:r>
    </w:p>
    <w:p w:rsidR="000A2EFF" w:rsidRDefault="00AB1921">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0A2EFF" w:rsidRDefault="00AB192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A2EFF" w:rsidRDefault="00AB192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A2EFF" w:rsidRDefault="00AB192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0A2EFF" w:rsidRDefault="00AB1921">
      <w:pPr>
        <w:spacing w:before="29" w:line="288" w:lineRule="auto"/>
        <w:ind w:firstLineChars="200" w:firstLine="480"/>
        <w:rPr>
          <w:color w:val="000000"/>
          <w:sz w:val="24"/>
        </w:rPr>
      </w:pPr>
      <w:r>
        <w:rPr>
          <w:color w:val="000000"/>
          <w:sz w:val="24"/>
        </w:rPr>
        <w:t>本报告期内，国内经济增速继续稳中放缓，通胀压力的抬头压制了固定收益资产的回报预期。同时，中美贸易战进一步扩大，全球风险偏好回落，权益类资产继续回调。国内制造业增速继续保持高位，但已出现放缓势头。房地产投资在政策悲观的预期氛围内继续保持高速增长，但基建投资增速下滑，导致固定资产投资继续下行。九月下旬，美国对中国新增</w:t>
      </w:r>
      <w:r>
        <w:rPr>
          <w:color w:val="000000"/>
          <w:sz w:val="24"/>
        </w:rPr>
        <w:t>2000</w:t>
      </w:r>
      <w:r>
        <w:rPr>
          <w:color w:val="000000"/>
          <w:sz w:val="24"/>
        </w:rPr>
        <w:t>亿美元商品加征关税，贸易战升级，悲观预期加大。通胀方面，国内受天气灾害和俄罗斯猪瘟传入影响，食品价格攀升，</w:t>
      </w:r>
      <w:r>
        <w:rPr>
          <w:color w:val="000000"/>
          <w:sz w:val="24"/>
        </w:rPr>
        <w:t>CPI</w:t>
      </w:r>
      <w:r>
        <w:rPr>
          <w:color w:val="000000"/>
          <w:sz w:val="24"/>
        </w:rPr>
        <w:t>再次回到</w:t>
      </w:r>
      <w:r>
        <w:rPr>
          <w:color w:val="000000"/>
          <w:sz w:val="24"/>
        </w:rPr>
        <w:t>2%</w:t>
      </w:r>
      <w:r>
        <w:rPr>
          <w:color w:val="000000"/>
          <w:sz w:val="24"/>
        </w:rPr>
        <w:t>以上，同时国际原油价格突破新高，加之人民币贬值预期，输入性通胀预期不断增强，市场陷入</w:t>
      </w:r>
      <w:r>
        <w:rPr>
          <w:color w:val="000000"/>
          <w:sz w:val="24"/>
        </w:rPr>
        <w:t>“</w:t>
      </w:r>
      <w:r>
        <w:rPr>
          <w:color w:val="000000"/>
          <w:sz w:val="24"/>
        </w:rPr>
        <w:t>滞涨</w:t>
      </w:r>
      <w:r>
        <w:rPr>
          <w:color w:val="000000"/>
          <w:sz w:val="24"/>
        </w:rPr>
        <w:t>”</w:t>
      </w:r>
      <w:r>
        <w:rPr>
          <w:color w:val="000000"/>
          <w:sz w:val="24"/>
        </w:rPr>
        <w:t>的担忧之中。货币政策方面，央行在联储加息和贸易战的背景下坚持稳健中性的货币政策，九月美联储加息后并未上调公开市场操作利率，显示出国内经济格局和美国利率政策的独立性。货币市场方面，三季度资金</w:t>
      </w:r>
      <w:proofErr w:type="gramStart"/>
      <w:r>
        <w:rPr>
          <w:color w:val="000000"/>
          <w:sz w:val="24"/>
        </w:rPr>
        <w:t>面整体</w:t>
      </w:r>
      <w:proofErr w:type="gramEnd"/>
      <w:r>
        <w:rPr>
          <w:color w:val="000000"/>
          <w:sz w:val="24"/>
        </w:rPr>
        <w:t>上非常宽裕，银行间隔夜利率一度在八月份降至</w:t>
      </w:r>
      <w:r>
        <w:rPr>
          <w:color w:val="000000"/>
          <w:sz w:val="24"/>
        </w:rPr>
        <w:t>1.5%</w:t>
      </w:r>
      <w:r>
        <w:rPr>
          <w:color w:val="000000"/>
          <w:sz w:val="24"/>
        </w:rPr>
        <w:t>，之后虽有回调，但依然大幅低于二季度末，下降幅度在</w:t>
      </w:r>
      <w:r>
        <w:rPr>
          <w:color w:val="000000"/>
          <w:sz w:val="24"/>
        </w:rPr>
        <w:t>45BP</w:t>
      </w:r>
      <w:r>
        <w:rPr>
          <w:color w:val="000000"/>
          <w:sz w:val="24"/>
        </w:rPr>
        <w:t>以上，三季度同业存单存款利率同样大幅下行，股份制银行三个月同业存单利率将至</w:t>
      </w:r>
      <w:r>
        <w:rPr>
          <w:color w:val="000000"/>
          <w:sz w:val="24"/>
        </w:rPr>
        <w:t>1.9%</w:t>
      </w:r>
      <w:r>
        <w:rPr>
          <w:color w:val="000000"/>
          <w:sz w:val="24"/>
        </w:rPr>
        <w:t>，虽然之后有所回升，但基本处于</w:t>
      </w:r>
      <w:r>
        <w:rPr>
          <w:color w:val="000000"/>
          <w:sz w:val="24"/>
        </w:rPr>
        <w:t>3%</w:t>
      </w:r>
      <w:r>
        <w:rPr>
          <w:color w:val="000000"/>
          <w:sz w:val="24"/>
        </w:rPr>
        <w:t>以下。报告期内，三个月上海银行间拆借利率下行</w:t>
      </w:r>
      <w:r>
        <w:rPr>
          <w:color w:val="000000"/>
          <w:sz w:val="24"/>
        </w:rPr>
        <w:t>131BP</w:t>
      </w:r>
      <w:r>
        <w:rPr>
          <w:color w:val="000000"/>
          <w:sz w:val="24"/>
        </w:rPr>
        <w:t>到</w:t>
      </w:r>
      <w:r>
        <w:rPr>
          <w:color w:val="000000"/>
          <w:sz w:val="24"/>
        </w:rPr>
        <w:t>2.85%</w:t>
      </w:r>
      <w:r>
        <w:rPr>
          <w:color w:val="000000"/>
          <w:sz w:val="24"/>
        </w:rPr>
        <w:t>。</w:t>
      </w:r>
    </w:p>
    <w:p w:rsidR="000A2EFF" w:rsidRDefault="00AB1921">
      <w:pPr>
        <w:spacing w:before="29" w:line="288" w:lineRule="auto"/>
        <w:ind w:firstLineChars="200" w:firstLine="480"/>
        <w:rPr>
          <w:color w:val="000000"/>
          <w:sz w:val="24"/>
        </w:rPr>
      </w:pPr>
      <w:r>
        <w:rPr>
          <w:color w:val="000000"/>
          <w:sz w:val="24"/>
        </w:rPr>
        <w:t>基金操作方面，我们仍旧维持低杠杆、</w:t>
      </w:r>
      <w:proofErr w:type="gramStart"/>
      <w:r>
        <w:rPr>
          <w:color w:val="000000"/>
          <w:sz w:val="24"/>
        </w:rPr>
        <w:t>短久期</w:t>
      </w:r>
      <w:proofErr w:type="gramEnd"/>
      <w:r>
        <w:rPr>
          <w:color w:val="000000"/>
          <w:sz w:val="24"/>
        </w:rPr>
        <w:t>的操作思路，多投资于估值波动较小的银行存款与回购等，组合整体流动性良好。九月末我们视组合流动性和市场情况，增配了高流动性的回购资产和部分高评级的同业存单、同业存款等，在市场收益率普遍下</w:t>
      </w:r>
      <w:r>
        <w:rPr>
          <w:color w:val="000000"/>
          <w:sz w:val="24"/>
        </w:rPr>
        <w:lastRenderedPageBreak/>
        <w:t>行中维持收益水平。</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四季度，我们将继续关注收益率显著下行的银行同业存单发行情况，持续观察监管政策的落地实施以及实际影响。我们预计中美贸易战仍将延续，货币政策可能会延续结构性宽松的状态，流动性宽松态势有望保持。本基金将根据不同资产收益率的动态变化，适时调整组合结构，根据期限利差动态调整组合杠杆率，通过对市场利率的前瞻性判断进行合理有效</w:t>
      </w:r>
      <w:proofErr w:type="gramStart"/>
      <w:r w:rsidRPr="000E4C40">
        <w:rPr>
          <w:color w:val="000000"/>
          <w:sz w:val="24"/>
        </w:rPr>
        <w:t>的久期管理</w:t>
      </w:r>
      <w:proofErr w:type="gramEnd"/>
      <w:r w:rsidRPr="000E4C40">
        <w:rPr>
          <w:color w:val="000000"/>
          <w:sz w:val="24"/>
        </w:rPr>
        <w:t>，严格控制信用风险、流动性风险和利率风险，努力为持有人创造稳健的收益。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6507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87,703,469.75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43.15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87,703,469.75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43.15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66,151,154.73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32.54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49,216,122.66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24.21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195,853.67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0.10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203,266,600.81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lastRenderedPageBreak/>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7.86</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56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14</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43.04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33.41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lastRenderedPageBreak/>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lastRenderedPageBreak/>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19.65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3.94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100.03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15,989,775.07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7.88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2,000,392.89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0.99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2,000,392.89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0.99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69,713,301.79</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34.34</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87,703,469.75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43.20</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Ind w:w="15" w:type="dxa"/>
        <w:tblCellMar>
          <w:top w:w="57" w:type="dxa"/>
          <w:bottom w:w="57" w:type="dxa"/>
        </w:tblCellMar>
        <w:tblLook w:val="04A0" w:firstRow="1" w:lastRow="0" w:firstColumn="1" w:lastColumn="0" w:noHBand="0" w:noVBand="1"/>
      </w:tblPr>
      <w:tblGrid>
        <w:gridCol w:w="979"/>
        <w:gridCol w:w="1279"/>
        <w:gridCol w:w="1845"/>
        <w:gridCol w:w="1165"/>
        <w:gridCol w:w="2137"/>
        <w:gridCol w:w="1463"/>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0A2EFF">
        <w:trPr>
          <w:jc w:val="center"/>
        </w:trPr>
        <w:tc>
          <w:tcPr>
            <w:tcW w:w="0" w:type="auto"/>
            <w:vAlign w:val="center"/>
          </w:tcPr>
          <w:p w:rsidR="000A2EFF" w:rsidRDefault="00AB1921">
            <w:pPr>
              <w:jc w:val="center"/>
            </w:pPr>
            <w:r>
              <w:rPr>
                <w:color w:val="000000"/>
                <w:sz w:val="24"/>
              </w:rPr>
              <w:t>1</w:t>
            </w:r>
          </w:p>
        </w:tc>
        <w:tc>
          <w:tcPr>
            <w:tcW w:w="0" w:type="auto"/>
            <w:vAlign w:val="center"/>
          </w:tcPr>
          <w:p w:rsidR="000A2EFF" w:rsidRDefault="00AB1921">
            <w:pPr>
              <w:jc w:val="center"/>
            </w:pPr>
            <w:r>
              <w:rPr>
                <w:color w:val="000000"/>
                <w:sz w:val="24"/>
              </w:rPr>
              <w:t>111813034</w:t>
            </w:r>
          </w:p>
        </w:tc>
        <w:tc>
          <w:tcPr>
            <w:tcW w:w="0" w:type="auto"/>
            <w:vAlign w:val="center"/>
          </w:tcPr>
          <w:p w:rsidR="000A2EFF" w:rsidRDefault="00AB1921">
            <w:pPr>
              <w:jc w:val="center"/>
            </w:pPr>
            <w:r>
              <w:rPr>
                <w:color w:val="000000"/>
                <w:sz w:val="24"/>
              </w:rPr>
              <w:t>18</w:t>
            </w:r>
            <w:proofErr w:type="gramStart"/>
            <w:r>
              <w:rPr>
                <w:color w:val="000000"/>
                <w:sz w:val="24"/>
              </w:rPr>
              <w:t>浙商银行</w:t>
            </w:r>
            <w:proofErr w:type="gramEnd"/>
            <w:r>
              <w:rPr>
                <w:color w:val="000000"/>
                <w:sz w:val="24"/>
              </w:rPr>
              <w:t>CD034</w:t>
            </w:r>
          </w:p>
        </w:tc>
        <w:tc>
          <w:tcPr>
            <w:tcW w:w="0" w:type="auto"/>
            <w:vAlign w:val="center"/>
          </w:tcPr>
          <w:p w:rsidR="000A2EFF" w:rsidRDefault="00AB1921">
            <w:pPr>
              <w:jc w:val="right"/>
            </w:pPr>
            <w:r>
              <w:rPr>
                <w:color w:val="000000"/>
                <w:sz w:val="24"/>
              </w:rPr>
              <w:t>300,000</w:t>
            </w:r>
          </w:p>
        </w:tc>
        <w:tc>
          <w:tcPr>
            <w:tcW w:w="0" w:type="auto"/>
            <w:vAlign w:val="center"/>
          </w:tcPr>
          <w:p w:rsidR="000A2EFF" w:rsidRDefault="00AB1921">
            <w:pPr>
              <w:jc w:val="right"/>
            </w:pPr>
            <w:r>
              <w:rPr>
                <w:color w:val="000000"/>
                <w:sz w:val="24"/>
              </w:rPr>
              <w:t>29,919,876.46</w:t>
            </w:r>
          </w:p>
        </w:tc>
        <w:tc>
          <w:tcPr>
            <w:tcW w:w="0" w:type="auto"/>
            <w:vAlign w:val="center"/>
          </w:tcPr>
          <w:p w:rsidR="000A2EFF" w:rsidRDefault="00AB1921">
            <w:pPr>
              <w:jc w:val="right"/>
            </w:pPr>
            <w:r>
              <w:rPr>
                <w:color w:val="000000"/>
                <w:sz w:val="24"/>
              </w:rPr>
              <w:t>14.74</w:t>
            </w:r>
          </w:p>
        </w:tc>
      </w:tr>
      <w:tr w:rsidR="000A2EFF">
        <w:trPr>
          <w:jc w:val="center"/>
        </w:trPr>
        <w:tc>
          <w:tcPr>
            <w:tcW w:w="0" w:type="auto"/>
            <w:vAlign w:val="center"/>
          </w:tcPr>
          <w:p w:rsidR="000A2EFF" w:rsidRDefault="00AB1921">
            <w:pPr>
              <w:jc w:val="center"/>
            </w:pPr>
            <w:r>
              <w:rPr>
                <w:color w:val="000000"/>
                <w:sz w:val="24"/>
              </w:rPr>
              <w:t>2</w:t>
            </w:r>
          </w:p>
        </w:tc>
        <w:tc>
          <w:tcPr>
            <w:tcW w:w="0" w:type="auto"/>
            <w:vAlign w:val="center"/>
          </w:tcPr>
          <w:p w:rsidR="000A2EFF" w:rsidRDefault="00AB1921">
            <w:pPr>
              <w:jc w:val="center"/>
            </w:pPr>
            <w:r>
              <w:rPr>
                <w:color w:val="000000"/>
                <w:sz w:val="24"/>
              </w:rPr>
              <w:t>111892551</w:t>
            </w:r>
          </w:p>
        </w:tc>
        <w:tc>
          <w:tcPr>
            <w:tcW w:w="0" w:type="auto"/>
            <w:vAlign w:val="center"/>
          </w:tcPr>
          <w:p w:rsidR="000A2EFF" w:rsidRDefault="00AB1921">
            <w:pPr>
              <w:jc w:val="center"/>
            </w:pPr>
            <w:r>
              <w:rPr>
                <w:color w:val="000000"/>
                <w:sz w:val="24"/>
              </w:rPr>
              <w:t>18</w:t>
            </w:r>
            <w:r>
              <w:rPr>
                <w:color w:val="000000"/>
                <w:sz w:val="24"/>
              </w:rPr>
              <w:t>徽商银行</w:t>
            </w:r>
            <w:r>
              <w:rPr>
                <w:color w:val="000000"/>
                <w:sz w:val="24"/>
              </w:rPr>
              <w:t>CD030</w:t>
            </w:r>
          </w:p>
        </w:tc>
        <w:tc>
          <w:tcPr>
            <w:tcW w:w="0" w:type="auto"/>
            <w:vAlign w:val="center"/>
          </w:tcPr>
          <w:p w:rsidR="000A2EFF" w:rsidRDefault="00AB1921">
            <w:pPr>
              <w:jc w:val="right"/>
            </w:pPr>
            <w:r>
              <w:rPr>
                <w:color w:val="000000"/>
                <w:sz w:val="24"/>
              </w:rPr>
              <w:t>200,000</w:t>
            </w:r>
          </w:p>
        </w:tc>
        <w:tc>
          <w:tcPr>
            <w:tcW w:w="0" w:type="auto"/>
            <w:vAlign w:val="center"/>
          </w:tcPr>
          <w:p w:rsidR="000A2EFF" w:rsidRDefault="00AB1921">
            <w:pPr>
              <w:jc w:val="right"/>
            </w:pPr>
            <w:r>
              <w:rPr>
                <w:color w:val="000000"/>
                <w:sz w:val="24"/>
              </w:rPr>
              <w:t>19,913,193.40</w:t>
            </w:r>
          </w:p>
        </w:tc>
        <w:tc>
          <w:tcPr>
            <w:tcW w:w="0" w:type="auto"/>
            <w:vAlign w:val="center"/>
          </w:tcPr>
          <w:p w:rsidR="000A2EFF" w:rsidRDefault="00AB1921">
            <w:pPr>
              <w:jc w:val="right"/>
            </w:pPr>
            <w:r>
              <w:rPr>
                <w:color w:val="000000"/>
                <w:sz w:val="24"/>
              </w:rPr>
              <w:t>9.81</w:t>
            </w:r>
          </w:p>
        </w:tc>
      </w:tr>
      <w:tr w:rsidR="000A2EFF">
        <w:trPr>
          <w:jc w:val="center"/>
        </w:trPr>
        <w:tc>
          <w:tcPr>
            <w:tcW w:w="0" w:type="auto"/>
            <w:vAlign w:val="center"/>
          </w:tcPr>
          <w:p w:rsidR="000A2EFF" w:rsidRDefault="00AB1921">
            <w:pPr>
              <w:jc w:val="center"/>
            </w:pPr>
            <w:r>
              <w:rPr>
                <w:color w:val="000000"/>
                <w:sz w:val="24"/>
              </w:rPr>
              <w:t>3</w:t>
            </w:r>
          </w:p>
        </w:tc>
        <w:tc>
          <w:tcPr>
            <w:tcW w:w="0" w:type="auto"/>
            <w:vAlign w:val="center"/>
          </w:tcPr>
          <w:p w:rsidR="000A2EFF" w:rsidRDefault="00AB1921">
            <w:pPr>
              <w:jc w:val="center"/>
            </w:pPr>
            <w:r>
              <w:rPr>
                <w:color w:val="000000"/>
                <w:sz w:val="24"/>
              </w:rPr>
              <w:t>111819383</w:t>
            </w:r>
          </w:p>
        </w:tc>
        <w:tc>
          <w:tcPr>
            <w:tcW w:w="0" w:type="auto"/>
            <w:vAlign w:val="center"/>
          </w:tcPr>
          <w:p w:rsidR="000A2EFF" w:rsidRDefault="00AB1921">
            <w:pPr>
              <w:jc w:val="center"/>
            </w:pPr>
            <w:r>
              <w:rPr>
                <w:color w:val="000000"/>
                <w:sz w:val="24"/>
              </w:rPr>
              <w:t>18</w:t>
            </w:r>
            <w:r>
              <w:rPr>
                <w:color w:val="000000"/>
                <w:sz w:val="24"/>
              </w:rPr>
              <w:t>恒丰银行</w:t>
            </w:r>
            <w:r>
              <w:rPr>
                <w:color w:val="000000"/>
                <w:sz w:val="24"/>
              </w:rPr>
              <w:t>CD383</w:t>
            </w:r>
          </w:p>
        </w:tc>
        <w:tc>
          <w:tcPr>
            <w:tcW w:w="0" w:type="auto"/>
            <w:vAlign w:val="center"/>
          </w:tcPr>
          <w:p w:rsidR="000A2EFF" w:rsidRDefault="00AB1921">
            <w:pPr>
              <w:jc w:val="right"/>
            </w:pPr>
            <w:r>
              <w:rPr>
                <w:color w:val="000000"/>
                <w:sz w:val="24"/>
              </w:rPr>
              <w:t>200,000</w:t>
            </w:r>
          </w:p>
        </w:tc>
        <w:tc>
          <w:tcPr>
            <w:tcW w:w="0" w:type="auto"/>
            <w:vAlign w:val="center"/>
          </w:tcPr>
          <w:p w:rsidR="000A2EFF" w:rsidRDefault="00AB1921">
            <w:pPr>
              <w:jc w:val="right"/>
            </w:pPr>
            <w:r>
              <w:rPr>
                <w:color w:val="000000"/>
                <w:sz w:val="24"/>
              </w:rPr>
              <w:t>19,880,231.93</w:t>
            </w:r>
          </w:p>
        </w:tc>
        <w:tc>
          <w:tcPr>
            <w:tcW w:w="0" w:type="auto"/>
            <w:vAlign w:val="center"/>
          </w:tcPr>
          <w:p w:rsidR="000A2EFF" w:rsidRDefault="00AB1921">
            <w:pPr>
              <w:jc w:val="right"/>
            </w:pPr>
            <w:r>
              <w:rPr>
                <w:color w:val="000000"/>
                <w:sz w:val="24"/>
              </w:rPr>
              <w:t>9.79</w:t>
            </w:r>
          </w:p>
        </w:tc>
      </w:tr>
      <w:tr w:rsidR="000A2EFF">
        <w:trPr>
          <w:jc w:val="center"/>
        </w:trPr>
        <w:tc>
          <w:tcPr>
            <w:tcW w:w="0" w:type="auto"/>
            <w:vAlign w:val="center"/>
          </w:tcPr>
          <w:p w:rsidR="000A2EFF" w:rsidRDefault="00AB1921">
            <w:pPr>
              <w:jc w:val="center"/>
            </w:pPr>
            <w:r>
              <w:rPr>
                <w:color w:val="000000"/>
                <w:sz w:val="24"/>
              </w:rPr>
              <w:t>4</w:t>
            </w:r>
          </w:p>
        </w:tc>
        <w:tc>
          <w:tcPr>
            <w:tcW w:w="0" w:type="auto"/>
            <w:vAlign w:val="center"/>
          </w:tcPr>
          <w:p w:rsidR="000A2EFF" w:rsidRDefault="00AB1921">
            <w:pPr>
              <w:jc w:val="center"/>
            </w:pPr>
            <w:r>
              <w:rPr>
                <w:color w:val="000000"/>
                <w:sz w:val="24"/>
              </w:rPr>
              <w:t>189931</w:t>
            </w:r>
          </w:p>
        </w:tc>
        <w:tc>
          <w:tcPr>
            <w:tcW w:w="0" w:type="auto"/>
            <w:vAlign w:val="center"/>
          </w:tcPr>
          <w:p w:rsidR="000A2EFF" w:rsidRDefault="00AB1921">
            <w:pPr>
              <w:jc w:val="center"/>
            </w:pPr>
            <w:r>
              <w:rPr>
                <w:color w:val="000000"/>
                <w:sz w:val="24"/>
              </w:rPr>
              <w:t>18</w:t>
            </w:r>
            <w:r>
              <w:rPr>
                <w:color w:val="000000"/>
                <w:sz w:val="24"/>
              </w:rPr>
              <w:t>贴现国债</w:t>
            </w:r>
            <w:r>
              <w:rPr>
                <w:color w:val="000000"/>
                <w:sz w:val="24"/>
              </w:rPr>
              <w:t>31</w:t>
            </w:r>
          </w:p>
        </w:tc>
        <w:tc>
          <w:tcPr>
            <w:tcW w:w="0" w:type="auto"/>
            <w:vAlign w:val="center"/>
          </w:tcPr>
          <w:p w:rsidR="000A2EFF" w:rsidRDefault="00AB1921">
            <w:pPr>
              <w:jc w:val="right"/>
            </w:pPr>
            <w:r>
              <w:rPr>
                <w:color w:val="000000"/>
                <w:sz w:val="24"/>
              </w:rPr>
              <w:t>100,000</w:t>
            </w:r>
          </w:p>
        </w:tc>
        <w:tc>
          <w:tcPr>
            <w:tcW w:w="0" w:type="auto"/>
            <w:vAlign w:val="center"/>
          </w:tcPr>
          <w:p w:rsidR="000A2EFF" w:rsidRDefault="00AB1921">
            <w:pPr>
              <w:jc w:val="right"/>
            </w:pPr>
            <w:r>
              <w:rPr>
                <w:color w:val="000000"/>
                <w:sz w:val="24"/>
              </w:rPr>
              <w:t>9,996,038.50</w:t>
            </w:r>
          </w:p>
        </w:tc>
        <w:tc>
          <w:tcPr>
            <w:tcW w:w="0" w:type="auto"/>
            <w:vAlign w:val="center"/>
          </w:tcPr>
          <w:p w:rsidR="000A2EFF" w:rsidRDefault="00AB1921">
            <w:pPr>
              <w:jc w:val="right"/>
            </w:pPr>
            <w:r>
              <w:rPr>
                <w:color w:val="000000"/>
                <w:sz w:val="24"/>
              </w:rPr>
              <w:t>4.92</w:t>
            </w:r>
          </w:p>
        </w:tc>
      </w:tr>
      <w:tr w:rsidR="000A2EFF">
        <w:trPr>
          <w:jc w:val="center"/>
        </w:trPr>
        <w:tc>
          <w:tcPr>
            <w:tcW w:w="0" w:type="auto"/>
            <w:vAlign w:val="center"/>
          </w:tcPr>
          <w:p w:rsidR="000A2EFF" w:rsidRDefault="00AB1921">
            <w:pPr>
              <w:jc w:val="center"/>
            </w:pPr>
            <w:r>
              <w:rPr>
                <w:color w:val="000000"/>
                <w:sz w:val="24"/>
              </w:rPr>
              <w:t>5</w:t>
            </w:r>
          </w:p>
        </w:tc>
        <w:tc>
          <w:tcPr>
            <w:tcW w:w="0" w:type="auto"/>
            <w:vAlign w:val="center"/>
          </w:tcPr>
          <w:p w:rsidR="000A2EFF" w:rsidRDefault="00AB1921">
            <w:pPr>
              <w:jc w:val="center"/>
            </w:pPr>
            <w:r>
              <w:rPr>
                <w:color w:val="000000"/>
                <w:sz w:val="24"/>
              </w:rPr>
              <w:t>019537</w:t>
            </w:r>
          </w:p>
        </w:tc>
        <w:tc>
          <w:tcPr>
            <w:tcW w:w="0" w:type="auto"/>
            <w:vAlign w:val="center"/>
          </w:tcPr>
          <w:p w:rsidR="000A2EFF" w:rsidRDefault="00AB1921">
            <w:pPr>
              <w:jc w:val="center"/>
            </w:pPr>
            <w:r>
              <w:rPr>
                <w:color w:val="000000"/>
                <w:sz w:val="24"/>
              </w:rPr>
              <w:t>16</w:t>
            </w:r>
            <w:r>
              <w:rPr>
                <w:color w:val="000000"/>
                <w:sz w:val="24"/>
              </w:rPr>
              <w:t>国债</w:t>
            </w:r>
            <w:r>
              <w:rPr>
                <w:color w:val="000000"/>
                <w:sz w:val="24"/>
              </w:rPr>
              <w:t>09</w:t>
            </w:r>
          </w:p>
        </w:tc>
        <w:tc>
          <w:tcPr>
            <w:tcW w:w="0" w:type="auto"/>
            <w:vAlign w:val="center"/>
          </w:tcPr>
          <w:p w:rsidR="000A2EFF" w:rsidRDefault="00AB1921">
            <w:pPr>
              <w:jc w:val="right"/>
            </w:pPr>
            <w:r>
              <w:rPr>
                <w:color w:val="000000"/>
                <w:sz w:val="24"/>
              </w:rPr>
              <w:t>60,000</w:t>
            </w:r>
          </w:p>
        </w:tc>
        <w:tc>
          <w:tcPr>
            <w:tcW w:w="0" w:type="auto"/>
            <w:vAlign w:val="center"/>
          </w:tcPr>
          <w:p w:rsidR="000A2EFF" w:rsidRDefault="00AB1921">
            <w:pPr>
              <w:jc w:val="right"/>
            </w:pPr>
            <w:r>
              <w:rPr>
                <w:color w:val="000000"/>
                <w:sz w:val="24"/>
              </w:rPr>
              <w:t>5,993,736.57</w:t>
            </w:r>
          </w:p>
        </w:tc>
        <w:tc>
          <w:tcPr>
            <w:tcW w:w="0" w:type="auto"/>
            <w:vAlign w:val="center"/>
          </w:tcPr>
          <w:p w:rsidR="000A2EFF" w:rsidRDefault="00AB1921">
            <w:pPr>
              <w:jc w:val="right"/>
            </w:pPr>
            <w:r>
              <w:rPr>
                <w:color w:val="000000"/>
                <w:sz w:val="24"/>
              </w:rPr>
              <w:t>2.95</w:t>
            </w:r>
          </w:p>
        </w:tc>
      </w:tr>
      <w:tr w:rsidR="000A2EFF">
        <w:trPr>
          <w:jc w:val="center"/>
        </w:trPr>
        <w:tc>
          <w:tcPr>
            <w:tcW w:w="0" w:type="auto"/>
            <w:vAlign w:val="center"/>
          </w:tcPr>
          <w:p w:rsidR="000A2EFF" w:rsidRDefault="00AB1921">
            <w:pPr>
              <w:jc w:val="center"/>
            </w:pPr>
            <w:r>
              <w:rPr>
                <w:color w:val="000000"/>
                <w:sz w:val="24"/>
              </w:rPr>
              <w:t>6</w:t>
            </w:r>
          </w:p>
        </w:tc>
        <w:tc>
          <w:tcPr>
            <w:tcW w:w="0" w:type="auto"/>
            <w:vAlign w:val="center"/>
          </w:tcPr>
          <w:p w:rsidR="000A2EFF" w:rsidRDefault="00AB1921">
            <w:pPr>
              <w:jc w:val="center"/>
            </w:pPr>
            <w:r>
              <w:rPr>
                <w:color w:val="000000"/>
                <w:sz w:val="24"/>
              </w:rPr>
              <w:t>018005</w:t>
            </w:r>
          </w:p>
        </w:tc>
        <w:tc>
          <w:tcPr>
            <w:tcW w:w="0" w:type="auto"/>
            <w:vAlign w:val="center"/>
          </w:tcPr>
          <w:p w:rsidR="000A2EFF" w:rsidRDefault="00AB1921">
            <w:pPr>
              <w:jc w:val="center"/>
            </w:pPr>
            <w:r>
              <w:rPr>
                <w:color w:val="000000"/>
                <w:sz w:val="24"/>
              </w:rPr>
              <w:t>国开</w:t>
            </w:r>
            <w:r>
              <w:rPr>
                <w:color w:val="000000"/>
                <w:sz w:val="24"/>
              </w:rPr>
              <w:t>1701</w:t>
            </w:r>
          </w:p>
        </w:tc>
        <w:tc>
          <w:tcPr>
            <w:tcW w:w="0" w:type="auto"/>
            <w:vAlign w:val="center"/>
          </w:tcPr>
          <w:p w:rsidR="000A2EFF" w:rsidRDefault="00AB1921">
            <w:pPr>
              <w:jc w:val="right"/>
            </w:pPr>
            <w:r>
              <w:rPr>
                <w:color w:val="000000"/>
                <w:sz w:val="24"/>
              </w:rPr>
              <w:t>20,000</w:t>
            </w:r>
          </w:p>
        </w:tc>
        <w:tc>
          <w:tcPr>
            <w:tcW w:w="0" w:type="auto"/>
            <w:vAlign w:val="center"/>
          </w:tcPr>
          <w:p w:rsidR="000A2EFF" w:rsidRDefault="00AB1921">
            <w:pPr>
              <w:jc w:val="right"/>
            </w:pPr>
            <w:r>
              <w:rPr>
                <w:color w:val="000000"/>
                <w:sz w:val="24"/>
              </w:rPr>
              <w:t>2,000,392.89</w:t>
            </w:r>
          </w:p>
        </w:tc>
        <w:tc>
          <w:tcPr>
            <w:tcW w:w="0" w:type="auto"/>
            <w:vAlign w:val="center"/>
          </w:tcPr>
          <w:p w:rsidR="000A2EFF" w:rsidRDefault="00AB1921">
            <w:pPr>
              <w:jc w:val="right"/>
            </w:pPr>
            <w:r>
              <w:rPr>
                <w:color w:val="000000"/>
                <w:sz w:val="24"/>
              </w:rPr>
              <w:t>0.99</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0.1864%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-0.0117%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0.0893%</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lastRenderedPageBreak/>
        <w:t>本基金采用摊</w:t>
      </w:r>
      <w:proofErr w:type="gramStart"/>
      <w:r w:rsidRPr="000E4C40">
        <w:rPr>
          <w:color w:val="000000"/>
          <w:sz w:val="24"/>
        </w:rPr>
        <w:t>余成本</w:t>
      </w:r>
      <w:proofErr w:type="gramEnd"/>
      <w:r w:rsidRPr="000E4C40">
        <w:rPr>
          <w:color w:val="000000"/>
          <w:sz w:val="24"/>
        </w:rPr>
        <w:t>法计价，即计价对象以买入成本列示，按票面利率或商定利率并考虑其买入时的溢价与折价，在其剩余期限内按照实际利率</w:t>
      </w:r>
      <w:proofErr w:type="gramStart"/>
      <w:r w:rsidRPr="000E4C40">
        <w:rPr>
          <w:color w:val="000000"/>
          <w:sz w:val="24"/>
        </w:rPr>
        <w:t>和摊余成本</w:t>
      </w:r>
      <w:proofErr w:type="gramEnd"/>
      <w:r w:rsidRPr="000E4C40">
        <w:rPr>
          <w:color w:val="000000"/>
          <w:sz w:val="24"/>
        </w:rPr>
        <w:t>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Ind w:w="17" w:type="dxa"/>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903.73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194,949.94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195,853.67</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6507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交银天运</w:t>
            </w:r>
            <w:proofErr w:type="gramStart"/>
            <w:r w:rsidRPr="000E4C40">
              <w:rPr>
                <w:sz w:val="24"/>
              </w:rPr>
              <w:t>宝货币</w:t>
            </w:r>
            <w:proofErr w:type="gramEnd"/>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交银天运</w:t>
            </w:r>
            <w:proofErr w:type="gramStart"/>
            <w:r w:rsidRPr="000E4C40">
              <w:rPr>
                <w:sz w:val="24"/>
              </w:rPr>
              <w:t>宝货币</w:t>
            </w:r>
            <w:proofErr w:type="gramEnd"/>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12,545,180.67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212,106,097.33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9,191,027.96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99,698,040.43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10,270,948.42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120,265,407.46</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11,465,260.21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191,538,730.30</w:t>
            </w:r>
          </w:p>
        </w:tc>
      </w:tr>
    </w:tbl>
    <w:p w:rsidR="000A2EFF" w:rsidRDefault="00AB192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0A2EFF" w:rsidRDefault="00AB1921">
      <w:pPr>
        <w:autoSpaceDE w:val="0"/>
        <w:autoSpaceDN w:val="0"/>
        <w:adjustRightInd w:val="0"/>
        <w:spacing w:before="29" w:line="288" w:lineRule="auto"/>
        <w:jc w:val="left"/>
        <w:rPr>
          <w:color w:val="000000"/>
          <w:sz w:val="24"/>
        </w:rPr>
      </w:pPr>
      <w:r>
        <w:rPr>
          <w:color w:val="000000"/>
          <w:sz w:val="24"/>
        </w:rPr>
        <w:t xml:space="preserve"> </w:t>
      </w:r>
      <w:r w:rsidR="00865074">
        <w:rPr>
          <w:rFonts w:hint="eastAsia"/>
          <w:color w:val="000000"/>
          <w:sz w:val="24"/>
        </w:rPr>
        <w:t xml:space="preserve">   </w:t>
      </w:r>
      <w:r>
        <w:rPr>
          <w:color w:val="000000"/>
          <w:sz w:val="24"/>
        </w:rPr>
        <w:t>2</w:t>
      </w:r>
      <w:r>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bookmarkStart w:id="2" w:name="_GoBack"/>
      <w:bookmarkEnd w:id="2"/>
    </w:p>
    <w:p w:rsidR="000F2DA3" w:rsidRPr="000E4C40" w:rsidRDefault="000F2DA3" w:rsidP="0086507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0A2EFF">
        <w:trPr>
          <w:jc w:val="center"/>
        </w:trPr>
        <w:tc>
          <w:tcPr>
            <w:tcW w:w="1454" w:type="dxa"/>
            <w:vAlign w:val="center"/>
          </w:tcPr>
          <w:p w:rsidR="000A2EFF" w:rsidRDefault="00AB1921">
            <w:pPr>
              <w:jc w:val="center"/>
            </w:pPr>
            <w:r>
              <w:rPr>
                <w:color w:val="000000"/>
                <w:sz w:val="24"/>
              </w:rPr>
              <w:t>1</w:t>
            </w:r>
          </w:p>
        </w:tc>
        <w:tc>
          <w:tcPr>
            <w:tcW w:w="1678" w:type="dxa"/>
            <w:vAlign w:val="center"/>
          </w:tcPr>
          <w:p w:rsidR="000A2EFF" w:rsidRDefault="00AB1921">
            <w:pPr>
              <w:jc w:val="center"/>
            </w:pPr>
            <w:r>
              <w:rPr>
                <w:color w:val="000000"/>
                <w:sz w:val="24"/>
              </w:rPr>
              <w:t>A</w:t>
            </w:r>
            <w:r>
              <w:rPr>
                <w:color w:val="000000"/>
                <w:sz w:val="24"/>
              </w:rPr>
              <w:t>类份额红利再投</w:t>
            </w:r>
          </w:p>
        </w:tc>
        <w:tc>
          <w:tcPr>
            <w:tcW w:w="1249" w:type="dxa"/>
            <w:vAlign w:val="center"/>
          </w:tcPr>
          <w:p w:rsidR="000A2EFF" w:rsidRDefault="00AB1921">
            <w:pPr>
              <w:jc w:val="center"/>
            </w:pPr>
            <w:r>
              <w:rPr>
                <w:color w:val="000000"/>
                <w:sz w:val="24"/>
              </w:rPr>
              <w:t>-</w:t>
            </w:r>
          </w:p>
        </w:tc>
        <w:tc>
          <w:tcPr>
            <w:tcW w:w="1544" w:type="dxa"/>
            <w:vAlign w:val="center"/>
          </w:tcPr>
          <w:p w:rsidR="000A2EFF" w:rsidRDefault="00AB1921">
            <w:pPr>
              <w:jc w:val="right"/>
            </w:pPr>
            <w:r>
              <w:rPr>
                <w:color w:val="000000"/>
                <w:sz w:val="24"/>
              </w:rPr>
              <w:t>24,123.06</w:t>
            </w:r>
          </w:p>
        </w:tc>
        <w:tc>
          <w:tcPr>
            <w:tcW w:w="1670" w:type="dxa"/>
            <w:vAlign w:val="center"/>
          </w:tcPr>
          <w:p w:rsidR="000A2EFF" w:rsidRDefault="00AB1921">
            <w:pPr>
              <w:jc w:val="right"/>
            </w:pPr>
            <w:r>
              <w:rPr>
                <w:color w:val="000000"/>
                <w:sz w:val="24"/>
              </w:rPr>
              <w:t>24,123.06</w:t>
            </w:r>
          </w:p>
        </w:tc>
        <w:tc>
          <w:tcPr>
            <w:tcW w:w="1273" w:type="dxa"/>
            <w:vAlign w:val="center"/>
          </w:tcPr>
          <w:p w:rsidR="000A2EFF" w:rsidRDefault="00AB1921">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24,123.06</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24,123.06</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0A2EFF" w:rsidRDefault="00AB192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3,028,968.14</w:t>
      </w:r>
      <w:r>
        <w:rPr>
          <w:color w:val="000000"/>
          <w:sz w:val="24"/>
        </w:rPr>
        <w:t>份，占本基金期末</w:t>
      </w:r>
      <w:r>
        <w:rPr>
          <w:color w:val="000000"/>
          <w:sz w:val="24"/>
        </w:rPr>
        <w:t>A</w:t>
      </w:r>
      <w:r>
        <w:rPr>
          <w:color w:val="000000"/>
          <w:sz w:val="24"/>
        </w:rPr>
        <w:t>类基金总份额的</w:t>
      </w:r>
      <w:r>
        <w:rPr>
          <w:color w:val="000000"/>
          <w:sz w:val="24"/>
        </w:rPr>
        <w:t>26.42%</w:t>
      </w:r>
      <w:r>
        <w:rPr>
          <w:color w:val="000000"/>
          <w:sz w:val="24"/>
        </w:rPr>
        <w:t>，本基金管理人本报告期末持有本基金</w:t>
      </w:r>
      <w:r>
        <w:rPr>
          <w:color w:val="000000"/>
          <w:sz w:val="24"/>
        </w:rPr>
        <w:t>E</w:t>
      </w:r>
      <w:r>
        <w:rPr>
          <w:color w:val="000000"/>
          <w:sz w:val="24"/>
        </w:rPr>
        <w:t>类份额</w:t>
      </w:r>
      <w:r>
        <w:rPr>
          <w:color w:val="000000"/>
          <w:sz w:val="24"/>
        </w:rPr>
        <w:t>0.00</w:t>
      </w:r>
      <w:r>
        <w:rPr>
          <w:color w:val="000000"/>
          <w:sz w:val="24"/>
        </w:rPr>
        <w:t>份，占本基金期末</w:t>
      </w:r>
      <w:r>
        <w:rPr>
          <w:color w:val="000000"/>
          <w:sz w:val="24"/>
        </w:rPr>
        <w:t>E</w:t>
      </w:r>
      <w:r>
        <w:rPr>
          <w:color w:val="000000"/>
          <w:sz w:val="24"/>
        </w:rPr>
        <w:t>类基金总份额的</w:t>
      </w:r>
      <w:r>
        <w:rPr>
          <w:color w:val="000000"/>
          <w:sz w:val="24"/>
        </w:rPr>
        <w:t>0.00%</w:t>
      </w:r>
      <w:r>
        <w:rPr>
          <w:color w:val="000000"/>
          <w:sz w:val="24"/>
        </w:rPr>
        <w:t>。</w:t>
      </w:r>
    </w:p>
    <w:p w:rsidR="000F2DA3" w:rsidRPr="000E4C40" w:rsidRDefault="000F2DA3" w:rsidP="00865074">
      <w:pPr>
        <w:autoSpaceDE w:val="0"/>
        <w:autoSpaceDN w:val="0"/>
        <w:adjustRightInd w:val="0"/>
        <w:spacing w:before="29" w:line="288" w:lineRule="auto"/>
        <w:ind w:firstLineChars="200" w:firstLine="480"/>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3D1E1A" w:rsidRPr="00865074" w:rsidRDefault="003D1E1A" w:rsidP="00865074">
      <w:pPr>
        <w:pStyle w:val="1"/>
        <w:spacing w:beforeLines="100" w:before="312" w:afterLines="100" w:after="312" w:line="360" w:lineRule="auto"/>
        <w:jc w:val="center"/>
        <w:rPr>
          <w:rFonts w:eastAsiaTheme="minorEastAsia"/>
          <w:color w:val="000000" w:themeColor="text1"/>
          <w:kern w:val="0"/>
          <w:sz w:val="24"/>
          <w:szCs w:val="24"/>
        </w:rPr>
      </w:pPr>
      <w:r w:rsidRPr="00865074">
        <w:rPr>
          <w:rFonts w:eastAsiaTheme="minorEastAsia"/>
          <w:color w:val="000000" w:themeColor="text1"/>
          <w:kern w:val="0"/>
          <w:sz w:val="24"/>
          <w:szCs w:val="24"/>
        </w:rPr>
        <w:t xml:space="preserve">§8  </w:t>
      </w:r>
      <w:r w:rsidRPr="00865074">
        <w:rPr>
          <w:rFonts w:eastAsiaTheme="minorEastAsia"/>
          <w:color w:val="000000" w:themeColor="text1"/>
          <w:kern w:val="0"/>
          <w:sz w:val="24"/>
          <w:szCs w:val="24"/>
        </w:rPr>
        <w:t>影响投资者决策的其他重要信息</w:t>
      </w:r>
    </w:p>
    <w:p w:rsidR="003D1E1A" w:rsidRPr="00865074" w:rsidRDefault="003D1E1A" w:rsidP="003D1E1A">
      <w:pPr>
        <w:autoSpaceDE w:val="0"/>
        <w:autoSpaceDN w:val="0"/>
        <w:adjustRightInd w:val="0"/>
        <w:spacing w:line="360" w:lineRule="auto"/>
        <w:jc w:val="left"/>
        <w:rPr>
          <w:b/>
          <w:bCs/>
          <w:color w:val="000000"/>
          <w:kern w:val="0"/>
          <w:sz w:val="24"/>
        </w:rPr>
      </w:pPr>
      <w:r w:rsidRPr="00865074">
        <w:rPr>
          <w:b/>
          <w:bCs/>
          <w:color w:val="000000"/>
          <w:kern w:val="0"/>
          <w:sz w:val="24"/>
        </w:rPr>
        <w:t xml:space="preserve">8.1 </w:t>
      </w:r>
      <w:r w:rsidRPr="00865074">
        <w:rPr>
          <w:b/>
          <w:bCs/>
          <w:color w:val="000000"/>
          <w:kern w:val="0"/>
          <w:sz w:val="24"/>
        </w:rPr>
        <w:t>报告期内单一投资者持有基金份额比例达到或超过</w:t>
      </w:r>
      <w:r w:rsidRPr="00865074">
        <w:rPr>
          <w:b/>
          <w:bCs/>
          <w:color w:val="000000"/>
          <w:kern w:val="0"/>
          <w:sz w:val="24"/>
        </w:rPr>
        <w:t>20%</w:t>
      </w:r>
      <w:r w:rsidRPr="00865074">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A2EFF">
        <w:tc>
          <w:tcPr>
            <w:tcW w:w="992" w:type="dxa"/>
            <w:vMerge w:val="restart"/>
          </w:tcPr>
          <w:p w:rsidR="000A2EFF" w:rsidRDefault="000A2EFF"/>
          <w:p w:rsidR="000A2EFF" w:rsidRDefault="00AB1921">
            <w:r>
              <w:rPr>
                <w:rFonts w:ascii="宋体" w:hAnsi="宋体" w:hint="eastAsia"/>
                <w:bCs/>
                <w:color w:val="000000"/>
                <w:kern w:val="0"/>
                <w:szCs w:val="21"/>
              </w:rPr>
              <w:t>机构</w:t>
            </w:r>
          </w:p>
        </w:tc>
        <w:tc>
          <w:tcPr>
            <w:tcW w:w="991" w:type="dxa"/>
            <w:vAlign w:val="center"/>
          </w:tcPr>
          <w:p w:rsidR="000A2EFF" w:rsidRDefault="00AB1921">
            <w:pPr>
              <w:jc w:val="center"/>
            </w:pPr>
            <w:r>
              <w:rPr>
                <w:rFonts w:ascii="宋体" w:hAnsi="宋体" w:hint="eastAsia"/>
                <w:color w:val="000000"/>
                <w:kern w:val="0"/>
                <w:szCs w:val="21"/>
              </w:rPr>
              <w:t>1</w:t>
            </w:r>
          </w:p>
        </w:tc>
        <w:tc>
          <w:tcPr>
            <w:tcW w:w="1843" w:type="dxa"/>
            <w:vAlign w:val="center"/>
          </w:tcPr>
          <w:p w:rsidR="000A2EFF" w:rsidRDefault="00AB1921">
            <w:pPr>
              <w:jc w:val="center"/>
            </w:pPr>
            <w:r>
              <w:rPr>
                <w:rFonts w:ascii="宋体" w:hAnsi="宋体" w:hint="eastAsia"/>
                <w:color w:val="000000"/>
                <w:kern w:val="0"/>
                <w:szCs w:val="21"/>
              </w:rPr>
              <w:t>2018/7/1-2018/9/30</w:t>
            </w:r>
          </w:p>
        </w:tc>
        <w:tc>
          <w:tcPr>
            <w:tcW w:w="851" w:type="dxa"/>
            <w:vAlign w:val="center"/>
          </w:tcPr>
          <w:p w:rsidR="000A2EFF" w:rsidRDefault="00AB1921">
            <w:pPr>
              <w:jc w:val="center"/>
            </w:pPr>
            <w:r>
              <w:rPr>
                <w:rFonts w:ascii="宋体" w:hAnsi="宋体" w:hint="eastAsia"/>
                <w:color w:val="000000"/>
                <w:kern w:val="0"/>
                <w:szCs w:val="21"/>
              </w:rPr>
              <w:t>80,122,446.96</w:t>
            </w:r>
          </w:p>
        </w:tc>
        <w:tc>
          <w:tcPr>
            <w:tcW w:w="850" w:type="dxa"/>
            <w:vAlign w:val="center"/>
          </w:tcPr>
          <w:p w:rsidR="000A2EFF" w:rsidRDefault="00AB1921">
            <w:pPr>
              <w:jc w:val="center"/>
            </w:pPr>
            <w:r>
              <w:rPr>
                <w:rFonts w:ascii="宋体" w:hAnsi="宋体" w:hint="eastAsia"/>
                <w:color w:val="000000"/>
                <w:kern w:val="0"/>
                <w:szCs w:val="21"/>
              </w:rPr>
              <w:t>691,777.71</w:t>
            </w:r>
          </w:p>
        </w:tc>
        <w:tc>
          <w:tcPr>
            <w:tcW w:w="1134" w:type="dxa"/>
            <w:vAlign w:val="center"/>
          </w:tcPr>
          <w:p w:rsidR="000A2EFF" w:rsidRDefault="00AB1921">
            <w:pPr>
              <w:jc w:val="center"/>
            </w:pPr>
            <w:r>
              <w:rPr>
                <w:rFonts w:ascii="宋体" w:hAnsi="宋体" w:hint="eastAsia"/>
                <w:color w:val="000000"/>
                <w:kern w:val="0"/>
                <w:szCs w:val="21"/>
              </w:rPr>
              <w:t>-</w:t>
            </w:r>
          </w:p>
        </w:tc>
        <w:tc>
          <w:tcPr>
            <w:tcW w:w="1419" w:type="dxa"/>
            <w:vAlign w:val="center"/>
          </w:tcPr>
          <w:p w:rsidR="000A2EFF" w:rsidRDefault="00AB1921">
            <w:pPr>
              <w:jc w:val="center"/>
            </w:pPr>
            <w:r>
              <w:rPr>
                <w:rFonts w:ascii="宋体" w:hAnsi="宋体" w:hint="eastAsia"/>
                <w:color w:val="000000"/>
                <w:kern w:val="0"/>
                <w:szCs w:val="21"/>
              </w:rPr>
              <w:t>80,814,224.67</w:t>
            </w:r>
          </w:p>
        </w:tc>
        <w:tc>
          <w:tcPr>
            <w:tcW w:w="1130" w:type="dxa"/>
            <w:vAlign w:val="center"/>
          </w:tcPr>
          <w:p w:rsidR="000A2EFF" w:rsidRDefault="00AB1921">
            <w:pPr>
              <w:jc w:val="center"/>
            </w:pPr>
            <w:r>
              <w:rPr>
                <w:rFonts w:ascii="宋体" w:hAnsi="宋体" w:hint="eastAsia"/>
                <w:color w:val="000000"/>
                <w:kern w:val="0"/>
                <w:szCs w:val="21"/>
              </w:rPr>
              <w:t>39.81%</w:t>
            </w:r>
          </w:p>
        </w:tc>
      </w:tr>
      <w:tr w:rsidR="000A2EFF">
        <w:tc>
          <w:tcPr>
            <w:tcW w:w="992" w:type="dxa"/>
            <w:vMerge/>
          </w:tcPr>
          <w:p w:rsidR="000A2EFF" w:rsidRDefault="000A2EFF"/>
        </w:tc>
        <w:tc>
          <w:tcPr>
            <w:tcW w:w="991" w:type="dxa"/>
            <w:vAlign w:val="center"/>
          </w:tcPr>
          <w:p w:rsidR="000A2EFF" w:rsidRDefault="00AB1921">
            <w:pPr>
              <w:jc w:val="center"/>
            </w:pPr>
            <w:r>
              <w:rPr>
                <w:rFonts w:ascii="宋体" w:hAnsi="宋体" w:hint="eastAsia"/>
                <w:color w:val="000000"/>
                <w:kern w:val="0"/>
                <w:szCs w:val="21"/>
              </w:rPr>
              <w:t>2</w:t>
            </w:r>
          </w:p>
        </w:tc>
        <w:tc>
          <w:tcPr>
            <w:tcW w:w="1843" w:type="dxa"/>
            <w:vAlign w:val="center"/>
          </w:tcPr>
          <w:p w:rsidR="000A2EFF" w:rsidRDefault="00AB1921">
            <w:pPr>
              <w:jc w:val="center"/>
            </w:pPr>
            <w:r>
              <w:rPr>
                <w:rFonts w:ascii="宋体" w:hAnsi="宋体" w:hint="eastAsia"/>
                <w:color w:val="000000"/>
                <w:kern w:val="0"/>
                <w:szCs w:val="21"/>
              </w:rPr>
              <w:t>2018/7/1-2018/9/30</w:t>
            </w:r>
          </w:p>
        </w:tc>
        <w:tc>
          <w:tcPr>
            <w:tcW w:w="851" w:type="dxa"/>
            <w:vAlign w:val="center"/>
          </w:tcPr>
          <w:p w:rsidR="000A2EFF" w:rsidRDefault="00AB1921">
            <w:pPr>
              <w:jc w:val="center"/>
            </w:pPr>
            <w:r>
              <w:rPr>
                <w:rFonts w:ascii="宋体" w:hAnsi="宋体" w:hint="eastAsia"/>
                <w:color w:val="000000"/>
                <w:kern w:val="0"/>
                <w:szCs w:val="21"/>
              </w:rPr>
              <w:t>50,984,412.90</w:t>
            </w:r>
          </w:p>
        </w:tc>
        <w:tc>
          <w:tcPr>
            <w:tcW w:w="850" w:type="dxa"/>
            <w:vAlign w:val="center"/>
          </w:tcPr>
          <w:p w:rsidR="000A2EFF" w:rsidRDefault="00AB1921">
            <w:pPr>
              <w:jc w:val="center"/>
            </w:pPr>
            <w:r>
              <w:rPr>
                <w:rFonts w:ascii="宋体" w:hAnsi="宋体" w:hint="eastAsia"/>
                <w:color w:val="000000"/>
                <w:kern w:val="0"/>
                <w:szCs w:val="21"/>
              </w:rPr>
              <w:t>440,199.73</w:t>
            </w:r>
          </w:p>
        </w:tc>
        <w:tc>
          <w:tcPr>
            <w:tcW w:w="1134" w:type="dxa"/>
            <w:vAlign w:val="center"/>
          </w:tcPr>
          <w:p w:rsidR="000A2EFF" w:rsidRDefault="00AB1921">
            <w:pPr>
              <w:jc w:val="center"/>
            </w:pPr>
            <w:r>
              <w:rPr>
                <w:rFonts w:ascii="宋体" w:hAnsi="宋体" w:hint="eastAsia"/>
                <w:color w:val="000000"/>
                <w:kern w:val="0"/>
                <w:szCs w:val="21"/>
              </w:rPr>
              <w:t>-</w:t>
            </w:r>
          </w:p>
        </w:tc>
        <w:tc>
          <w:tcPr>
            <w:tcW w:w="1419" w:type="dxa"/>
            <w:vAlign w:val="center"/>
          </w:tcPr>
          <w:p w:rsidR="000A2EFF" w:rsidRDefault="00AB1921">
            <w:pPr>
              <w:jc w:val="center"/>
            </w:pPr>
            <w:r>
              <w:rPr>
                <w:rFonts w:ascii="宋体" w:hAnsi="宋体" w:hint="eastAsia"/>
                <w:color w:val="000000"/>
                <w:kern w:val="0"/>
                <w:szCs w:val="21"/>
              </w:rPr>
              <w:t>51,424,612.63</w:t>
            </w:r>
          </w:p>
        </w:tc>
        <w:tc>
          <w:tcPr>
            <w:tcW w:w="1130" w:type="dxa"/>
            <w:vAlign w:val="center"/>
          </w:tcPr>
          <w:p w:rsidR="000A2EFF" w:rsidRDefault="00AB1921">
            <w:pPr>
              <w:jc w:val="center"/>
            </w:pPr>
            <w:r>
              <w:rPr>
                <w:rFonts w:ascii="宋体" w:hAnsi="宋体" w:hint="eastAsia"/>
                <w:color w:val="000000"/>
                <w:kern w:val="0"/>
                <w:szCs w:val="21"/>
              </w:rPr>
              <w:t>25.33%</w:t>
            </w:r>
          </w:p>
        </w:tc>
      </w:tr>
      <w:tr w:rsidR="000A2EFF">
        <w:tc>
          <w:tcPr>
            <w:tcW w:w="992" w:type="dxa"/>
            <w:vMerge/>
          </w:tcPr>
          <w:p w:rsidR="000A2EFF" w:rsidRDefault="000A2EFF"/>
        </w:tc>
        <w:tc>
          <w:tcPr>
            <w:tcW w:w="991" w:type="dxa"/>
            <w:vAlign w:val="center"/>
          </w:tcPr>
          <w:p w:rsidR="000A2EFF" w:rsidRDefault="00AB1921">
            <w:pPr>
              <w:jc w:val="center"/>
            </w:pPr>
            <w:r>
              <w:rPr>
                <w:rFonts w:ascii="宋体" w:hAnsi="宋体" w:hint="eastAsia"/>
                <w:color w:val="000000"/>
                <w:kern w:val="0"/>
                <w:szCs w:val="21"/>
              </w:rPr>
              <w:t>3</w:t>
            </w:r>
          </w:p>
        </w:tc>
        <w:tc>
          <w:tcPr>
            <w:tcW w:w="1843" w:type="dxa"/>
            <w:vAlign w:val="center"/>
          </w:tcPr>
          <w:p w:rsidR="000A2EFF" w:rsidRDefault="00AB1921">
            <w:pPr>
              <w:jc w:val="center"/>
            </w:pPr>
            <w:r>
              <w:rPr>
                <w:rFonts w:ascii="宋体" w:hAnsi="宋体" w:hint="eastAsia"/>
                <w:color w:val="000000"/>
                <w:kern w:val="0"/>
                <w:szCs w:val="21"/>
              </w:rPr>
              <w:t>2018/7/1-2018/9/30</w:t>
            </w:r>
          </w:p>
        </w:tc>
        <w:tc>
          <w:tcPr>
            <w:tcW w:w="851" w:type="dxa"/>
            <w:vAlign w:val="center"/>
          </w:tcPr>
          <w:p w:rsidR="000A2EFF" w:rsidRDefault="00AB1921">
            <w:pPr>
              <w:jc w:val="center"/>
            </w:pPr>
            <w:r>
              <w:rPr>
                <w:rFonts w:ascii="宋体" w:hAnsi="宋体" w:hint="eastAsia"/>
                <w:color w:val="000000"/>
                <w:kern w:val="0"/>
                <w:szCs w:val="21"/>
              </w:rPr>
              <w:t>40,909,432.65</w:t>
            </w:r>
          </w:p>
        </w:tc>
        <w:tc>
          <w:tcPr>
            <w:tcW w:w="850" w:type="dxa"/>
            <w:vAlign w:val="center"/>
          </w:tcPr>
          <w:p w:rsidR="000A2EFF" w:rsidRDefault="00AB1921">
            <w:pPr>
              <w:jc w:val="center"/>
            </w:pPr>
            <w:r>
              <w:rPr>
                <w:rFonts w:ascii="宋体" w:hAnsi="宋体" w:hint="eastAsia"/>
                <w:color w:val="000000"/>
                <w:kern w:val="0"/>
                <w:szCs w:val="21"/>
              </w:rPr>
              <w:t>353,211.92</w:t>
            </w:r>
          </w:p>
        </w:tc>
        <w:tc>
          <w:tcPr>
            <w:tcW w:w="1134" w:type="dxa"/>
            <w:vAlign w:val="center"/>
          </w:tcPr>
          <w:p w:rsidR="000A2EFF" w:rsidRDefault="00AB1921">
            <w:pPr>
              <w:jc w:val="center"/>
            </w:pPr>
            <w:r>
              <w:rPr>
                <w:rFonts w:ascii="宋体" w:hAnsi="宋体" w:hint="eastAsia"/>
                <w:color w:val="000000"/>
                <w:kern w:val="0"/>
                <w:szCs w:val="21"/>
              </w:rPr>
              <w:t>-</w:t>
            </w:r>
          </w:p>
        </w:tc>
        <w:tc>
          <w:tcPr>
            <w:tcW w:w="1419" w:type="dxa"/>
            <w:vAlign w:val="center"/>
          </w:tcPr>
          <w:p w:rsidR="000A2EFF" w:rsidRDefault="00AB1921">
            <w:pPr>
              <w:jc w:val="center"/>
            </w:pPr>
            <w:r>
              <w:rPr>
                <w:rFonts w:ascii="宋体" w:hAnsi="宋体" w:hint="eastAsia"/>
                <w:color w:val="000000"/>
                <w:kern w:val="0"/>
                <w:szCs w:val="21"/>
              </w:rPr>
              <w:t>41,262,644.57</w:t>
            </w:r>
          </w:p>
        </w:tc>
        <w:tc>
          <w:tcPr>
            <w:tcW w:w="1130" w:type="dxa"/>
            <w:vAlign w:val="center"/>
          </w:tcPr>
          <w:p w:rsidR="000A2EFF" w:rsidRDefault="00AB1921">
            <w:pPr>
              <w:jc w:val="center"/>
            </w:pPr>
            <w:r>
              <w:rPr>
                <w:rFonts w:ascii="宋体" w:hAnsi="宋体" w:hint="eastAsia"/>
                <w:color w:val="000000"/>
                <w:kern w:val="0"/>
                <w:szCs w:val="21"/>
              </w:rPr>
              <w:t>20.33%</w:t>
            </w:r>
          </w:p>
        </w:tc>
      </w:tr>
      <w:tr w:rsidR="000A2EFF">
        <w:tc>
          <w:tcPr>
            <w:tcW w:w="992" w:type="dxa"/>
            <w:vMerge/>
          </w:tcPr>
          <w:p w:rsidR="000A2EFF" w:rsidRDefault="000A2EFF"/>
        </w:tc>
        <w:tc>
          <w:tcPr>
            <w:tcW w:w="991" w:type="dxa"/>
            <w:vAlign w:val="center"/>
          </w:tcPr>
          <w:p w:rsidR="000A2EFF" w:rsidRDefault="00AB1921">
            <w:pPr>
              <w:jc w:val="center"/>
            </w:pPr>
            <w:r>
              <w:rPr>
                <w:rFonts w:ascii="宋体" w:hAnsi="宋体" w:hint="eastAsia"/>
                <w:color w:val="000000"/>
                <w:kern w:val="0"/>
                <w:szCs w:val="21"/>
              </w:rPr>
              <w:t>4</w:t>
            </w:r>
          </w:p>
        </w:tc>
        <w:tc>
          <w:tcPr>
            <w:tcW w:w="1843" w:type="dxa"/>
            <w:vAlign w:val="center"/>
          </w:tcPr>
          <w:p w:rsidR="000A2EFF" w:rsidRDefault="00AB1921">
            <w:pPr>
              <w:jc w:val="center"/>
            </w:pPr>
            <w:r>
              <w:rPr>
                <w:rFonts w:ascii="宋体" w:hAnsi="宋体" w:hint="eastAsia"/>
                <w:color w:val="000000"/>
                <w:kern w:val="0"/>
                <w:szCs w:val="21"/>
              </w:rPr>
              <w:t>2018/7/1-2018/9/30</w:t>
            </w:r>
          </w:p>
        </w:tc>
        <w:tc>
          <w:tcPr>
            <w:tcW w:w="851" w:type="dxa"/>
            <w:vAlign w:val="center"/>
          </w:tcPr>
          <w:p w:rsidR="000A2EFF" w:rsidRDefault="00AB1921">
            <w:pPr>
              <w:jc w:val="center"/>
            </w:pPr>
            <w:r>
              <w:rPr>
                <w:rFonts w:ascii="宋体" w:hAnsi="宋体" w:hint="eastAsia"/>
                <w:color w:val="000000"/>
                <w:kern w:val="0"/>
                <w:szCs w:val="21"/>
              </w:rPr>
              <w:t>-</w:t>
            </w:r>
          </w:p>
        </w:tc>
        <w:tc>
          <w:tcPr>
            <w:tcW w:w="850" w:type="dxa"/>
            <w:vAlign w:val="center"/>
          </w:tcPr>
          <w:p w:rsidR="000A2EFF" w:rsidRDefault="00AB1921">
            <w:pPr>
              <w:jc w:val="center"/>
            </w:pPr>
            <w:r>
              <w:rPr>
                <w:rFonts w:ascii="宋体" w:hAnsi="宋体" w:hint="eastAsia"/>
                <w:color w:val="000000"/>
                <w:kern w:val="0"/>
                <w:szCs w:val="21"/>
              </w:rPr>
              <w:t>50,021,622.68</w:t>
            </w:r>
          </w:p>
        </w:tc>
        <w:tc>
          <w:tcPr>
            <w:tcW w:w="1134" w:type="dxa"/>
            <w:vAlign w:val="center"/>
          </w:tcPr>
          <w:p w:rsidR="000A2EFF" w:rsidRDefault="00AB1921">
            <w:pPr>
              <w:jc w:val="center"/>
            </w:pPr>
            <w:r>
              <w:rPr>
                <w:rFonts w:ascii="宋体" w:hAnsi="宋体" w:hint="eastAsia"/>
                <w:color w:val="000000"/>
                <w:kern w:val="0"/>
                <w:szCs w:val="21"/>
              </w:rPr>
              <w:t>50,021,622.68</w:t>
            </w:r>
          </w:p>
        </w:tc>
        <w:tc>
          <w:tcPr>
            <w:tcW w:w="1419" w:type="dxa"/>
            <w:vAlign w:val="center"/>
          </w:tcPr>
          <w:p w:rsidR="000A2EFF" w:rsidRDefault="00AB1921">
            <w:pPr>
              <w:jc w:val="center"/>
            </w:pPr>
            <w:r>
              <w:rPr>
                <w:rFonts w:ascii="宋体" w:hAnsi="宋体" w:hint="eastAsia"/>
                <w:color w:val="000000"/>
                <w:kern w:val="0"/>
                <w:szCs w:val="21"/>
              </w:rPr>
              <w:t>-</w:t>
            </w:r>
          </w:p>
        </w:tc>
        <w:tc>
          <w:tcPr>
            <w:tcW w:w="1130" w:type="dxa"/>
            <w:vAlign w:val="center"/>
          </w:tcPr>
          <w:p w:rsidR="000A2EFF" w:rsidRDefault="00AB1921">
            <w:pPr>
              <w:jc w:val="center"/>
            </w:pPr>
            <w:r>
              <w:rPr>
                <w:rFonts w:ascii="宋体" w:hAnsi="宋体" w:hint="eastAsia"/>
                <w:color w:val="000000"/>
                <w:kern w:val="0"/>
                <w:szCs w:val="21"/>
              </w:rPr>
              <w:t>-</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6507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0A2EFF" w:rsidRDefault="00AB1921">
      <w:pPr>
        <w:spacing w:before="29" w:line="288" w:lineRule="auto"/>
        <w:ind w:firstLineChars="200" w:firstLine="480"/>
        <w:rPr>
          <w:color w:val="000000"/>
          <w:sz w:val="24"/>
        </w:rPr>
      </w:pPr>
      <w:r>
        <w:rPr>
          <w:color w:val="000000"/>
          <w:sz w:val="24"/>
        </w:rPr>
        <w:t>1</w:t>
      </w:r>
      <w:r>
        <w:rPr>
          <w:color w:val="000000"/>
          <w:sz w:val="24"/>
        </w:rPr>
        <w:t>、中国证监会准予交银施罗德天运宝货币市场基金募集注册的文件；</w:t>
      </w:r>
      <w:r>
        <w:rPr>
          <w:color w:val="000000"/>
          <w:sz w:val="24"/>
        </w:rPr>
        <w:t xml:space="preserve"> </w:t>
      </w:r>
    </w:p>
    <w:p w:rsidR="000A2EFF" w:rsidRDefault="00AB1921">
      <w:pPr>
        <w:spacing w:before="29" w:line="288" w:lineRule="auto"/>
        <w:ind w:firstLineChars="200" w:firstLine="480"/>
        <w:rPr>
          <w:color w:val="000000"/>
          <w:sz w:val="24"/>
        </w:rPr>
      </w:pPr>
      <w:r>
        <w:rPr>
          <w:color w:val="000000"/>
          <w:sz w:val="24"/>
        </w:rPr>
        <w:t>2</w:t>
      </w:r>
      <w:r>
        <w:rPr>
          <w:color w:val="000000"/>
          <w:sz w:val="24"/>
        </w:rPr>
        <w:t>、《交银施罗德天运宝货币市场基金基金合同》；</w:t>
      </w:r>
      <w:r>
        <w:rPr>
          <w:color w:val="000000"/>
          <w:sz w:val="24"/>
        </w:rPr>
        <w:t xml:space="preserve"> </w:t>
      </w:r>
    </w:p>
    <w:p w:rsidR="000A2EFF" w:rsidRDefault="00AB1921">
      <w:pPr>
        <w:spacing w:before="29" w:line="288" w:lineRule="auto"/>
        <w:ind w:firstLineChars="200" w:firstLine="480"/>
        <w:rPr>
          <w:color w:val="000000"/>
          <w:sz w:val="24"/>
        </w:rPr>
      </w:pPr>
      <w:r>
        <w:rPr>
          <w:color w:val="000000"/>
          <w:sz w:val="24"/>
        </w:rPr>
        <w:t>3</w:t>
      </w:r>
      <w:r>
        <w:rPr>
          <w:color w:val="000000"/>
          <w:sz w:val="24"/>
        </w:rPr>
        <w:t>、《交银施罗德天运宝货币市场基金招募说明书》；</w:t>
      </w:r>
      <w:r>
        <w:rPr>
          <w:color w:val="000000"/>
          <w:sz w:val="24"/>
        </w:rPr>
        <w:t xml:space="preserve"> </w:t>
      </w:r>
    </w:p>
    <w:p w:rsidR="000A2EFF" w:rsidRDefault="00AB1921">
      <w:pPr>
        <w:spacing w:before="29" w:line="288" w:lineRule="auto"/>
        <w:ind w:firstLineChars="200" w:firstLine="480"/>
        <w:rPr>
          <w:color w:val="000000"/>
          <w:sz w:val="24"/>
        </w:rPr>
      </w:pPr>
      <w:r>
        <w:rPr>
          <w:color w:val="000000"/>
          <w:sz w:val="24"/>
        </w:rPr>
        <w:t>4</w:t>
      </w:r>
      <w:r>
        <w:rPr>
          <w:color w:val="000000"/>
          <w:sz w:val="24"/>
        </w:rPr>
        <w:t>、《交银施罗德天运宝货币市场基金托管协议》；</w:t>
      </w:r>
      <w:r>
        <w:rPr>
          <w:color w:val="000000"/>
          <w:sz w:val="24"/>
        </w:rPr>
        <w:t xml:space="preserve"> </w:t>
      </w:r>
    </w:p>
    <w:p w:rsidR="000A2EFF" w:rsidRDefault="00AB1921">
      <w:pPr>
        <w:spacing w:before="29" w:line="288" w:lineRule="auto"/>
        <w:ind w:firstLineChars="200" w:firstLine="480"/>
        <w:rPr>
          <w:color w:val="000000"/>
          <w:sz w:val="24"/>
        </w:rPr>
      </w:pPr>
      <w:r>
        <w:rPr>
          <w:color w:val="000000"/>
          <w:sz w:val="24"/>
        </w:rPr>
        <w:t>5</w:t>
      </w:r>
      <w:r>
        <w:rPr>
          <w:color w:val="000000"/>
          <w:sz w:val="24"/>
        </w:rPr>
        <w:t>、关于申请募集注册交银施罗德天运宝货币市场基金的法律意见书；</w:t>
      </w:r>
      <w:r>
        <w:rPr>
          <w:color w:val="000000"/>
          <w:sz w:val="24"/>
        </w:rPr>
        <w:t xml:space="preserve"> </w:t>
      </w:r>
    </w:p>
    <w:p w:rsidR="000A2EFF" w:rsidRDefault="00AB192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0A2EFF" w:rsidRDefault="00AB192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0A2EFF" w:rsidRDefault="00AB1921">
      <w:pPr>
        <w:spacing w:before="29" w:line="288" w:lineRule="auto"/>
        <w:ind w:firstLineChars="200" w:firstLine="480"/>
        <w:rPr>
          <w:color w:val="000000"/>
          <w:sz w:val="24"/>
        </w:rPr>
      </w:pPr>
      <w:r>
        <w:rPr>
          <w:color w:val="000000"/>
          <w:sz w:val="24"/>
        </w:rPr>
        <w:t>8</w:t>
      </w:r>
      <w:r>
        <w:rPr>
          <w:color w:val="000000"/>
          <w:sz w:val="24"/>
        </w:rPr>
        <w:t>、报告期内交银施罗德天运宝货币市场基金在指定报刊上各项公告的原稿。</w:t>
      </w:r>
    </w:p>
    <w:p w:rsidR="00AB373C" w:rsidRPr="000E4C40" w:rsidRDefault="00AB373C" w:rsidP="00281564">
      <w:pPr>
        <w:spacing w:before="29" w:line="288" w:lineRule="auto"/>
        <w:ind w:firstLineChars="200" w:firstLine="480"/>
        <w:rPr>
          <w:color w:val="000000"/>
          <w:sz w:val="24"/>
        </w:rPr>
      </w:pP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0A2EFF" w:rsidRDefault="00AB192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0E2" w:rsidRDefault="001D50E2">
      <w:r>
        <w:separator/>
      </w:r>
    </w:p>
  </w:endnote>
  <w:endnote w:type="continuationSeparator" w:id="0">
    <w:p w:rsidR="001D50E2" w:rsidRDefault="001D5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19197A">
      <w:rPr>
        <w:noProof/>
        <w:kern w:val="0"/>
        <w:szCs w:val="21"/>
      </w:rPr>
      <w:t>12</w:t>
    </w:r>
    <w:r w:rsidR="00457CD3">
      <w:rPr>
        <w:kern w:val="0"/>
        <w:szCs w:val="21"/>
      </w:rPr>
      <w:fldChar w:fldCharType="end"/>
    </w:r>
    <w:proofErr w:type="gramStart"/>
    <w:r>
      <w:rPr>
        <w:rFonts w:hint="eastAsia"/>
        <w:kern w:val="0"/>
        <w:szCs w:val="21"/>
      </w:rPr>
      <w:t>页共</w:t>
    </w:r>
    <w:proofErr w:type="gramEnd"/>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19197A">
      <w:rPr>
        <w:noProof/>
        <w:kern w:val="0"/>
        <w:szCs w:val="21"/>
      </w:rPr>
      <w:t>14</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0E2" w:rsidRDefault="001D50E2">
      <w:r>
        <w:separator/>
      </w:r>
    </w:p>
  </w:footnote>
  <w:footnote w:type="continuationSeparator" w:id="0">
    <w:p w:rsidR="001D50E2" w:rsidRDefault="001D5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05E" w:rsidRPr="00841EB4" w:rsidRDefault="00841EB4" w:rsidP="008379E2">
    <w:pPr>
      <w:pStyle w:val="a4"/>
      <w:pBdr>
        <w:bottom w:val="single" w:sz="6" w:space="0" w:color="auto"/>
      </w:pBdr>
      <w:jc w:val="right"/>
      <w:rPr>
        <w:sz w:val="24"/>
        <w:szCs w:val="24"/>
      </w:rPr>
    </w:pPr>
    <w:r w:rsidRPr="003E676C">
      <w:rPr>
        <w:sz w:val="24"/>
        <w:szCs w:val="24"/>
      </w:rPr>
      <w:t>交银施罗德天运宝货币市场基金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2EFF"/>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97A"/>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50E2"/>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65074"/>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1921"/>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7B8D266-C2EC-4280-887B-0D6DB780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14</Pages>
  <Words>1236</Words>
  <Characters>7048</Characters>
  <Application>Microsoft Office Word</Application>
  <DocSecurity>0</DocSecurity>
  <Lines>58</Lines>
  <Paragraphs>16</Paragraphs>
  <ScaleCrop>false</ScaleCrop>
  <Company>jysld</Company>
  <LinksUpToDate>false</LinksUpToDate>
  <CharactersWithSpaces>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316</cp:revision>
  <cp:lastPrinted>2009-01-22T10:11:00Z</cp:lastPrinted>
  <dcterms:created xsi:type="dcterms:W3CDTF">2012-11-21T05:49:00Z</dcterms:created>
  <dcterms:modified xsi:type="dcterms:W3CDTF">2018-10-21T11:20:00Z</dcterms:modified>
</cp:coreProperties>
</file>