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6395C" w:rsidRDefault="0046113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139,873,543.90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02E06" w:rsidRPr="00414345" w:rsidTr="00402E0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02E06" w:rsidRPr="00414345" w:rsidTr="00402E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-209,961.48</w:t>
            </w:r>
          </w:p>
        </w:tc>
      </w:tr>
      <w:tr w:rsidR="00402E06" w:rsidRPr="00414345" w:rsidTr="00402E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-5,568,091.75</w:t>
            </w:r>
          </w:p>
        </w:tc>
      </w:tr>
      <w:tr w:rsidR="00402E06" w:rsidRPr="00414345" w:rsidTr="00402E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-0.0380</w:t>
            </w:r>
          </w:p>
        </w:tc>
      </w:tr>
      <w:tr w:rsidR="00402E06" w:rsidRPr="00414345" w:rsidTr="00402E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138,897,424.30</w:t>
            </w:r>
          </w:p>
        </w:tc>
      </w:tr>
      <w:tr w:rsidR="00402E06" w:rsidRPr="00414345" w:rsidTr="00402E0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0.9930</w:t>
            </w:r>
          </w:p>
        </w:tc>
      </w:tr>
    </w:tbl>
    <w:p w:rsidR="00D6395C" w:rsidRDefault="004611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6395C">
        <w:trPr>
          <w:jc w:val="center"/>
        </w:trPr>
        <w:tc>
          <w:tcPr>
            <w:tcW w:w="1701" w:type="dxa"/>
            <w:vAlign w:val="center"/>
          </w:tcPr>
          <w:p w:rsidR="00D6395C" w:rsidRDefault="00461137">
            <w:pPr>
              <w:jc w:val="left"/>
            </w:pPr>
            <w:r>
              <w:rPr>
                <w:color w:val="000000"/>
                <w:sz w:val="24"/>
                <w:szCs w:val="24"/>
              </w:rPr>
              <w:t>过去三个月</w:t>
            </w:r>
          </w:p>
        </w:tc>
        <w:tc>
          <w:tcPr>
            <w:tcW w:w="1045" w:type="dxa"/>
            <w:vAlign w:val="center"/>
          </w:tcPr>
          <w:p w:rsidR="00D6395C" w:rsidRDefault="00461137">
            <w:pPr>
              <w:jc w:val="center"/>
            </w:pPr>
            <w:r>
              <w:rPr>
                <w:color w:val="000000"/>
                <w:sz w:val="24"/>
                <w:szCs w:val="24"/>
              </w:rPr>
              <w:t>-3.70%</w:t>
            </w:r>
          </w:p>
        </w:tc>
        <w:tc>
          <w:tcPr>
            <w:tcW w:w="1344" w:type="dxa"/>
            <w:vAlign w:val="center"/>
          </w:tcPr>
          <w:p w:rsidR="00D6395C" w:rsidRDefault="00461137">
            <w:pPr>
              <w:jc w:val="center"/>
            </w:pPr>
            <w:r>
              <w:rPr>
                <w:color w:val="000000"/>
                <w:sz w:val="24"/>
                <w:szCs w:val="24"/>
              </w:rPr>
              <w:t>0.46%</w:t>
            </w:r>
          </w:p>
        </w:tc>
        <w:tc>
          <w:tcPr>
            <w:tcW w:w="1194" w:type="dxa"/>
            <w:vAlign w:val="center"/>
          </w:tcPr>
          <w:p w:rsidR="00D6395C" w:rsidRDefault="00461137">
            <w:pPr>
              <w:jc w:val="center"/>
            </w:pPr>
            <w:r>
              <w:rPr>
                <w:color w:val="000000"/>
                <w:sz w:val="24"/>
                <w:szCs w:val="24"/>
              </w:rPr>
              <w:t>0.10%</w:t>
            </w:r>
          </w:p>
        </w:tc>
        <w:tc>
          <w:tcPr>
            <w:tcW w:w="1492" w:type="dxa"/>
            <w:vAlign w:val="center"/>
          </w:tcPr>
          <w:p w:rsidR="00D6395C" w:rsidRDefault="00461137">
            <w:pPr>
              <w:jc w:val="center"/>
            </w:pPr>
            <w:r>
              <w:rPr>
                <w:color w:val="000000"/>
                <w:sz w:val="24"/>
                <w:szCs w:val="24"/>
              </w:rPr>
              <w:t>0.54%</w:t>
            </w:r>
          </w:p>
        </w:tc>
        <w:tc>
          <w:tcPr>
            <w:tcW w:w="1194" w:type="dxa"/>
            <w:vAlign w:val="center"/>
          </w:tcPr>
          <w:p w:rsidR="00D6395C" w:rsidRDefault="00461137">
            <w:pPr>
              <w:jc w:val="center"/>
            </w:pPr>
            <w:r>
              <w:rPr>
                <w:color w:val="000000"/>
                <w:sz w:val="24"/>
                <w:szCs w:val="24"/>
              </w:rPr>
              <w:t>-3.80%</w:t>
            </w:r>
          </w:p>
        </w:tc>
        <w:tc>
          <w:tcPr>
            <w:tcW w:w="898" w:type="dxa"/>
            <w:vAlign w:val="center"/>
          </w:tcPr>
          <w:p w:rsidR="00D6395C" w:rsidRDefault="00461137">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w:t>
      </w:r>
      <w:r w:rsidR="00402E06" w:rsidRPr="00402E06">
        <w:rPr>
          <w:rFonts w:hint="eastAsia"/>
          <w:color w:val="000000"/>
          <w:sz w:val="24"/>
          <w:szCs w:val="24"/>
        </w:rPr>
        <w:t>本基金基金合同生效日为</w:t>
      </w:r>
      <w:r w:rsidR="00402E06" w:rsidRPr="00402E06">
        <w:rPr>
          <w:rFonts w:hint="eastAsia"/>
          <w:color w:val="000000"/>
          <w:sz w:val="24"/>
          <w:szCs w:val="24"/>
        </w:rPr>
        <w:t>2017</w:t>
      </w:r>
      <w:r w:rsidR="00402E06" w:rsidRPr="00402E06">
        <w:rPr>
          <w:rFonts w:hint="eastAsia"/>
          <w:color w:val="000000"/>
          <w:sz w:val="24"/>
          <w:szCs w:val="24"/>
        </w:rPr>
        <w:t>年</w:t>
      </w:r>
      <w:r w:rsidR="00402E06" w:rsidRPr="00402E06">
        <w:rPr>
          <w:rFonts w:hint="eastAsia"/>
          <w:color w:val="000000"/>
          <w:sz w:val="24"/>
          <w:szCs w:val="24"/>
        </w:rPr>
        <w:t>9</w:t>
      </w:r>
      <w:r w:rsidR="00402E06" w:rsidRPr="00402E06">
        <w:rPr>
          <w:rFonts w:hint="eastAsia"/>
          <w:color w:val="000000"/>
          <w:sz w:val="24"/>
          <w:szCs w:val="24"/>
        </w:rPr>
        <w:t>月</w:t>
      </w:r>
      <w:r w:rsidR="00402E06" w:rsidRPr="00402E06">
        <w:rPr>
          <w:rFonts w:hint="eastAsia"/>
          <w:color w:val="000000"/>
          <w:sz w:val="24"/>
          <w:szCs w:val="24"/>
        </w:rPr>
        <w:t>15</w:t>
      </w:r>
      <w:r w:rsidR="00402E06" w:rsidRPr="00402E06">
        <w:rPr>
          <w:rFonts w:hint="eastAsia"/>
          <w:color w:val="000000"/>
          <w:sz w:val="24"/>
          <w:szCs w:val="24"/>
        </w:rPr>
        <w:t>日，截至报告期期末，本基金已完成建仓但报告期期末距建仓结束未满一年。本基金建仓期为自基金合同生效日起的</w:t>
      </w:r>
      <w:r w:rsidR="00402E06" w:rsidRPr="00402E06">
        <w:rPr>
          <w:rFonts w:hint="eastAsia"/>
          <w:color w:val="000000"/>
          <w:sz w:val="24"/>
          <w:szCs w:val="24"/>
        </w:rPr>
        <w:t>6</w:t>
      </w:r>
      <w:r w:rsidR="00402E06" w:rsidRPr="00402E06">
        <w:rPr>
          <w:rFonts w:hint="eastAsia"/>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6395C">
        <w:trPr>
          <w:jc w:val="center"/>
        </w:trPr>
        <w:tc>
          <w:tcPr>
            <w:tcW w:w="846" w:type="dxa"/>
            <w:vAlign w:val="center"/>
          </w:tcPr>
          <w:p w:rsidR="00D6395C" w:rsidRDefault="00461137">
            <w:pPr>
              <w:jc w:val="center"/>
            </w:pPr>
            <w:r>
              <w:rPr>
                <w:color w:val="000000"/>
                <w:sz w:val="24"/>
                <w:szCs w:val="24"/>
              </w:rPr>
              <w:t>盖婷婷</w:t>
            </w:r>
          </w:p>
        </w:tc>
        <w:tc>
          <w:tcPr>
            <w:tcW w:w="845" w:type="dxa"/>
            <w:vAlign w:val="center"/>
          </w:tcPr>
          <w:p w:rsidR="00D6395C" w:rsidRDefault="00461137">
            <w:pPr>
              <w:jc w:val="center"/>
            </w:pPr>
            <w:r>
              <w:rPr>
                <w:color w:val="000000"/>
                <w:sz w:val="24"/>
                <w:szCs w:val="24"/>
              </w:rPr>
              <w:t>交银消费新驱动股票、交银医药创新股票、交银恒益灵</w:t>
            </w:r>
            <w:r>
              <w:rPr>
                <w:color w:val="000000"/>
                <w:sz w:val="24"/>
                <w:szCs w:val="24"/>
              </w:rPr>
              <w:lastRenderedPageBreak/>
              <w:t>活配置混合的基金经理</w:t>
            </w:r>
          </w:p>
        </w:tc>
        <w:tc>
          <w:tcPr>
            <w:tcW w:w="1549" w:type="dxa"/>
            <w:vAlign w:val="center"/>
          </w:tcPr>
          <w:p w:rsidR="00D6395C" w:rsidRDefault="00461137">
            <w:pPr>
              <w:jc w:val="center"/>
            </w:pPr>
            <w:r>
              <w:rPr>
                <w:color w:val="000000"/>
                <w:sz w:val="24"/>
                <w:szCs w:val="24"/>
              </w:rPr>
              <w:lastRenderedPageBreak/>
              <w:t>2017-09-15</w:t>
            </w:r>
          </w:p>
        </w:tc>
        <w:tc>
          <w:tcPr>
            <w:tcW w:w="1548" w:type="dxa"/>
            <w:vAlign w:val="center"/>
          </w:tcPr>
          <w:p w:rsidR="00D6395C" w:rsidRDefault="00461137">
            <w:pPr>
              <w:jc w:val="center"/>
            </w:pPr>
            <w:r>
              <w:rPr>
                <w:color w:val="000000"/>
                <w:sz w:val="24"/>
                <w:szCs w:val="24"/>
              </w:rPr>
              <w:t>2018-09-22</w:t>
            </w:r>
          </w:p>
        </w:tc>
        <w:tc>
          <w:tcPr>
            <w:tcW w:w="1407" w:type="dxa"/>
            <w:vAlign w:val="center"/>
          </w:tcPr>
          <w:p w:rsidR="00D6395C" w:rsidRDefault="00461137">
            <w:pPr>
              <w:jc w:val="center"/>
            </w:pPr>
            <w:r>
              <w:rPr>
                <w:color w:val="000000"/>
                <w:sz w:val="24"/>
                <w:szCs w:val="24"/>
              </w:rPr>
              <w:t>12</w:t>
            </w:r>
            <w:r>
              <w:rPr>
                <w:color w:val="000000"/>
                <w:sz w:val="24"/>
                <w:szCs w:val="24"/>
              </w:rPr>
              <w:t>年</w:t>
            </w:r>
          </w:p>
        </w:tc>
        <w:tc>
          <w:tcPr>
            <w:tcW w:w="2673" w:type="dxa"/>
            <w:vAlign w:val="center"/>
          </w:tcPr>
          <w:p w:rsidR="00D6395C" w:rsidRDefault="00461137">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5</w:t>
            </w:r>
            <w:r>
              <w:rPr>
                <w:color w:val="000000"/>
                <w:sz w:val="24"/>
                <w:szCs w:val="24"/>
              </w:rPr>
              <w:t>日担任交银施罗德消费新驱动股票型证券投资基金的基金经理。</w:t>
            </w:r>
            <w:r>
              <w:rPr>
                <w:color w:val="000000"/>
                <w:sz w:val="24"/>
                <w:szCs w:val="24"/>
              </w:rPr>
              <w:t>2017</w:t>
            </w:r>
            <w:r>
              <w:rPr>
                <w:color w:val="000000"/>
                <w:sz w:val="24"/>
                <w:szCs w:val="24"/>
              </w:rPr>
              <w:t>年</w:t>
            </w:r>
            <w:r>
              <w:rPr>
                <w:color w:val="000000"/>
                <w:sz w:val="24"/>
                <w:szCs w:val="24"/>
              </w:rPr>
              <w:lastRenderedPageBreak/>
              <w:t>3</w:t>
            </w:r>
            <w:r>
              <w:rPr>
                <w:color w:val="000000"/>
                <w:sz w:val="24"/>
                <w:szCs w:val="24"/>
              </w:rPr>
              <w:t>月</w:t>
            </w:r>
            <w:r>
              <w:rPr>
                <w:color w:val="000000"/>
                <w:sz w:val="24"/>
                <w:szCs w:val="24"/>
              </w:rPr>
              <w:t>23</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21</w:t>
            </w:r>
            <w:r>
              <w:rPr>
                <w:color w:val="000000"/>
                <w:sz w:val="24"/>
                <w:szCs w:val="24"/>
              </w:rPr>
              <w:t>日担任交银施罗德医药创新股票型证券投资基金的基金经理。</w:t>
            </w:r>
            <w:r>
              <w:rPr>
                <w:color w:val="000000"/>
                <w:sz w:val="24"/>
                <w:szCs w:val="24"/>
              </w:rPr>
              <w:t>2017</w:t>
            </w:r>
            <w:r>
              <w:rPr>
                <w:color w:val="000000"/>
                <w:sz w:val="24"/>
                <w:szCs w:val="24"/>
              </w:rPr>
              <w:t>年</w:t>
            </w:r>
            <w:r>
              <w:rPr>
                <w:color w:val="000000"/>
                <w:sz w:val="24"/>
                <w:szCs w:val="24"/>
              </w:rPr>
              <w:t>9</w:t>
            </w:r>
            <w:r>
              <w:rPr>
                <w:color w:val="000000"/>
                <w:sz w:val="24"/>
                <w:szCs w:val="24"/>
              </w:rPr>
              <w:t>月</w:t>
            </w:r>
            <w:r>
              <w:rPr>
                <w:color w:val="000000"/>
                <w:sz w:val="24"/>
                <w:szCs w:val="24"/>
              </w:rPr>
              <w:t>15</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21</w:t>
            </w:r>
            <w:r>
              <w:rPr>
                <w:color w:val="000000"/>
                <w:sz w:val="24"/>
                <w:szCs w:val="24"/>
              </w:rPr>
              <w:t>日担任交银施罗德恒益灵活配置混合型证券投资基金的基金经理。</w:t>
            </w:r>
          </w:p>
        </w:tc>
      </w:tr>
      <w:tr w:rsidR="00D6395C">
        <w:trPr>
          <w:jc w:val="center"/>
        </w:trPr>
        <w:tc>
          <w:tcPr>
            <w:tcW w:w="846" w:type="dxa"/>
            <w:vAlign w:val="center"/>
          </w:tcPr>
          <w:p w:rsidR="00D6395C" w:rsidRDefault="00461137">
            <w:pPr>
              <w:jc w:val="center"/>
            </w:pPr>
            <w:r>
              <w:rPr>
                <w:color w:val="000000"/>
                <w:sz w:val="24"/>
                <w:szCs w:val="24"/>
              </w:rPr>
              <w:lastRenderedPageBreak/>
              <w:t>王少成</w:t>
            </w:r>
          </w:p>
        </w:tc>
        <w:tc>
          <w:tcPr>
            <w:tcW w:w="845" w:type="dxa"/>
            <w:vAlign w:val="center"/>
          </w:tcPr>
          <w:p w:rsidR="00D6395C" w:rsidRDefault="00461137">
            <w:pPr>
              <w:jc w:val="center"/>
            </w:pPr>
            <w:r>
              <w:rPr>
                <w:color w:val="000000"/>
                <w:sz w:val="24"/>
                <w:szCs w:val="24"/>
              </w:rPr>
              <w:t>交银成长混合、交银蓝筹混合、交银成长</w:t>
            </w:r>
            <w:r>
              <w:rPr>
                <w:color w:val="000000"/>
                <w:sz w:val="24"/>
                <w:szCs w:val="24"/>
              </w:rPr>
              <w:t>30</w:t>
            </w:r>
            <w:r>
              <w:rPr>
                <w:color w:val="000000"/>
                <w:sz w:val="24"/>
                <w:szCs w:val="24"/>
              </w:rPr>
              <w:t>混合、交银恒益灵活配置混合的基金经理，公司权益投资总监</w:t>
            </w:r>
          </w:p>
        </w:tc>
        <w:tc>
          <w:tcPr>
            <w:tcW w:w="1549" w:type="dxa"/>
            <w:vAlign w:val="center"/>
          </w:tcPr>
          <w:p w:rsidR="00D6395C" w:rsidRDefault="00461137">
            <w:pPr>
              <w:jc w:val="center"/>
            </w:pPr>
            <w:r>
              <w:rPr>
                <w:color w:val="000000"/>
                <w:sz w:val="24"/>
                <w:szCs w:val="24"/>
              </w:rPr>
              <w:t>2018-08-24</w:t>
            </w:r>
          </w:p>
        </w:tc>
        <w:tc>
          <w:tcPr>
            <w:tcW w:w="1548" w:type="dxa"/>
            <w:vAlign w:val="center"/>
          </w:tcPr>
          <w:p w:rsidR="00D6395C" w:rsidRDefault="00461137">
            <w:pPr>
              <w:jc w:val="center"/>
            </w:pPr>
            <w:r>
              <w:rPr>
                <w:color w:val="000000"/>
                <w:sz w:val="24"/>
                <w:szCs w:val="24"/>
              </w:rPr>
              <w:t>-</w:t>
            </w:r>
          </w:p>
        </w:tc>
        <w:tc>
          <w:tcPr>
            <w:tcW w:w="1407" w:type="dxa"/>
            <w:vAlign w:val="center"/>
          </w:tcPr>
          <w:p w:rsidR="00D6395C" w:rsidRDefault="00461137">
            <w:pPr>
              <w:jc w:val="center"/>
            </w:pPr>
            <w:r>
              <w:rPr>
                <w:color w:val="000000"/>
                <w:sz w:val="24"/>
                <w:szCs w:val="24"/>
              </w:rPr>
              <w:t>14</w:t>
            </w:r>
            <w:r>
              <w:rPr>
                <w:color w:val="000000"/>
                <w:sz w:val="24"/>
                <w:szCs w:val="24"/>
              </w:rPr>
              <w:t>年</w:t>
            </w:r>
          </w:p>
        </w:tc>
        <w:tc>
          <w:tcPr>
            <w:tcW w:w="2673" w:type="dxa"/>
            <w:vAlign w:val="center"/>
          </w:tcPr>
          <w:p w:rsidR="00D6395C" w:rsidRDefault="00461137">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lastRenderedPageBreak/>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6395C" w:rsidRDefault="0046113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6395C" w:rsidRDefault="0046113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6395C" w:rsidRDefault="0046113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6395C" w:rsidRDefault="00461137">
      <w:pPr>
        <w:spacing w:before="29" w:line="288" w:lineRule="auto"/>
        <w:ind w:firstLineChars="200" w:firstLine="480"/>
        <w:rPr>
          <w:color w:val="000000"/>
          <w:sz w:val="24"/>
          <w:szCs w:val="24"/>
        </w:rPr>
      </w:pPr>
      <w:r>
        <w:rPr>
          <w:color w:val="000000"/>
          <w:sz w:val="24"/>
          <w:szCs w:val="24"/>
        </w:rPr>
        <w:t>2018</w:t>
      </w:r>
      <w:r>
        <w:rPr>
          <w:color w:val="000000"/>
          <w:sz w:val="24"/>
          <w:szCs w:val="24"/>
        </w:rPr>
        <w:t>年三季度整个</w:t>
      </w:r>
      <w:r>
        <w:rPr>
          <w:color w:val="000000"/>
          <w:sz w:val="24"/>
          <w:szCs w:val="24"/>
        </w:rPr>
        <w:t>A</w:t>
      </w:r>
      <w:r>
        <w:rPr>
          <w:color w:val="000000"/>
          <w:sz w:val="24"/>
          <w:szCs w:val="24"/>
        </w:rPr>
        <w:t>股市场整体继续呈现盘恒下跌态势，各主要指数均回到过去一到三年较低位置附近。整体市场表现受宏观预期的不确定性影响较大，一方面在美联储加息周期的大通道中，中美贸易博弈的反复加剧了市场对中国长期贸易形势的担忧，另一方面经济回落趋势显现，与此对应政府不断出台政策进行托底，但面对相对复杂的国际环境和国内经济结构中长期问题，目前经济的长期内在矛盾尚看不到明显改善的迹象，市场对长期国内经济的政策环境难以有准确的预计，进而难以有增量的大钱和长钱进入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本基金三季度主要配置了医药、银行，能源等防御性板块，在市场下跌的过程中取得了一定的相对收益。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32,923,968.90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23.58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32,923,968.90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23.58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7,573,074.74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7,573,074.74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99,064,296.07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70.95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55,638.02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139,616,977.73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3,117,100.00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4,293,570.60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12,271,498.04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6,484,797.00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6,622,703.26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32,923,968.90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6395C">
        <w:trPr>
          <w:jc w:val="center"/>
        </w:trPr>
        <w:tc>
          <w:tcPr>
            <w:tcW w:w="855" w:type="dxa"/>
            <w:vAlign w:val="center"/>
          </w:tcPr>
          <w:p w:rsidR="00D6395C" w:rsidRDefault="00461137">
            <w:pPr>
              <w:jc w:val="center"/>
            </w:pPr>
            <w:r>
              <w:rPr>
                <w:color w:val="000000"/>
                <w:sz w:val="24"/>
                <w:szCs w:val="24"/>
              </w:rPr>
              <w:t>1</w:t>
            </w:r>
          </w:p>
        </w:tc>
        <w:tc>
          <w:tcPr>
            <w:tcW w:w="1334" w:type="dxa"/>
            <w:vAlign w:val="center"/>
          </w:tcPr>
          <w:p w:rsidR="00D6395C" w:rsidRDefault="00461137">
            <w:pPr>
              <w:jc w:val="center"/>
            </w:pPr>
            <w:r>
              <w:rPr>
                <w:color w:val="000000"/>
                <w:sz w:val="24"/>
                <w:szCs w:val="24"/>
              </w:rPr>
              <w:t>002027</w:t>
            </w:r>
          </w:p>
        </w:tc>
        <w:tc>
          <w:tcPr>
            <w:tcW w:w="1777" w:type="dxa"/>
            <w:vAlign w:val="center"/>
          </w:tcPr>
          <w:p w:rsidR="00D6395C" w:rsidRDefault="00461137">
            <w:pPr>
              <w:jc w:val="center"/>
            </w:pPr>
            <w:r>
              <w:rPr>
                <w:color w:val="000000"/>
                <w:sz w:val="24"/>
                <w:szCs w:val="24"/>
              </w:rPr>
              <w:t>分众传媒</w:t>
            </w:r>
          </w:p>
        </w:tc>
        <w:tc>
          <w:tcPr>
            <w:tcW w:w="1334" w:type="dxa"/>
            <w:vAlign w:val="center"/>
          </w:tcPr>
          <w:p w:rsidR="00D6395C" w:rsidRDefault="00461137">
            <w:pPr>
              <w:jc w:val="right"/>
            </w:pPr>
            <w:r>
              <w:rPr>
                <w:color w:val="000000"/>
                <w:sz w:val="24"/>
                <w:szCs w:val="24"/>
              </w:rPr>
              <w:t>778,226</w:t>
            </w:r>
          </w:p>
        </w:tc>
        <w:tc>
          <w:tcPr>
            <w:tcW w:w="1924" w:type="dxa"/>
            <w:vAlign w:val="center"/>
          </w:tcPr>
          <w:p w:rsidR="00D6395C" w:rsidRDefault="00461137">
            <w:pPr>
              <w:jc w:val="right"/>
            </w:pPr>
            <w:r>
              <w:rPr>
                <w:color w:val="000000"/>
                <w:sz w:val="24"/>
                <w:szCs w:val="24"/>
              </w:rPr>
              <w:t>6,622,703.26</w:t>
            </w:r>
          </w:p>
        </w:tc>
        <w:tc>
          <w:tcPr>
            <w:tcW w:w="1644" w:type="dxa"/>
            <w:vAlign w:val="center"/>
          </w:tcPr>
          <w:p w:rsidR="00D6395C" w:rsidRDefault="00461137">
            <w:pPr>
              <w:jc w:val="right"/>
            </w:pPr>
            <w:r>
              <w:rPr>
                <w:color w:val="000000"/>
                <w:sz w:val="24"/>
                <w:szCs w:val="24"/>
              </w:rPr>
              <w:t>4.77</w:t>
            </w:r>
          </w:p>
        </w:tc>
      </w:tr>
      <w:tr w:rsidR="00D6395C">
        <w:trPr>
          <w:jc w:val="center"/>
        </w:trPr>
        <w:tc>
          <w:tcPr>
            <w:tcW w:w="855" w:type="dxa"/>
            <w:vAlign w:val="center"/>
          </w:tcPr>
          <w:p w:rsidR="00D6395C" w:rsidRDefault="00461137">
            <w:pPr>
              <w:jc w:val="center"/>
            </w:pPr>
            <w:r>
              <w:rPr>
                <w:color w:val="000000"/>
                <w:sz w:val="24"/>
                <w:szCs w:val="24"/>
              </w:rPr>
              <w:t>2</w:t>
            </w:r>
          </w:p>
        </w:tc>
        <w:tc>
          <w:tcPr>
            <w:tcW w:w="1334" w:type="dxa"/>
            <w:vAlign w:val="center"/>
          </w:tcPr>
          <w:p w:rsidR="00D6395C" w:rsidRDefault="00461137">
            <w:pPr>
              <w:jc w:val="center"/>
            </w:pPr>
            <w:r>
              <w:rPr>
                <w:color w:val="000000"/>
                <w:sz w:val="24"/>
                <w:szCs w:val="24"/>
              </w:rPr>
              <w:t>601607</w:t>
            </w:r>
          </w:p>
        </w:tc>
        <w:tc>
          <w:tcPr>
            <w:tcW w:w="1777" w:type="dxa"/>
            <w:vAlign w:val="center"/>
          </w:tcPr>
          <w:p w:rsidR="00D6395C" w:rsidRDefault="00461137">
            <w:pPr>
              <w:jc w:val="center"/>
            </w:pPr>
            <w:r>
              <w:rPr>
                <w:color w:val="000000"/>
                <w:sz w:val="24"/>
                <w:szCs w:val="24"/>
              </w:rPr>
              <w:t>上海医药</w:t>
            </w:r>
          </w:p>
        </w:tc>
        <w:tc>
          <w:tcPr>
            <w:tcW w:w="1334" w:type="dxa"/>
            <w:vAlign w:val="center"/>
          </w:tcPr>
          <w:p w:rsidR="00D6395C" w:rsidRDefault="00461137">
            <w:pPr>
              <w:jc w:val="right"/>
            </w:pPr>
            <w:r>
              <w:rPr>
                <w:color w:val="000000"/>
                <w:sz w:val="24"/>
                <w:szCs w:val="24"/>
              </w:rPr>
              <w:t>320,790</w:t>
            </w:r>
          </w:p>
        </w:tc>
        <w:tc>
          <w:tcPr>
            <w:tcW w:w="1924" w:type="dxa"/>
            <w:vAlign w:val="center"/>
          </w:tcPr>
          <w:p w:rsidR="00D6395C" w:rsidRDefault="00461137">
            <w:pPr>
              <w:jc w:val="right"/>
            </w:pPr>
            <w:r>
              <w:rPr>
                <w:color w:val="000000"/>
                <w:sz w:val="24"/>
                <w:szCs w:val="24"/>
              </w:rPr>
              <w:t>6,576,195.00</w:t>
            </w:r>
          </w:p>
        </w:tc>
        <w:tc>
          <w:tcPr>
            <w:tcW w:w="1644" w:type="dxa"/>
            <w:vAlign w:val="center"/>
          </w:tcPr>
          <w:p w:rsidR="00D6395C" w:rsidRDefault="00461137">
            <w:pPr>
              <w:jc w:val="right"/>
            </w:pPr>
            <w:r>
              <w:rPr>
                <w:color w:val="000000"/>
                <w:sz w:val="24"/>
                <w:szCs w:val="24"/>
              </w:rPr>
              <w:t>4.73</w:t>
            </w:r>
          </w:p>
        </w:tc>
      </w:tr>
      <w:tr w:rsidR="00D6395C">
        <w:trPr>
          <w:jc w:val="center"/>
        </w:trPr>
        <w:tc>
          <w:tcPr>
            <w:tcW w:w="855" w:type="dxa"/>
            <w:vAlign w:val="center"/>
          </w:tcPr>
          <w:p w:rsidR="00D6395C" w:rsidRDefault="00461137">
            <w:pPr>
              <w:jc w:val="center"/>
            </w:pPr>
            <w:r>
              <w:rPr>
                <w:color w:val="000000"/>
                <w:sz w:val="24"/>
                <w:szCs w:val="24"/>
              </w:rPr>
              <w:t>3</w:t>
            </w:r>
          </w:p>
        </w:tc>
        <w:tc>
          <w:tcPr>
            <w:tcW w:w="1334" w:type="dxa"/>
            <w:vAlign w:val="center"/>
          </w:tcPr>
          <w:p w:rsidR="00D6395C" w:rsidRDefault="00461137">
            <w:pPr>
              <w:jc w:val="center"/>
            </w:pPr>
            <w:r>
              <w:rPr>
                <w:color w:val="000000"/>
                <w:sz w:val="24"/>
                <w:szCs w:val="24"/>
              </w:rPr>
              <w:t>600036</w:t>
            </w:r>
          </w:p>
        </w:tc>
        <w:tc>
          <w:tcPr>
            <w:tcW w:w="1777" w:type="dxa"/>
            <w:vAlign w:val="center"/>
          </w:tcPr>
          <w:p w:rsidR="00D6395C" w:rsidRDefault="00461137">
            <w:pPr>
              <w:jc w:val="center"/>
            </w:pPr>
            <w:r>
              <w:rPr>
                <w:color w:val="000000"/>
                <w:sz w:val="24"/>
                <w:szCs w:val="24"/>
              </w:rPr>
              <w:t>招商银行</w:t>
            </w:r>
          </w:p>
        </w:tc>
        <w:tc>
          <w:tcPr>
            <w:tcW w:w="1334" w:type="dxa"/>
            <w:vAlign w:val="center"/>
          </w:tcPr>
          <w:p w:rsidR="00D6395C" w:rsidRDefault="00461137">
            <w:pPr>
              <w:jc w:val="right"/>
            </w:pPr>
            <w:r>
              <w:rPr>
                <w:color w:val="000000"/>
                <w:sz w:val="24"/>
                <w:szCs w:val="24"/>
              </w:rPr>
              <w:t>211,300</w:t>
            </w:r>
          </w:p>
        </w:tc>
        <w:tc>
          <w:tcPr>
            <w:tcW w:w="1924" w:type="dxa"/>
            <w:vAlign w:val="center"/>
          </w:tcPr>
          <w:p w:rsidR="00D6395C" w:rsidRDefault="00461137">
            <w:pPr>
              <w:jc w:val="right"/>
            </w:pPr>
            <w:r>
              <w:rPr>
                <w:color w:val="000000"/>
                <w:sz w:val="24"/>
                <w:szCs w:val="24"/>
              </w:rPr>
              <w:t>6,484,797.00</w:t>
            </w:r>
          </w:p>
        </w:tc>
        <w:tc>
          <w:tcPr>
            <w:tcW w:w="1644" w:type="dxa"/>
            <w:vAlign w:val="center"/>
          </w:tcPr>
          <w:p w:rsidR="00D6395C" w:rsidRDefault="00461137">
            <w:pPr>
              <w:jc w:val="right"/>
            </w:pPr>
            <w:r>
              <w:rPr>
                <w:color w:val="000000"/>
                <w:sz w:val="24"/>
                <w:szCs w:val="24"/>
              </w:rPr>
              <w:t>4.67</w:t>
            </w:r>
          </w:p>
        </w:tc>
      </w:tr>
      <w:tr w:rsidR="00D6395C">
        <w:trPr>
          <w:jc w:val="center"/>
        </w:trPr>
        <w:tc>
          <w:tcPr>
            <w:tcW w:w="855" w:type="dxa"/>
            <w:vAlign w:val="center"/>
          </w:tcPr>
          <w:p w:rsidR="00D6395C" w:rsidRDefault="00461137">
            <w:pPr>
              <w:jc w:val="center"/>
            </w:pPr>
            <w:r>
              <w:rPr>
                <w:color w:val="000000"/>
                <w:sz w:val="24"/>
                <w:szCs w:val="24"/>
              </w:rPr>
              <w:t>4</w:t>
            </w:r>
          </w:p>
        </w:tc>
        <w:tc>
          <w:tcPr>
            <w:tcW w:w="1334" w:type="dxa"/>
            <w:vAlign w:val="center"/>
          </w:tcPr>
          <w:p w:rsidR="00D6395C" w:rsidRDefault="00461137">
            <w:pPr>
              <w:jc w:val="center"/>
            </w:pPr>
            <w:r>
              <w:rPr>
                <w:color w:val="000000"/>
                <w:sz w:val="24"/>
                <w:szCs w:val="24"/>
              </w:rPr>
              <w:t>603108</w:t>
            </w:r>
          </w:p>
        </w:tc>
        <w:tc>
          <w:tcPr>
            <w:tcW w:w="1777" w:type="dxa"/>
            <w:vAlign w:val="center"/>
          </w:tcPr>
          <w:p w:rsidR="00D6395C" w:rsidRDefault="00461137">
            <w:pPr>
              <w:jc w:val="center"/>
            </w:pPr>
            <w:r>
              <w:rPr>
                <w:color w:val="000000"/>
                <w:sz w:val="24"/>
                <w:szCs w:val="24"/>
              </w:rPr>
              <w:t>润达医疗</w:t>
            </w:r>
          </w:p>
        </w:tc>
        <w:tc>
          <w:tcPr>
            <w:tcW w:w="1334" w:type="dxa"/>
            <w:vAlign w:val="center"/>
          </w:tcPr>
          <w:p w:rsidR="00D6395C" w:rsidRDefault="00461137">
            <w:pPr>
              <w:jc w:val="right"/>
            </w:pPr>
            <w:r>
              <w:rPr>
                <w:color w:val="000000"/>
                <w:sz w:val="24"/>
                <w:szCs w:val="24"/>
              </w:rPr>
              <w:t>603,316</w:t>
            </w:r>
          </w:p>
        </w:tc>
        <w:tc>
          <w:tcPr>
            <w:tcW w:w="1924" w:type="dxa"/>
            <w:vAlign w:val="center"/>
          </w:tcPr>
          <w:p w:rsidR="00D6395C" w:rsidRDefault="00461137">
            <w:pPr>
              <w:jc w:val="right"/>
            </w:pPr>
            <w:r>
              <w:rPr>
                <w:color w:val="000000"/>
                <w:sz w:val="24"/>
                <w:szCs w:val="24"/>
              </w:rPr>
              <w:t>5,695,303.04</w:t>
            </w:r>
          </w:p>
        </w:tc>
        <w:tc>
          <w:tcPr>
            <w:tcW w:w="1644" w:type="dxa"/>
            <w:vAlign w:val="center"/>
          </w:tcPr>
          <w:p w:rsidR="00D6395C" w:rsidRDefault="00461137">
            <w:pPr>
              <w:jc w:val="right"/>
            </w:pPr>
            <w:r>
              <w:rPr>
                <w:color w:val="000000"/>
                <w:sz w:val="24"/>
                <w:szCs w:val="24"/>
              </w:rPr>
              <w:t>4.10</w:t>
            </w:r>
          </w:p>
        </w:tc>
      </w:tr>
      <w:tr w:rsidR="00D6395C">
        <w:trPr>
          <w:jc w:val="center"/>
        </w:trPr>
        <w:tc>
          <w:tcPr>
            <w:tcW w:w="855" w:type="dxa"/>
            <w:vAlign w:val="center"/>
          </w:tcPr>
          <w:p w:rsidR="00D6395C" w:rsidRDefault="00461137">
            <w:pPr>
              <w:jc w:val="center"/>
            </w:pPr>
            <w:r>
              <w:rPr>
                <w:color w:val="000000"/>
                <w:sz w:val="24"/>
                <w:szCs w:val="24"/>
              </w:rPr>
              <w:t>5</w:t>
            </w:r>
          </w:p>
        </w:tc>
        <w:tc>
          <w:tcPr>
            <w:tcW w:w="1334" w:type="dxa"/>
            <w:vAlign w:val="center"/>
          </w:tcPr>
          <w:p w:rsidR="00D6395C" w:rsidRDefault="00461137">
            <w:pPr>
              <w:jc w:val="center"/>
            </w:pPr>
            <w:r>
              <w:rPr>
                <w:color w:val="000000"/>
                <w:sz w:val="24"/>
                <w:szCs w:val="24"/>
              </w:rPr>
              <w:t>000538</w:t>
            </w:r>
          </w:p>
        </w:tc>
        <w:tc>
          <w:tcPr>
            <w:tcW w:w="1777" w:type="dxa"/>
            <w:vAlign w:val="center"/>
          </w:tcPr>
          <w:p w:rsidR="00D6395C" w:rsidRDefault="00461137">
            <w:pPr>
              <w:jc w:val="center"/>
            </w:pPr>
            <w:r>
              <w:rPr>
                <w:color w:val="000000"/>
                <w:sz w:val="24"/>
                <w:szCs w:val="24"/>
              </w:rPr>
              <w:t>云南白药</w:t>
            </w:r>
          </w:p>
        </w:tc>
        <w:tc>
          <w:tcPr>
            <w:tcW w:w="1334" w:type="dxa"/>
            <w:vAlign w:val="center"/>
          </w:tcPr>
          <w:p w:rsidR="00D6395C" w:rsidRDefault="00461137">
            <w:pPr>
              <w:jc w:val="right"/>
            </w:pPr>
            <w:r>
              <w:rPr>
                <w:color w:val="000000"/>
                <w:sz w:val="24"/>
                <w:szCs w:val="24"/>
              </w:rPr>
              <w:t>57,570</w:t>
            </w:r>
          </w:p>
        </w:tc>
        <w:tc>
          <w:tcPr>
            <w:tcW w:w="1924" w:type="dxa"/>
            <w:vAlign w:val="center"/>
          </w:tcPr>
          <w:p w:rsidR="00D6395C" w:rsidRDefault="00461137">
            <w:pPr>
              <w:jc w:val="right"/>
            </w:pPr>
            <w:r>
              <w:rPr>
                <w:color w:val="000000"/>
                <w:sz w:val="24"/>
                <w:szCs w:val="24"/>
              </w:rPr>
              <w:t>4,293,570.60</w:t>
            </w:r>
          </w:p>
        </w:tc>
        <w:tc>
          <w:tcPr>
            <w:tcW w:w="1644" w:type="dxa"/>
            <w:vAlign w:val="center"/>
          </w:tcPr>
          <w:p w:rsidR="00D6395C" w:rsidRDefault="00461137">
            <w:pPr>
              <w:jc w:val="right"/>
            </w:pPr>
            <w:r>
              <w:rPr>
                <w:color w:val="000000"/>
                <w:sz w:val="24"/>
                <w:szCs w:val="24"/>
              </w:rPr>
              <w:t>3.09</w:t>
            </w:r>
          </w:p>
        </w:tc>
      </w:tr>
      <w:tr w:rsidR="00D6395C">
        <w:trPr>
          <w:jc w:val="center"/>
        </w:trPr>
        <w:tc>
          <w:tcPr>
            <w:tcW w:w="855" w:type="dxa"/>
            <w:vAlign w:val="center"/>
          </w:tcPr>
          <w:p w:rsidR="00D6395C" w:rsidRDefault="00461137">
            <w:pPr>
              <w:jc w:val="center"/>
            </w:pPr>
            <w:r>
              <w:rPr>
                <w:color w:val="000000"/>
                <w:sz w:val="24"/>
                <w:szCs w:val="24"/>
              </w:rPr>
              <w:t>6</w:t>
            </w:r>
          </w:p>
        </w:tc>
        <w:tc>
          <w:tcPr>
            <w:tcW w:w="1334" w:type="dxa"/>
            <w:vAlign w:val="center"/>
          </w:tcPr>
          <w:p w:rsidR="00D6395C" w:rsidRDefault="00461137">
            <w:pPr>
              <w:jc w:val="center"/>
            </w:pPr>
            <w:r>
              <w:rPr>
                <w:color w:val="000000"/>
                <w:sz w:val="24"/>
                <w:szCs w:val="24"/>
              </w:rPr>
              <w:t>600256</w:t>
            </w:r>
          </w:p>
        </w:tc>
        <w:tc>
          <w:tcPr>
            <w:tcW w:w="1777" w:type="dxa"/>
            <w:vAlign w:val="center"/>
          </w:tcPr>
          <w:p w:rsidR="00D6395C" w:rsidRDefault="00461137">
            <w:pPr>
              <w:jc w:val="center"/>
            </w:pPr>
            <w:r>
              <w:rPr>
                <w:color w:val="000000"/>
                <w:sz w:val="24"/>
                <w:szCs w:val="24"/>
              </w:rPr>
              <w:t>广汇能源</w:t>
            </w:r>
          </w:p>
        </w:tc>
        <w:tc>
          <w:tcPr>
            <w:tcW w:w="1334" w:type="dxa"/>
            <w:vAlign w:val="center"/>
          </w:tcPr>
          <w:p w:rsidR="00D6395C" w:rsidRDefault="00461137">
            <w:pPr>
              <w:jc w:val="right"/>
            </w:pPr>
            <w:r>
              <w:rPr>
                <w:color w:val="000000"/>
                <w:sz w:val="24"/>
                <w:szCs w:val="24"/>
              </w:rPr>
              <w:t>610,000</w:t>
            </w:r>
          </w:p>
        </w:tc>
        <w:tc>
          <w:tcPr>
            <w:tcW w:w="1924" w:type="dxa"/>
            <w:vAlign w:val="center"/>
          </w:tcPr>
          <w:p w:rsidR="00D6395C" w:rsidRDefault="00461137">
            <w:pPr>
              <w:jc w:val="right"/>
            </w:pPr>
            <w:r>
              <w:rPr>
                <w:color w:val="000000"/>
                <w:sz w:val="24"/>
                <w:szCs w:val="24"/>
              </w:rPr>
              <w:t>3,117,100.00</w:t>
            </w:r>
          </w:p>
        </w:tc>
        <w:tc>
          <w:tcPr>
            <w:tcW w:w="1644" w:type="dxa"/>
            <w:vAlign w:val="center"/>
          </w:tcPr>
          <w:p w:rsidR="00D6395C" w:rsidRDefault="00461137">
            <w:pPr>
              <w:jc w:val="right"/>
            </w:pPr>
            <w:r>
              <w:rPr>
                <w:color w:val="000000"/>
                <w:sz w:val="24"/>
                <w:szCs w:val="24"/>
              </w:rPr>
              <w:t>2.24</w:t>
            </w:r>
          </w:p>
        </w:tc>
      </w:tr>
      <w:tr w:rsidR="00D6395C">
        <w:trPr>
          <w:jc w:val="center"/>
        </w:trPr>
        <w:tc>
          <w:tcPr>
            <w:tcW w:w="855" w:type="dxa"/>
            <w:vAlign w:val="center"/>
          </w:tcPr>
          <w:p w:rsidR="00D6395C" w:rsidRDefault="00461137">
            <w:pPr>
              <w:jc w:val="center"/>
            </w:pPr>
            <w:r>
              <w:rPr>
                <w:color w:val="000000"/>
                <w:sz w:val="24"/>
                <w:szCs w:val="24"/>
              </w:rPr>
              <w:t>7</w:t>
            </w:r>
          </w:p>
        </w:tc>
        <w:tc>
          <w:tcPr>
            <w:tcW w:w="1334" w:type="dxa"/>
            <w:vAlign w:val="center"/>
          </w:tcPr>
          <w:p w:rsidR="00D6395C" w:rsidRDefault="00461137">
            <w:pPr>
              <w:jc w:val="center"/>
            </w:pPr>
            <w:r>
              <w:rPr>
                <w:color w:val="000000"/>
                <w:sz w:val="24"/>
                <w:szCs w:val="24"/>
              </w:rPr>
              <w:t>300347</w:t>
            </w:r>
          </w:p>
        </w:tc>
        <w:tc>
          <w:tcPr>
            <w:tcW w:w="1777" w:type="dxa"/>
            <w:vAlign w:val="center"/>
          </w:tcPr>
          <w:p w:rsidR="00D6395C" w:rsidRDefault="00461137">
            <w:pPr>
              <w:jc w:val="center"/>
            </w:pPr>
            <w:r>
              <w:rPr>
                <w:color w:val="000000"/>
                <w:sz w:val="24"/>
                <w:szCs w:val="24"/>
              </w:rPr>
              <w:t>泰格医药</w:t>
            </w:r>
          </w:p>
        </w:tc>
        <w:tc>
          <w:tcPr>
            <w:tcW w:w="1334" w:type="dxa"/>
            <w:vAlign w:val="center"/>
          </w:tcPr>
          <w:p w:rsidR="00D6395C" w:rsidRDefault="00461137">
            <w:pPr>
              <w:jc w:val="right"/>
            </w:pPr>
            <w:r>
              <w:rPr>
                <w:color w:val="000000"/>
                <w:sz w:val="24"/>
                <w:szCs w:val="24"/>
              </w:rPr>
              <w:t>2,500</w:t>
            </w:r>
          </w:p>
        </w:tc>
        <w:tc>
          <w:tcPr>
            <w:tcW w:w="1924" w:type="dxa"/>
            <w:vAlign w:val="center"/>
          </w:tcPr>
          <w:p w:rsidR="00D6395C" w:rsidRDefault="00461137">
            <w:pPr>
              <w:jc w:val="right"/>
            </w:pPr>
            <w:r>
              <w:rPr>
                <w:color w:val="000000"/>
                <w:sz w:val="24"/>
                <w:szCs w:val="24"/>
              </w:rPr>
              <w:t>134,300.00</w:t>
            </w:r>
          </w:p>
        </w:tc>
        <w:tc>
          <w:tcPr>
            <w:tcW w:w="1644" w:type="dxa"/>
            <w:vAlign w:val="center"/>
          </w:tcPr>
          <w:p w:rsidR="00D6395C" w:rsidRDefault="00461137">
            <w:pPr>
              <w:jc w:val="right"/>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7,573,074.74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7,573,074.74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6395C">
        <w:trPr>
          <w:jc w:val="center"/>
        </w:trPr>
        <w:tc>
          <w:tcPr>
            <w:tcW w:w="850" w:type="dxa"/>
            <w:vAlign w:val="center"/>
          </w:tcPr>
          <w:p w:rsidR="00D6395C" w:rsidRDefault="00461137">
            <w:pPr>
              <w:jc w:val="center"/>
            </w:pPr>
            <w:r>
              <w:rPr>
                <w:color w:val="000000"/>
                <w:sz w:val="24"/>
                <w:szCs w:val="24"/>
              </w:rPr>
              <w:t>1</w:t>
            </w:r>
          </w:p>
        </w:tc>
        <w:tc>
          <w:tcPr>
            <w:tcW w:w="1475" w:type="dxa"/>
            <w:vAlign w:val="center"/>
          </w:tcPr>
          <w:p w:rsidR="00D6395C" w:rsidRDefault="00461137">
            <w:pPr>
              <w:jc w:val="center"/>
            </w:pPr>
            <w:r>
              <w:rPr>
                <w:color w:val="000000"/>
                <w:sz w:val="24"/>
                <w:szCs w:val="24"/>
              </w:rPr>
              <w:t>128024</w:t>
            </w:r>
          </w:p>
        </w:tc>
        <w:tc>
          <w:tcPr>
            <w:tcW w:w="1769" w:type="dxa"/>
            <w:vAlign w:val="center"/>
          </w:tcPr>
          <w:p w:rsidR="00D6395C" w:rsidRDefault="00461137">
            <w:pPr>
              <w:jc w:val="center"/>
            </w:pPr>
            <w:r>
              <w:rPr>
                <w:color w:val="000000"/>
                <w:sz w:val="24"/>
                <w:szCs w:val="24"/>
              </w:rPr>
              <w:t>宁行转债</w:t>
            </w:r>
          </w:p>
        </w:tc>
        <w:tc>
          <w:tcPr>
            <w:tcW w:w="1387" w:type="dxa"/>
            <w:vAlign w:val="center"/>
          </w:tcPr>
          <w:p w:rsidR="00D6395C" w:rsidRDefault="00461137">
            <w:pPr>
              <w:jc w:val="right"/>
            </w:pPr>
            <w:r>
              <w:rPr>
                <w:color w:val="000000"/>
                <w:sz w:val="24"/>
                <w:szCs w:val="24"/>
              </w:rPr>
              <w:t>66,682</w:t>
            </w:r>
          </w:p>
        </w:tc>
        <w:tc>
          <w:tcPr>
            <w:tcW w:w="2150" w:type="dxa"/>
            <w:vAlign w:val="center"/>
          </w:tcPr>
          <w:p w:rsidR="00D6395C" w:rsidRDefault="00461137">
            <w:pPr>
              <w:jc w:val="right"/>
            </w:pPr>
            <w:r>
              <w:rPr>
                <w:color w:val="000000"/>
                <w:sz w:val="24"/>
                <w:szCs w:val="24"/>
              </w:rPr>
              <w:t>7,573,074.74</w:t>
            </w:r>
          </w:p>
        </w:tc>
        <w:tc>
          <w:tcPr>
            <w:tcW w:w="1237" w:type="dxa"/>
            <w:vAlign w:val="center"/>
          </w:tcPr>
          <w:p w:rsidR="00D6395C" w:rsidRDefault="00461137">
            <w:pPr>
              <w:jc w:val="right"/>
            </w:pPr>
            <w:r>
              <w:rPr>
                <w:color w:val="000000"/>
                <w:sz w:val="24"/>
                <w:szCs w:val="24"/>
              </w:rPr>
              <w:t>5.45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25,984.44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28,655.08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998.50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55,638.02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D6395C">
        <w:trPr>
          <w:jc w:val="center"/>
        </w:trPr>
        <w:tc>
          <w:tcPr>
            <w:tcW w:w="1883" w:type="dxa"/>
            <w:vAlign w:val="center"/>
          </w:tcPr>
          <w:p w:rsidR="00D6395C" w:rsidRDefault="00461137">
            <w:pPr>
              <w:jc w:val="center"/>
            </w:pPr>
            <w:r>
              <w:rPr>
                <w:color w:val="000000"/>
                <w:sz w:val="24"/>
                <w:szCs w:val="24"/>
              </w:rPr>
              <w:t>1</w:t>
            </w:r>
          </w:p>
        </w:tc>
        <w:tc>
          <w:tcPr>
            <w:tcW w:w="1801" w:type="dxa"/>
            <w:vAlign w:val="center"/>
          </w:tcPr>
          <w:p w:rsidR="00D6395C" w:rsidRDefault="00461137">
            <w:pPr>
              <w:jc w:val="center"/>
            </w:pPr>
            <w:r>
              <w:rPr>
                <w:color w:val="000000"/>
                <w:sz w:val="24"/>
                <w:szCs w:val="24"/>
              </w:rPr>
              <w:t>128024</w:t>
            </w:r>
          </w:p>
        </w:tc>
        <w:tc>
          <w:tcPr>
            <w:tcW w:w="1727" w:type="dxa"/>
            <w:vAlign w:val="center"/>
          </w:tcPr>
          <w:p w:rsidR="00D6395C" w:rsidRDefault="00461137">
            <w:pPr>
              <w:jc w:val="center"/>
            </w:pPr>
            <w:r>
              <w:rPr>
                <w:color w:val="000000"/>
                <w:sz w:val="24"/>
                <w:szCs w:val="24"/>
              </w:rPr>
              <w:t>宁行转债</w:t>
            </w:r>
          </w:p>
        </w:tc>
        <w:tc>
          <w:tcPr>
            <w:tcW w:w="1768" w:type="dxa"/>
            <w:vAlign w:val="center"/>
          </w:tcPr>
          <w:p w:rsidR="00D6395C" w:rsidRDefault="00461137">
            <w:pPr>
              <w:jc w:val="right"/>
            </w:pPr>
            <w:r>
              <w:rPr>
                <w:color w:val="000000"/>
                <w:sz w:val="24"/>
                <w:szCs w:val="24"/>
              </w:rPr>
              <w:t>7,573,074.74</w:t>
            </w:r>
          </w:p>
        </w:tc>
        <w:tc>
          <w:tcPr>
            <w:tcW w:w="1689" w:type="dxa"/>
            <w:vAlign w:val="center"/>
          </w:tcPr>
          <w:p w:rsidR="00D6395C" w:rsidRDefault="00461137">
            <w:pPr>
              <w:jc w:val="right"/>
            </w:pPr>
            <w:r>
              <w:rPr>
                <w:color w:val="000000"/>
                <w:sz w:val="24"/>
                <w:szCs w:val="24"/>
              </w:rPr>
              <w:t>5.45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156,227,496.97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643,695.91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16,997,648.98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139,873,543.90</w:t>
            </w:r>
          </w:p>
        </w:tc>
      </w:tr>
    </w:tbl>
    <w:p w:rsidR="00D6395C" w:rsidRDefault="004611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6395C" w:rsidRDefault="0046113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6395C" w:rsidRDefault="0046113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6395C" w:rsidRDefault="00461137">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860" w:rsidRDefault="00921860" w:rsidP="00876D65">
      <w:r>
        <w:separator/>
      </w:r>
    </w:p>
  </w:endnote>
  <w:endnote w:type="continuationSeparator" w:id="0">
    <w:p w:rsidR="00921860" w:rsidRDefault="0092186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251CE">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251CE">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860" w:rsidRDefault="00921860" w:rsidP="00876D65">
      <w:r>
        <w:separator/>
      </w:r>
    </w:p>
  </w:footnote>
  <w:footnote w:type="continuationSeparator" w:id="0">
    <w:p w:rsidR="00921860" w:rsidRDefault="0092186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251CE"/>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2E06"/>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1137"/>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2C19"/>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860"/>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395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35AD"/>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C820A-6717-4DAA-BD82-1EB944C8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542C19"/>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B94BA-F3FE-4B67-BB24-FF56DB22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13</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2018-10-22T08:22:00Z</dcterms:modified>
</cp:coreProperties>
</file>