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15578" w:rsidRDefault="007A5A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143,072,061.74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A5A65" w:rsidRPr="00414345" w:rsidTr="007A5A6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A5A65" w:rsidRPr="00414345" w:rsidTr="007A5A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-5,681,520.18</w:t>
            </w:r>
          </w:p>
        </w:tc>
      </w:tr>
      <w:tr w:rsidR="007A5A65" w:rsidRPr="00414345" w:rsidTr="007A5A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-8,495,833.69</w:t>
            </w:r>
          </w:p>
        </w:tc>
      </w:tr>
      <w:tr w:rsidR="007A5A65" w:rsidRPr="00414345" w:rsidTr="007A5A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-0.0598</w:t>
            </w:r>
          </w:p>
        </w:tc>
      </w:tr>
      <w:tr w:rsidR="007A5A65" w:rsidRPr="00414345" w:rsidTr="007A5A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145,707,166.32</w:t>
            </w:r>
          </w:p>
        </w:tc>
      </w:tr>
      <w:tr w:rsidR="007A5A65" w:rsidRPr="00414345" w:rsidTr="007A5A6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1.0184</w:t>
            </w:r>
          </w:p>
        </w:tc>
      </w:tr>
    </w:tbl>
    <w:p w:rsidR="00515578" w:rsidRDefault="007A5A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15578">
        <w:trPr>
          <w:jc w:val="center"/>
        </w:trPr>
        <w:tc>
          <w:tcPr>
            <w:tcW w:w="1701" w:type="dxa"/>
            <w:vAlign w:val="center"/>
          </w:tcPr>
          <w:p w:rsidR="00515578" w:rsidRDefault="007A5A65">
            <w:pPr>
              <w:jc w:val="left"/>
            </w:pPr>
            <w:r>
              <w:rPr>
                <w:color w:val="000000"/>
                <w:sz w:val="24"/>
                <w:szCs w:val="24"/>
              </w:rPr>
              <w:t>过去三个月</w:t>
            </w:r>
          </w:p>
        </w:tc>
        <w:tc>
          <w:tcPr>
            <w:tcW w:w="1045" w:type="dxa"/>
            <w:vAlign w:val="center"/>
          </w:tcPr>
          <w:p w:rsidR="00515578" w:rsidRDefault="007A5A65" w:rsidP="007A5A65">
            <w:pPr>
              <w:jc w:val="center"/>
            </w:pPr>
            <w:r>
              <w:rPr>
                <w:color w:val="000000"/>
                <w:sz w:val="24"/>
                <w:szCs w:val="24"/>
              </w:rPr>
              <w:t>-5.63%</w:t>
            </w:r>
          </w:p>
        </w:tc>
        <w:tc>
          <w:tcPr>
            <w:tcW w:w="1344" w:type="dxa"/>
            <w:vAlign w:val="center"/>
          </w:tcPr>
          <w:p w:rsidR="00515578" w:rsidRDefault="007A5A65">
            <w:pPr>
              <w:jc w:val="center"/>
            </w:pPr>
            <w:r>
              <w:rPr>
                <w:color w:val="000000"/>
                <w:sz w:val="24"/>
                <w:szCs w:val="24"/>
              </w:rPr>
              <w:t>1.59%</w:t>
            </w:r>
          </w:p>
        </w:tc>
        <w:tc>
          <w:tcPr>
            <w:tcW w:w="1194" w:type="dxa"/>
            <w:vAlign w:val="center"/>
          </w:tcPr>
          <w:p w:rsidR="00515578" w:rsidRDefault="007A5A65" w:rsidP="007A5A65">
            <w:pPr>
              <w:jc w:val="center"/>
            </w:pPr>
            <w:r>
              <w:rPr>
                <w:color w:val="000000"/>
                <w:sz w:val="24"/>
                <w:szCs w:val="24"/>
              </w:rPr>
              <w:t>-0.58%</w:t>
            </w:r>
          </w:p>
        </w:tc>
        <w:tc>
          <w:tcPr>
            <w:tcW w:w="1492" w:type="dxa"/>
            <w:vAlign w:val="center"/>
          </w:tcPr>
          <w:p w:rsidR="00515578" w:rsidRDefault="007A5A65">
            <w:pPr>
              <w:jc w:val="center"/>
            </w:pPr>
            <w:r>
              <w:rPr>
                <w:color w:val="000000"/>
                <w:sz w:val="24"/>
                <w:szCs w:val="24"/>
              </w:rPr>
              <w:t>0.81%</w:t>
            </w:r>
          </w:p>
        </w:tc>
        <w:tc>
          <w:tcPr>
            <w:tcW w:w="1194" w:type="dxa"/>
            <w:vAlign w:val="center"/>
          </w:tcPr>
          <w:p w:rsidR="00515578" w:rsidRDefault="007A5A65" w:rsidP="00606BA6">
            <w:pPr>
              <w:jc w:val="center"/>
            </w:pPr>
            <w:r>
              <w:rPr>
                <w:color w:val="000000"/>
                <w:sz w:val="24"/>
                <w:szCs w:val="24"/>
              </w:rPr>
              <w:t>-5.0</w:t>
            </w:r>
            <w:r w:rsidR="00606BA6">
              <w:rPr>
                <w:color w:val="000000"/>
                <w:sz w:val="24"/>
                <w:szCs w:val="24"/>
              </w:rPr>
              <w:t>5</w:t>
            </w:r>
            <w:bookmarkStart w:id="0" w:name="_GoBack"/>
            <w:bookmarkEnd w:id="0"/>
            <w:r>
              <w:rPr>
                <w:color w:val="000000"/>
                <w:sz w:val="24"/>
                <w:szCs w:val="24"/>
              </w:rPr>
              <w:t>%</w:t>
            </w:r>
          </w:p>
        </w:tc>
        <w:tc>
          <w:tcPr>
            <w:tcW w:w="898" w:type="dxa"/>
            <w:vAlign w:val="center"/>
          </w:tcPr>
          <w:p w:rsidR="00515578" w:rsidRDefault="007A5A65">
            <w:pPr>
              <w:jc w:val="center"/>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15578">
        <w:trPr>
          <w:jc w:val="center"/>
        </w:trPr>
        <w:tc>
          <w:tcPr>
            <w:tcW w:w="846" w:type="dxa"/>
            <w:vAlign w:val="center"/>
          </w:tcPr>
          <w:p w:rsidR="00515578" w:rsidRDefault="007A5A65">
            <w:pPr>
              <w:jc w:val="center"/>
            </w:pPr>
            <w:proofErr w:type="gramStart"/>
            <w:r>
              <w:rPr>
                <w:color w:val="000000"/>
                <w:sz w:val="24"/>
                <w:szCs w:val="24"/>
              </w:rPr>
              <w:t>韩威俊</w:t>
            </w:r>
            <w:proofErr w:type="gramEnd"/>
          </w:p>
        </w:tc>
        <w:tc>
          <w:tcPr>
            <w:tcW w:w="845" w:type="dxa"/>
            <w:vAlign w:val="center"/>
          </w:tcPr>
          <w:p w:rsidR="00515578" w:rsidRDefault="007A5A65">
            <w:pPr>
              <w:jc w:val="center"/>
            </w:pPr>
            <w:r>
              <w:rPr>
                <w:color w:val="000000"/>
                <w:sz w:val="24"/>
                <w:szCs w:val="24"/>
              </w:rPr>
              <w:t>交</w:t>
            </w:r>
            <w:proofErr w:type="gramStart"/>
            <w:r>
              <w:rPr>
                <w:color w:val="000000"/>
                <w:sz w:val="24"/>
                <w:szCs w:val="24"/>
              </w:rPr>
              <w:t>银趋势</w:t>
            </w:r>
            <w:proofErr w:type="gramEnd"/>
            <w:r>
              <w:rPr>
                <w:color w:val="000000"/>
                <w:sz w:val="24"/>
                <w:szCs w:val="24"/>
              </w:rPr>
              <w:t>混合、交银策略回报灵活配置混合、交</w:t>
            </w:r>
            <w:proofErr w:type="gramStart"/>
            <w:r>
              <w:rPr>
                <w:color w:val="000000"/>
                <w:sz w:val="24"/>
                <w:szCs w:val="24"/>
              </w:rPr>
              <w:t>银消费</w:t>
            </w:r>
            <w:proofErr w:type="gramEnd"/>
            <w:r>
              <w:rPr>
                <w:color w:val="000000"/>
                <w:sz w:val="24"/>
                <w:szCs w:val="24"/>
              </w:rPr>
              <w:t>新驱动股票、交银股息优化混合、交银品质升级混合的基金经理</w:t>
            </w:r>
          </w:p>
        </w:tc>
        <w:tc>
          <w:tcPr>
            <w:tcW w:w="1549" w:type="dxa"/>
            <w:vAlign w:val="center"/>
          </w:tcPr>
          <w:p w:rsidR="00515578" w:rsidRDefault="007A5A65">
            <w:pPr>
              <w:jc w:val="center"/>
            </w:pPr>
            <w:r>
              <w:rPr>
                <w:color w:val="000000"/>
                <w:sz w:val="24"/>
                <w:szCs w:val="24"/>
              </w:rPr>
              <w:t>2017-08-25</w:t>
            </w:r>
          </w:p>
        </w:tc>
        <w:tc>
          <w:tcPr>
            <w:tcW w:w="1548" w:type="dxa"/>
            <w:vAlign w:val="center"/>
          </w:tcPr>
          <w:p w:rsidR="00515578" w:rsidRDefault="007A5A65">
            <w:pPr>
              <w:jc w:val="center"/>
            </w:pPr>
            <w:r>
              <w:rPr>
                <w:color w:val="000000"/>
                <w:sz w:val="24"/>
                <w:szCs w:val="24"/>
              </w:rPr>
              <w:t>-</w:t>
            </w:r>
          </w:p>
        </w:tc>
        <w:tc>
          <w:tcPr>
            <w:tcW w:w="1407" w:type="dxa"/>
            <w:vAlign w:val="center"/>
          </w:tcPr>
          <w:p w:rsidR="00515578" w:rsidRDefault="007A5A65">
            <w:pPr>
              <w:jc w:val="center"/>
            </w:pPr>
            <w:r>
              <w:rPr>
                <w:color w:val="000000"/>
                <w:sz w:val="24"/>
                <w:szCs w:val="24"/>
              </w:rPr>
              <w:t>12</w:t>
            </w:r>
            <w:r>
              <w:rPr>
                <w:color w:val="000000"/>
                <w:sz w:val="24"/>
                <w:szCs w:val="24"/>
              </w:rPr>
              <w:t>年</w:t>
            </w:r>
          </w:p>
        </w:tc>
        <w:tc>
          <w:tcPr>
            <w:tcW w:w="2673" w:type="dxa"/>
            <w:vAlign w:val="center"/>
          </w:tcPr>
          <w:p w:rsidR="00515578" w:rsidRDefault="007A5A65">
            <w:r>
              <w:rPr>
                <w:color w:val="000000"/>
                <w:sz w:val="24"/>
                <w:szCs w:val="24"/>
              </w:rPr>
              <w:t>韩威俊先生，上海财经大学金融学硕士。历任申银万国证券研究所助理分析师、北京鼎天资产管理有限公司董事助理、申银万国证券研究所行业分析师、信</w:t>
            </w:r>
            <w:proofErr w:type="gramStart"/>
            <w:r>
              <w:rPr>
                <w:color w:val="000000"/>
                <w:sz w:val="24"/>
                <w:szCs w:val="24"/>
              </w:rPr>
              <w:t>诚基金</w:t>
            </w:r>
            <w:proofErr w:type="gramEnd"/>
            <w:r>
              <w:rPr>
                <w:color w:val="000000"/>
                <w:sz w:val="24"/>
                <w:szCs w:val="24"/>
              </w:rPr>
              <w:t>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15578" w:rsidRDefault="007A5A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15578" w:rsidRDefault="007A5A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15578" w:rsidRDefault="007A5A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15578" w:rsidRDefault="007A5A65">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年三季度，贸易战、人民币汇率等海外因素进入白热化阶段，海外资金对于</w:t>
      </w:r>
      <w:r>
        <w:rPr>
          <w:color w:val="000000"/>
          <w:sz w:val="24"/>
          <w:szCs w:val="24"/>
        </w:rPr>
        <w:t>A</w:t>
      </w:r>
      <w:r>
        <w:rPr>
          <w:color w:val="000000"/>
          <w:sz w:val="24"/>
          <w:szCs w:val="24"/>
        </w:rPr>
        <w:t>股的边际波动影响加大。虽然国内货币政策和财政政策在七月份出现拐点，但是真正传导到实体经济进而传导到资本市场还需要一定的时间。</w:t>
      </w:r>
    </w:p>
    <w:p w:rsidR="00515578" w:rsidRDefault="007A5A65">
      <w:pPr>
        <w:spacing w:before="29" w:line="288" w:lineRule="auto"/>
        <w:ind w:firstLineChars="200" w:firstLine="480"/>
        <w:rPr>
          <w:color w:val="000000"/>
          <w:sz w:val="24"/>
          <w:szCs w:val="24"/>
        </w:rPr>
      </w:pPr>
      <w:r>
        <w:rPr>
          <w:color w:val="000000"/>
          <w:sz w:val="24"/>
          <w:szCs w:val="24"/>
        </w:rPr>
        <w:t>本基金在三季度适度降低了整体</w:t>
      </w:r>
      <w:proofErr w:type="gramStart"/>
      <w:r>
        <w:rPr>
          <w:color w:val="000000"/>
          <w:sz w:val="24"/>
          <w:szCs w:val="24"/>
        </w:rPr>
        <w:t>仓位</w:t>
      </w:r>
      <w:proofErr w:type="gramEnd"/>
      <w:r>
        <w:rPr>
          <w:color w:val="000000"/>
          <w:sz w:val="24"/>
          <w:szCs w:val="24"/>
        </w:rPr>
        <w:t>，特别是在九月份整体反弹的时候减持了部分后续可能持续下调盈利预测的白马股。九月份增加了地产股的配置比例，特别是一、</w:t>
      </w:r>
      <w:proofErr w:type="gramStart"/>
      <w:r>
        <w:rPr>
          <w:color w:val="000000"/>
          <w:sz w:val="24"/>
          <w:szCs w:val="24"/>
        </w:rPr>
        <w:t>二线占比较</w:t>
      </w:r>
      <w:proofErr w:type="gramEnd"/>
      <w:r>
        <w:rPr>
          <w:color w:val="000000"/>
          <w:sz w:val="24"/>
          <w:szCs w:val="24"/>
        </w:rPr>
        <w:t>高的地产股，此类公司目前处于低预期下的低估值状态，现金流和分红收益率未来三年如果能够保持，将是较好的投资标的。</w:t>
      </w:r>
    </w:p>
    <w:p w:rsidR="00515578" w:rsidRDefault="007A5A65">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年四季度，在高油价、高信用风险的背景下，整个市场的流动性和风险偏好很难出现系统性上升，市场将继续出现小区间震荡向下的趋势，</w:t>
      </w:r>
      <w:proofErr w:type="gramStart"/>
      <w:r>
        <w:rPr>
          <w:color w:val="000000"/>
          <w:sz w:val="24"/>
          <w:szCs w:val="24"/>
        </w:rPr>
        <w:t>除非市场</w:t>
      </w:r>
      <w:proofErr w:type="gramEnd"/>
      <w:r>
        <w:rPr>
          <w:color w:val="000000"/>
          <w:sz w:val="24"/>
          <w:szCs w:val="24"/>
        </w:rPr>
        <w:t>风险偏好出现明显上升或者事件性驱动，否则市场很难出现系统性上涨。</w:t>
      </w:r>
      <w:proofErr w:type="gramStart"/>
      <w:r>
        <w:rPr>
          <w:color w:val="000000"/>
          <w:sz w:val="24"/>
          <w:szCs w:val="24"/>
        </w:rPr>
        <w:t>由于降准等</w:t>
      </w:r>
      <w:proofErr w:type="gramEnd"/>
      <w:r>
        <w:rPr>
          <w:color w:val="000000"/>
          <w:sz w:val="24"/>
          <w:szCs w:val="24"/>
        </w:rPr>
        <w:t>货币政策对冲了去杠杆的负面因素，整个宏观经济流动性压力并不大，但真正要影响到资本市场还需要一定时滞，年内货币政策的调整余地后续并不大。此外，年内财政政策仍然有进一步调整的空间，包括增值税的系统性调整，消费下乡细则的落地，短期效应虽然并不明显，但对国内消费会有长期的驱动利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受制于整个宏观经济增速的放缓，三驾马车驱动下的大行业增速都会出现比较明显的放缓，细分子行业内部出现各个公司的分化，三季度增速较快的公司会比二季度更加稀缺，对个股研究的要求也会越来越高。本基金希望通过自下而上的分析，选择继续持有业绩和现金流持续好转的个股，特别三季度增速可能快于二季度的个股做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118,319,825.28</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78.72</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118,319,825.28</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78.72</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7A5A65">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7A5A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31,899,235.01</w:t>
            </w:r>
          </w:p>
        </w:tc>
        <w:tc>
          <w:tcPr>
            <w:tcW w:w="2801" w:type="dxa"/>
            <w:vAlign w:val="center"/>
          </w:tcPr>
          <w:p w:rsidR="00BF0019" w:rsidRPr="007B5F21" w:rsidRDefault="00BF0019" w:rsidP="007A5A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21.22</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7A5A65">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7A5A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92,165.59</w:t>
            </w:r>
          </w:p>
        </w:tc>
        <w:tc>
          <w:tcPr>
            <w:tcW w:w="2801" w:type="dxa"/>
            <w:vAlign w:val="center"/>
          </w:tcPr>
          <w:p w:rsidR="00BF0019" w:rsidRPr="007B5F21" w:rsidRDefault="00BF0019" w:rsidP="007A5A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7A5A65">
        <w:tc>
          <w:tcPr>
            <w:tcW w:w="720" w:type="dxa"/>
            <w:vAlign w:val="center"/>
          </w:tcPr>
          <w:p w:rsidR="00BF0019" w:rsidRPr="007B5F21" w:rsidRDefault="00BF0019" w:rsidP="007A5A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7A5A65">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7A5A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150,311,225.88</w:t>
            </w:r>
          </w:p>
        </w:tc>
        <w:tc>
          <w:tcPr>
            <w:tcW w:w="2801" w:type="dxa"/>
            <w:vAlign w:val="center"/>
          </w:tcPr>
          <w:p w:rsidR="00BF0019" w:rsidRPr="007B5F21" w:rsidRDefault="00BF0019" w:rsidP="007A5A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78,138,269.44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5,043,820.80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28,423,688.00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3,826,164.08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592,882.96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118,319,825.28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15578">
        <w:trPr>
          <w:jc w:val="center"/>
        </w:trPr>
        <w:tc>
          <w:tcPr>
            <w:tcW w:w="855" w:type="dxa"/>
            <w:vAlign w:val="center"/>
          </w:tcPr>
          <w:p w:rsidR="00515578" w:rsidRDefault="007A5A65">
            <w:pPr>
              <w:jc w:val="center"/>
            </w:pPr>
            <w:r>
              <w:rPr>
                <w:color w:val="000000"/>
                <w:sz w:val="24"/>
                <w:szCs w:val="24"/>
              </w:rPr>
              <w:t>1</w:t>
            </w:r>
          </w:p>
        </w:tc>
        <w:tc>
          <w:tcPr>
            <w:tcW w:w="1334" w:type="dxa"/>
            <w:vAlign w:val="center"/>
          </w:tcPr>
          <w:p w:rsidR="00515578" w:rsidRDefault="007A5A65">
            <w:pPr>
              <w:jc w:val="center"/>
            </w:pPr>
            <w:r>
              <w:rPr>
                <w:color w:val="000000"/>
                <w:sz w:val="24"/>
                <w:szCs w:val="24"/>
              </w:rPr>
              <w:t>600519</w:t>
            </w:r>
          </w:p>
        </w:tc>
        <w:tc>
          <w:tcPr>
            <w:tcW w:w="1777" w:type="dxa"/>
            <w:vAlign w:val="center"/>
          </w:tcPr>
          <w:p w:rsidR="00515578" w:rsidRDefault="007A5A65">
            <w:pPr>
              <w:jc w:val="center"/>
            </w:pPr>
            <w:r>
              <w:rPr>
                <w:color w:val="000000"/>
                <w:sz w:val="24"/>
                <w:szCs w:val="24"/>
              </w:rPr>
              <w:t>贵州茅台</w:t>
            </w:r>
          </w:p>
        </w:tc>
        <w:tc>
          <w:tcPr>
            <w:tcW w:w="1334" w:type="dxa"/>
            <w:vAlign w:val="center"/>
          </w:tcPr>
          <w:p w:rsidR="00515578" w:rsidRDefault="007A5A65">
            <w:pPr>
              <w:jc w:val="right"/>
            </w:pPr>
            <w:r>
              <w:rPr>
                <w:color w:val="000000"/>
                <w:sz w:val="24"/>
                <w:szCs w:val="24"/>
              </w:rPr>
              <w:t>16,690</w:t>
            </w:r>
          </w:p>
        </w:tc>
        <w:tc>
          <w:tcPr>
            <w:tcW w:w="1924" w:type="dxa"/>
            <w:vAlign w:val="center"/>
          </w:tcPr>
          <w:p w:rsidR="00515578" w:rsidRDefault="007A5A65">
            <w:pPr>
              <w:jc w:val="right"/>
            </w:pPr>
            <w:r>
              <w:rPr>
                <w:color w:val="000000"/>
                <w:sz w:val="24"/>
                <w:szCs w:val="24"/>
              </w:rPr>
              <w:t>12,183,700.00</w:t>
            </w:r>
          </w:p>
        </w:tc>
        <w:tc>
          <w:tcPr>
            <w:tcW w:w="1644" w:type="dxa"/>
            <w:vAlign w:val="center"/>
          </w:tcPr>
          <w:p w:rsidR="00515578" w:rsidRDefault="007A5A65">
            <w:pPr>
              <w:jc w:val="right"/>
            </w:pPr>
            <w:r>
              <w:rPr>
                <w:color w:val="000000"/>
                <w:sz w:val="24"/>
                <w:szCs w:val="24"/>
              </w:rPr>
              <w:t>8.36</w:t>
            </w:r>
          </w:p>
        </w:tc>
      </w:tr>
      <w:tr w:rsidR="00515578">
        <w:trPr>
          <w:jc w:val="center"/>
        </w:trPr>
        <w:tc>
          <w:tcPr>
            <w:tcW w:w="855" w:type="dxa"/>
            <w:vAlign w:val="center"/>
          </w:tcPr>
          <w:p w:rsidR="00515578" w:rsidRDefault="007A5A65">
            <w:pPr>
              <w:jc w:val="center"/>
            </w:pPr>
            <w:r>
              <w:rPr>
                <w:color w:val="000000"/>
                <w:sz w:val="24"/>
                <w:szCs w:val="24"/>
              </w:rPr>
              <w:t>2</w:t>
            </w:r>
          </w:p>
        </w:tc>
        <w:tc>
          <w:tcPr>
            <w:tcW w:w="1334" w:type="dxa"/>
            <w:vAlign w:val="center"/>
          </w:tcPr>
          <w:p w:rsidR="00515578" w:rsidRDefault="007A5A65">
            <w:pPr>
              <w:jc w:val="center"/>
            </w:pPr>
            <w:r>
              <w:rPr>
                <w:color w:val="000000"/>
                <w:sz w:val="24"/>
                <w:szCs w:val="24"/>
              </w:rPr>
              <w:t>000858</w:t>
            </w:r>
          </w:p>
        </w:tc>
        <w:tc>
          <w:tcPr>
            <w:tcW w:w="1777" w:type="dxa"/>
            <w:vAlign w:val="center"/>
          </w:tcPr>
          <w:p w:rsidR="00515578" w:rsidRDefault="007A5A65">
            <w:pPr>
              <w:jc w:val="center"/>
            </w:pPr>
            <w:r>
              <w:rPr>
                <w:color w:val="000000"/>
                <w:sz w:val="24"/>
                <w:szCs w:val="24"/>
              </w:rPr>
              <w:t>五粮液</w:t>
            </w:r>
          </w:p>
        </w:tc>
        <w:tc>
          <w:tcPr>
            <w:tcW w:w="1334" w:type="dxa"/>
            <w:vAlign w:val="center"/>
          </w:tcPr>
          <w:p w:rsidR="00515578" w:rsidRDefault="007A5A65">
            <w:pPr>
              <w:jc w:val="right"/>
            </w:pPr>
            <w:r>
              <w:rPr>
                <w:color w:val="000000"/>
                <w:sz w:val="24"/>
                <w:szCs w:val="24"/>
              </w:rPr>
              <w:t>176,707</w:t>
            </w:r>
          </w:p>
        </w:tc>
        <w:tc>
          <w:tcPr>
            <w:tcW w:w="1924" w:type="dxa"/>
            <w:vAlign w:val="center"/>
          </w:tcPr>
          <w:p w:rsidR="00515578" w:rsidRDefault="007A5A65">
            <w:pPr>
              <w:jc w:val="right"/>
            </w:pPr>
            <w:r>
              <w:rPr>
                <w:color w:val="000000"/>
                <w:sz w:val="24"/>
                <w:szCs w:val="24"/>
              </w:rPr>
              <w:t>12,007,240.65</w:t>
            </w:r>
          </w:p>
        </w:tc>
        <w:tc>
          <w:tcPr>
            <w:tcW w:w="1644" w:type="dxa"/>
            <w:vAlign w:val="center"/>
          </w:tcPr>
          <w:p w:rsidR="00515578" w:rsidRDefault="007A5A65">
            <w:pPr>
              <w:jc w:val="right"/>
            </w:pPr>
            <w:r>
              <w:rPr>
                <w:color w:val="000000"/>
                <w:sz w:val="24"/>
                <w:szCs w:val="24"/>
              </w:rPr>
              <w:t>8.24</w:t>
            </w:r>
          </w:p>
        </w:tc>
      </w:tr>
      <w:tr w:rsidR="00515578">
        <w:trPr>
          <w:jc w:val="center"/>
        </w:trPr>
        <w:tc>
          <w:tcPr>
            <w:tcW w:w="855" w:type="dxa"/>
            <w:vAlign w:val="center"/>
          </w:tcPr>
          <w:p w:rsidR="00515578" w:rsidRDefault="007A5A65">
            <w:pPr>
              <w:jc w:val="center"/>
            </w:pPr>
            <w:r>
              <w:rPr>
                <w:color w:val="000000"/>
                <w:sz w:val="24"/>
                <w:szCs w:val="24"/>
              </w:rPr>
              <w:t>3</w:t>
            </w:r>
          </w:p>
        </w:tc>
        <w:tc>
          <w:tcPr>
            <w:tcW w:w="1334" w:type="dxa"/>
            <w:vAlign w:val="center"/>
          </w:tcPr>
          <w:p w:rsidR="00515578" w:rsidRDefault="007A5A65">
            <w:pPr>
              <w:jc w:val="center"/>
            </w:pPr>
            <w:r>
              <w:rPr>
                <w:color w:val="000000"/>
                <w:sz w:val="24"/>
                <w:szCs w:val="24"/>
              </w:rPr>
              <w:t>300146</w:t>
            </w:r>
          </w:p>
        </w:tc>
        <w:tc>
          <w:tcPr>
            <w:tcW w:w="1777" w:type="dxa"/>
            <w:vAlign w:val="center"/>
          </w:tcPr>
          <w:p w:rsidR="00515578" w:rsidRDefault="007A5A65">
            <w:pPr>
              <w:jc w:val="center"/>
            </w:pPr>
            <w:r>
              <w:rPr>
                <w:color w:val="000000"/>
                <w:sz w:val="24"/>
                <w:szCs w:val="24"/>
              </w:rPr>
              <w:t>汤臣</w:t>
            </w:r>
            <w:proofErr w:type="gramStart"/>
            <w:r>
              <w:rPr>
                <w:color w:val="000000"/>
                <w:sz w:val="24"/>
                <w:szCs w:val="24"/>
              </w:rPr>
              <w:t>倍</w:t>
            </w:r>
            <w:proofErr w:type="gramEnd"/>
            <w:r>
              <w:rPr>
                <w:color w:val="000000"/>
                <w:sz w:val="24"/>
                <w:szCs w:val="24"/>
              </w:rPr>
              <w:t>健</w:t>
            </w:r>
          </w:p>
        </w:tc>
        <w:tc>
          <w:tcPr>
            <w:tcW w:w="1334" w:type="dxa"/>
            <w:vAlign w:val="center"/>
          </w:tcPr>
          <w:p w:rsidR="00515578" w:rsidRDefault="007A5A65">
            <w:pPr>
              <w:jc w:val="right"/>
            </w:pPr>
            <w:r>
              <w:rPr>
                <w:color w:val="000000"/>
                <w:sz w:val="24"/>
                <w:szCs w:val="24"/>
              </w:rPr>
              <w:t>545,503</w:t>
            </w:r>
          </w:p>
        </w:tc>
        <w:tc>
          <w:tcPr>
            <w:tcW w:w="1924" w:type="dxa"/>
            <w:vAlign w:val="center"/>
          </w:tcPr>
          <w:p w:rsidR="00515578" w:rsidRDefault="007A5A65">
            <w:pPr>
              <w:jc w:val="right"/>
            </w:pPr>
            <w:r>
              <w:rPr>
                <w:color w:val="000000"/>
                <w:sz w:val="24"/>
                <w:szCs w:val="24"/>
              </w:rPr>
              <w:t>11,182,811.50</w:t>
            </w:r>
          </w:p>
        </w:tc>
        <w:tc>
          <w:tcPr>
            <w:tcW w:w="1644" w:type="dxa"/>
            <w:vAlign w:val="center"/>
          </w:tcPr>
          <w:p w:rsidR="00515578" w:rsidRDefault="007A5A65">
            <w:pPr>
              <w:jc w:val="right"/>
            </w:pPr>
            <w:r>
              <w:rPr>
                <w:color w:val="000000"/>
                <w:sz w:val="24"/>
                <w:szCs w:val="24"/>
              </w:rPr>
              <w:t>7.67</w:t>
            </w:r>
          </w:p>
        </w:tc>
      </w:tr>
      <w:tr w:rsidR="00515578">
        <w:trPr>
          <w:jc w:val="center"/>
        </w:trPr>
        <w:tc>
          <w:tcPr>
            <w:tcW w:w="855" w:type="dxa"/>
            <w:vAlign w:val="center"/>
          </w:tcPr>
          <w:p w:rsidR="00515578" w:rsidRDefault="007A5A65">
            <w:pPr>
              <w:jc w:val="center"/>
            </w:pPr>
            <w:r>
              <w:rPr>
                <w:color w:val="000000"/>
                <w:sz w:val="24"/>
                <w:szCs w:val="24"/>
              </w:rPr>
              <w:t>4</w:t>
            </w:r>
          </w:p>
        </w:tc>
        <w:tc>
          <w:tcPr>
            <w:tcW w:w="1334" w:type="dxa"/>
            <w:vAlign w:val="center"/>
          </w:tcPr>
          <w:p w:rsidR="00515578" w:rsidRDefault="007A5A65">
            <w:pPr>
              <w:jc w:val="center"/>
            </w:pPr>
            <w:r>
              <w:rPr>
                <w:color w:val="000000"/>
                <w:sz w:val="24"/>
                <w:szCs w:val="24"/>
              </w:rPr>
              <w:t>002304</w:t>
            </w:r>
          </w:p>
        </w:tc>
        <w:tc>
          <w:tcPr>
            <w:tcW w:w="1777" w:type="dxa"/>
            <w:vAlign w:val="center"/>
          </w:tcPr>
          <w:p w:rsidR="00515578" w:rsidRDefault="007A5A65">
            <w:pPr>
              <w:jc w:val="center"/>
            </w:pPr>
            <w:r>
              <w:rPr>
                <w:color w:val="000000"/>
                <w:sz w:val="24"/>
                <w:szCs w:val="24"/>
              </w:rPr>
              <w:t>洋河股份</w:t>
            </w:r>
          </w:p>
        </w:tc>
        <w:tc>
          <w:tcPr>
            <w:tcW w:w="1334" w:type="dxa"/>
            <w:vAlign w:val="center"/>
          </w:tcPr>
          <w:p w:rsidR="00515578" w:rsidRDefault="007A5A65">
            <w:pPr>
              <w:jc w:val="right"/>
            </w:pPr>
            <w:r>
              <w:rPr>
                <w:color w:val="000000"/>
                <w:sz w:val="24"/>
                <w:szCs w:val="24"/>
              </w:rPr>
              <w:t>82,398</w:t>
            </w:r>
          </w:p>
        </w:tc>
        <w:tc>
          <w:tcPr>
            <w:tcW w:w="1924" w:type="dxa"/>
            <w:vAlign w:val="center"/>
          </w:tcPr>
          <w:p w:rsidR="00515578" w:rsidRDefault="007A5A65">
            <w:pPr>
              <w:jc w:val="right"/>
            </w:pPr>
            <w:r>
              <w:rPr>
                <w:color w:val="000000"/>
                <w:sz w:val="24"/>
                <w:szCs w:val="24"/>
              </w:rPr>
              <w:t>10,546,944.00</w:t>
            </w:r>
          </w:p>
        </w:tc>
        <w:tc>
          <w:tcPr>
            <w:tcW w:w="1644" w:type="dxa"/>
            <w:vAlign w:val="center"/>
          </w:tcPr>
          <w:p w:rsidR="00515578" w:rsidRDefault="007A5A65">
            <w:pPr>
              <w:jc w:val="right"/>
            </w:pPr>
            <w:r>
              <w:rPr>
                <w:color w:val="000000"/>
                <w:sz w:val="24"/>
                <w:szCs w:val="24"/>
              </w:rPr>
              <w:t>7.24</w:t>
            </w:r>
          </w:p>
        </w:tc>
      </w:tr>
      <w:tr w:rsidR="00515578">
        <w:trPr>
          <w:jc w:val="center"/>
        </w:trPr>
        <w:tc>
          <w:tcPr>
            <w:tcW w:w="855" w:type="dxa"/>
            <w:vAlign w:val="center"/>
          </w:tcPr>
          <w:p w:rsidR="00515578" w:rsidRDefault="007A5A65">
            <w:pPr>
              <w:jc w:val="center"/>
            </w:pPr>
            <w:r>
              <w:rPr>
                <w:color w:val="000000"/>
                <w:sz w:val="24"/>
                <w:szCs w:val="24"/>
              </w:rPr>
              <w:t>5</w:t>
            </w:r>
          </w:p>
        </w:tc>
        <w:tc>
          <w:tcPr>
            <w:tcW w:w="1334" w:type="dxa"/>
            <w:vAlign w:val="center"/>
          </w:tcPr>
          <w:p w:rsidR="00515578" w:rsidRDefault="007A5A65">
            <w:pPr>
              <w:jc w:val="center"/>
            </w:pPr>
            <w:r>
              <w:rPr>
                <w:color w:val="000000"/>
                <w:sz w:val="24"/>
                <w:szCs w:val="24"/>
              </w:rPr>
              <w:t>600048</w:t>
            </w:r>
          </w:p>
        </w:tc>
        <w:tc>
          <w:tcPr>
            <w:tcW w:w="1777" w:type="dxa"/>
            <w:vAlign w:val="center"/>
          </w:tcPr>
          <w:p w:rsidR="00515578" w:rsidRDefault="007A5A65">
            <w:pPr>
              <w:jc w:val="center"/>
            </w:pPr>
            <w:r>
              <w:rPr>
                <w:color w:val="000000"/>
                <w:sz w:val="24"/>
                <w:szCs w:val="24"/>
              </w:rPr>
              <w:t>保利地产</w:t>
            </w:r>
          </w:p>
        </w:tc>
        <w:tc>
          <w:tcPr>
            <w:tcW w:w="1334" w:type="dxa"/>
            <w:vAlign w:val="center"/>
          </w:tcPr>
          <w:p w:rsidR="00515578" w:rsidRDefault="007A5A65">
            <w:pPr>
              <w:jc w:val="right"/>
            </w:pPr>
            <w:r>
              <w:rPr>
                <w:color w:val="000000"/>
                <w:sz w:val="24"/>
                <w:szCs w:val="24"/>
              </w:rPr>
              <w:t>857,020</w:t>
            </w:r>
          </w:p>
        </w:tc>
        <w:tc>
          <w:tcPr>
            <w:tcW w:w="1924" w:type="dxa"/>
            <w:vAlign w:val="center"/>
          </w:tcPr>
          <w:p w:rsidR="00515578" w:rsidRDefault="007A5A65">
            <w:pPr>
              <w:jc w:val="right"/>
            </w:pPr>
            <w:r>
              <w:rPr>
                <w:color w:val="000000"/>
                <w:sz w:val="24"/>
                <w:szCs w:val="24"/>
              </w:rPr>
              <w:t>10,429,933.40</w:t>
            </w:r>
          </w:p>
        </w:tc>
        <w:tc>
          <w:tcPr>
            <w:tcW w:w="1644" w:type="dxa"/>
            <w:vAlign w:val="center"/>
          </w:tcPr>
          <w:p w:rsidR="00515578" w:rsidRDefault="007A5A65">
            <w:pPr>
              <w:jc w:val="right"/>
            </w:pPr>
            <w:r>
              <w:rPr>
                <w:color w:val="000000"/>
                <w:sz w:val="24"/>
                <w:szCs w:val="24"/>
              </w:rPr>
              <w:t>7.16</w:t>
            </w:r>
          </w:p>
        </w:tc>
      </w:tr>
      <w:tr w:rsidR="00515578">
        <w:trPr>
          <w:jc w:val="center"/>
        </w:trPr>
        <w:tc>
          <w:tcPr>
            <w:tcW w:w="855" w:type="dxa"/>
            <w:vAlign w:val="center"/>
          </w:tcPr>
          <w:p w:rsidR="00515578" w:rsidRDefault="007A5A65">
            <w:pPr>
              <w:jc w:val="center"/>
            </w:pPr>
            <w:r>
              <w:rPr>
                <w:color w:val="000000"/>
                <w:sz w:val="24"/>
                <w:szCs w:val="24"/>
              </w:rPr>
              <w:t>6</w:t>
            </w:r>
          </w:p>
        </w:tc>
        <w:tc>
          <w:tcPr>
            <w:tcW w:w="1334" w:type="dxa"/>
            <w:vAlign w:val="center"/>
          </w:tcPr>
          <w:p w:rsidR="00515578" w:rsidRDefault="007A5A65">
            <w:pPr>
              <w:jc w:val="center"/>
            </w:pPr>
            <w:r>
              <w:rPr>
                <w:color w:val="000000"/>
                <w:sz w:val="24"/>
                <w:szCs w:val="24"/>
              </w:rPr>
              <w:t>603808</w:t>
            </w:r>
          </w:p>
        </w:tc>
        <w:tc>
          <w:tcPr>
            <w:tcW w:w="1777" w:type="dxa"/>
            <w:vAlign w:val="center"/>
          </w:tcPr>
          <w:p w:rsidR="00515578" w:rsidRDefault="007A5A65">
            <w:pPr>
              <w:jc w:val="center"/>
            </w:pPr>
            <w:proofErr w:type="gramStart"/>
            <w:r>
              <w:rPr>
                <w:color w:val="000000"/>
                <w:sz w:val="24"/>
                <w:szCs w:val="24"/>
              </w:rPr>
              <w:t>歌力思</w:t>
            </w:r>
            <w:proofErr w:type="gramEnd"/>
          </w:p>
        </w:tc>
        <w:tc>
          <w:tcPr>
            <w:tcW w:w="1334" w:type="dxa"/>
            <w:vAlign w:val="center"/>
          </w:tcPr>
          <w:p w:rsidR="00515578" w:rsidRDefault="007A5A65">
            <w:pPr>
              <w:jc w:val="right"/>
            </w:pPr>
            <w:r>
              <w:rPr>
                <w:color w:val="000000"/>
                <w:sz w:val="24"/>
                <w:szCs w:val="24"/>
              </w:rPr>
              <w:t>581,960</w:t>
            </w:r>
          </w:p>
        </w:tc>
        <w:tc>
          <w:tcPr>
            <w:tcW w:w="1924" w:type="dxa"/>
            <w:vAlign w:val="center"/>
          </w:tcPr>
          <w:p w:rsidR="00515578" w:rsidRDefault="007A5A65">
            <w:pPr>
              <w:jc w:val="right"/>
            </w:pPr>
            <w:r>
              <w:rPr>
                <w:color w:val="000000"/>
                <w:sz w:val="24"/>
                <w:szCs w:val="24"/>
              </w:rPr>
              <w:t>10,184,300.00</w:t>
            </w:r>
          </w:p>
        </w:tc>
        <w:tc>
          <w:tcPr>
            <w:tcW w:w="1644" w:type="dxa"/>
            <w:vAlign w:val="center"/>
          </w:tcPr>
          <w:p w:rsidR="00515578" w:rsidRDefault="007A5A65">
            <w:pPr>
              <w:jc w:val="right"/>
            </w:pPr>
            <w:r>
              <w:rPr>
                <w:color w:val="000000"/>
                <w:sz w:val="24"/>
                <w:szCs w:val="24"/>
              </w:rPr>
              <w:t>6.99</w:t>
            </w:r>
          </w:p>
        </w:tc>
      </w:tr>
      <w:tr w:rsidR="00515578">
        <w:trPr>
          <w:jc w:val="center"/>
        </w:trPr>
        <w:tc>
          <w:tcPr>
            <w:tcW w:w="855" w:type="dxa"/>
            <w:vAlign w:val="center"/>
          </w:tcPr>
          <w:p w:rsidR="00515578" w:rsidRDefault="007A5A65">
            <w:pPr>
              <w:jc w:val="center"/>
            </w:pPr>
            <w:r>
              <w:rPr>
                <w:color w:val="000000"/>
                <w:sz w:val="24"/>
                <w:szCs w:val="24"/>
              </w:rPr>
              <w:t>7</w:t>
            </w:r>
          </w:p>
        </w:tc>
        <w:tc>
          <w:tcPr>
            <w:tcW w:w="1334" w:type="dxa"/>
            <w:vAlign w:val="center"/>
          </w:tcPr>
          <w:p w:rsidR="00515578" w:rsidRDefault="007A5A65">
            <w:pPr>
              <w:jc w:val="center"/>
            </w:pPr>
            <w:r>
              <w:rPr>
                <w:color w:val="000000"/>
                <w:sz w:val="24"/>
                <w:szCs w:val="24"/>
              </w:rPr>
              <w:t>000002</w:t>
            </w:r>
          </w:p>
        </w:tc>
        <w:tc>
          <w:tcPr>
            <w:tcW w:w="1777" w:type="dxa"/>
            <w:vAlign w:val="center"/>
          </w:tcPr>
          <w:p w:rsidR="00515578" w:rsidRDefault="007A5A65">
            <w:pPr>
              <w:jc w:val="center"/>
            </w:pPr>
            <w:r>
              <w:rPr>
                <w:color w:val="000000"/>
                <w:sz w:val="24"/>
                <w:szCs w:val="24"/>
              </w:rPr>
              <w:t>万科</w:t>
            </w:r>
            <w:r>
              <w:rPr>
                <w:color w:val="000000"/>
                <w:sz w:val="24"/>
                <w:szCs w:val="24"/>
              </w:rPr>
              <w:t>A</w:t>
            </w:r>
          </w:p>
        </w:tc>
        <w:tc>
          <w:tcPr>
            <w:tcW w:w="1334" w:type="dxa"/>
            <w:vAlign w:val="center"/>
          </w:tcPr>
          <w:p w:rsidR="00515578" w:rsidRDefault="007A5A65">
            <w:pPr>
              <w:jc w:val="right"/>
            </w:pPr>
            <w:r>
              <w:rPr>
                <w:color w:val="000000"/>
                <w:sz w:val="24"/>
                <w:szCs w:val="24"/>
              </w:rPr>
              <w:t>413,672</w:t>
            </w:r>
          </w:p>
        </w:tc>
        <w:tc>
          <w:tcPr>
            <w:tcW w:w="1924" w:type="dxa"/>
            <w:vAlign w:val="center"/>
          </w:tcPr>
          <w:p w:rsidR="00515578" w:rsidRDefault="007A5A65">
            <w:pPr>
              <w:jc w:val="right"/>
            </w:pPr>
            <w:r>
              <w:rPr>
                <w:color w:val="000000"/>
                <w:sz w:val="24"/>
                <w:szCs w:val="24"/>
              </w:rPr>
              <w:t>10,052,229.60</w:t>
            </w:r>
          </w:p>
        </w:tc>
        <w:tc>
          <w:tcPr>
            <w:tcW w:w="1644" w:type="dxa"/>
            <w:vAlign w:val="center"/>
          </w:tcPr>
          <w:p w:rsidR="00515578" w:rsidRDefault="007A5A65">
            <w:pPr>
              <w:jc w:val="right"/>
            </w:pPr>
            <w:r>
              <w:rPr>
                <w:color w:val="000000"/>
                <w:sz w:val="24"/>
                <w:szCs w:val="24"/>
              </w:rPr>
              <w:t>6.90</w:t>
            </w:r>
          </w:p>
        </w:tc>
      </w:tr>
      <w:tr w:rsidR="00515578">
        <w:trPr>
          <w:jc w:val="center"/>
        </w:trPr>
        <w:tc>
          <w:tcPr>
            <w:tcW w:w="855" w:type="dxa"/>
            <w:vAlign w:val="center"/>
          </w:tcPr>
          <w:p w:rsidR="00515578" w:rsidRDefault="007A5A65">
            <w:pPr>
              <w:jc w:val="center"/>
            </w:pPr>
            <w:r>
              <w:rPr>
                <w:color w:val="000000"/>
                <w:sz w:val="24"/>
                <w:szCs w:val="24"/>
              </w:rPr>
              <w:t>8</w:t>
            </w:r>
          </w:p>
        </w:tc>
        <w:tc>
          <w:tcPr>
            <w:tcW w:w="1334" w:type="dxa"/>
            <w:vAlign w:val="center"/>
          </w:tcPr>
          <w:p w:rsidR="00515578" w:rsidRDefault="007A5A65">
            <w:pPr>
              <w:jc w:val="center"/>
            </w:pPr>
            <w:r>
              <w:rPr>
                <w:color w:val="000000"/>
                <w:sz w:val="24"/>
                <w:szCs w:val="24"/>
              </w:rPr>
              <w:t>600559</w:t>
            </w:r>
          </w:p>
        </w:tc>
        <w:tc>
          <w:tcPr>
            <w:tcW w:w="1777" w:type="dxa"/>
            <w:vAlign w:val="center"/>
          </w:tcPr>
          <w:p w:rsidR="00515578" w:rsidRDefault="007A5A65">
            <w:pPr>
              <w:jc w:val="center"/>
            </w:pPr>
            <w:r>
              <w:rPr>
                <w:color w:val="000000"/>
                <w:sz w:val="24"/>
                <w:szCs w:val="24"/>
              </w:rPr>
              <w:t>老白干酒</w:t>
            </w:r>
          </w:p>
        </w:tc>
        <w:tc>
          <w:tcPr>
            <w:tcW w:w="1334" w:type="dxa"/>
            <w:vAlign w:val="center"/>
          </w:tcPr>
          <w:p w:rsidR="00515578" w:rsidRDefault="007A5A65">
            <w:pPr>
              <w:jc w:val="right"/>
            </w:pPr>
            <w:r>
              <w:rPr>
                <w:color w:val="000000"/>
                <w:sz w:val="24"/>
                <w:szCs w:val="24"/>
              </w:rPr>
              <w:t>355,219</w:t>
            </w:r>
          </w:p>
        </w:tc>
        <w:tc>
          <w:tcPr>
            <w:tcW w:w="1924" w:type="dxa"/>
            <w:vAlign w:val="center"/>
          </w:tcPr>
          <w:p w:rsidR="00515578" w:rsidRDefault="007A5A65">
            <w:pPr>
              <w:jc w:val="right"/>
            </w:pPr>
            <w:r>
              <w:rPr>
                <w:color w:val="000000"/>
                <w:sz w:val="24"/>
                <w:szCs w:val="24"/>
              </w:rPr>
              <w:t>6,479,194.56</w:t>
            </w:r>
          </w:p>
        </w:tc>
        <w:tc>
          <w:tcPr>
            <w:tcW w:w="1644" w:type="dxa"/>
            <w:vAlign w:val="center"/>
          </w:tcPr>
          <w:p w:rsidR="00515578" w:rsidRDefault="007A5A65">
            <w:pPr>
              <w:jc w:val="right"/>
            </w:pPr>
            <w:r>
              <w:rPr>
                <w:color w:val="000000"/>
                <w:sz w:val="24"/>
                <w:szCs w:val="24"/>
              </w:rPr>
              <w:t>4.45</w:t>
            </w:r>
          </w:p>
        </w:tc>
      </w:tr>
      <w:tr w:rsidR="00515578">
        <w:trPr>
          <w:jc w:val="center"/>
        </w:trPr>
        <w:tc>
          <w:tcPr>
            <w:tcW w:w="855" w:type="dxa"/>
            <w:vAlign w:val="center"/>
          </w:tcPr>
          <w:p w:rsidR="00515578" w:rsidRDefault="007A5A65">
            <w:pPr>
              <w:jc w:val="center"/>
            </w:pPr>
            <w:r>
              <w:rPr>
                <w:color w:val="000000"/>
                <w:sz w:val="24"/>
                <w:szCs w:val="24"/>
              </w:rPr>
              <w:t>9</w:t>
            </w:r>
          </w:p>
        </w:tc>
        <w:tc>
          <w:tcPr>
            <w:tcW w:w="1334" w:type="dxa"/>
            <w:vAlign w:val="center"/>
          </w:tcPr>
          <w:p w:rsidR="00515578" w:rsidRDefault="007A5A65">
            <w:pPr>
              <w:jc w:val="center"/>
            </w:pPr>
            <w:r>
              <w:rPr>
                <w:color w:val="000000"/>
                <w:sz w:val="24"/>
                <w:szCs w:val="24"/>
              </w:rPr>
              <w:t>601155</w:t>
            </w:r>
          </w:p>
        </w:tc>
        <w:tc>
          <w:tcPr>
            <w:tcW w:w="1777" w:type="dxa"/>
            <w:vAlign w:val="center"/>
          </w:tcPr>
          <w:p w:rsidR="00515578" w:rsidRDefault="007A5A65">
            <w:pPr>
              <w:jc w:val="center"/>
            </w:pPr>
            <w:r>
              <w:rPr>
                <w:color w:val="000000"/>
                <w:sz w:val="24"/>
                <w:szCs w:val="24"/>
              </w:rPr>
              <w:t>新城控股</w:t>
            </w:r>
          </w:p>
        </w:tc>
        <w:tc>
          <w:tcPr>
            <w:tcW w:w="1334" w:type="dxa"/>
            <w:vAlign w:val="center"/>
          </w:tcPr>
          <w:p w:rsidR="00515578" w:rsidRDefault="007A5A65">
            <w:pPr>
              <w:jc w:val="right"/>
            </w:pPr>
            <w:r>
              <w:rPr>
                <w:color w:val="000000"/>
                <w:sz w:val="24"/>
                <w:szCs w:val="24"/>
              </w:rPr>
              <w:t>192,900</w:t>
            </w:r>
          </w:p>
        </w:tc>
        <w:tc>
          <w:tcPr>
            <w:tcW w:w="1924" w:type="dxa"/>
            <w:vAlign w:val="center"/>
          </w:tcPr>
          <w:p w:rsidR="00515578" w:rsidRDefault="007A5A65">
            <w:pPr>
              <w:jc w:val="right"/>
            </w:pPr>
            <w:r>
              <w:rPr>
                <w:color w:val="000000"/>
                <w:sz w:val="24"/>
                <w:szCs w:val="24"/>
              </w:rPr>
              <w:t>5,052,051.00</w:t>
            </w:r>
          </w:p>
        </w:tc>
        <w:tc>
          <w:tcPr>
            <w:tcW w:w="1644" w:type="dxa"/>
            <w:vAlign w:val="center"/>
          </w:tcPr>
          <w:p w:rsidR="00515578" w:rsidRDefault="007A5A65">
            <w:pPr>
              <w:jc w:val="right"/>
            </w:pPr>
            <w:r>
              <w:rPr>
                <w:color w:val="000000"/>
                <w:sz w:val="24"/>
                <w:szCs w:val="24"/>
              </w:rPr>
              <w:t>3.47</w:t>
            </w:r>
          </w:p>
        </w:tc>
      </w:tr>
      <w:tr w:rsidR="00515578">
        <w:trPr>
          <w:jc w:val="center"/>
        </w:trPr>
        <w:tc>
          <w:tcPr>
            <w:tcW w:w="855" w:type="dxa"/>
            <w:vAlign w:val="center"/>
          </w:tcPr>
          <w:p w:rsidR="00515578" w:rsidRDefault="007A5A65">
            <w:pPr>
              <w:jc w:val="center"/>
            </w:pPr>
            <w:r>
              <w:rPr>
                <w:color w:val="000000"/>
                <w:sz w:val="24"/>
                <w:szCs w:val="24"/>
              </w:rPr>
              <w:t>10</w:t>
            </w:r>
          </w:p>
        </w:tc>
        <w:tc>
          <w:tcPr>
            <w:tcW w:w="1334" w:type="dxa"/>
            <w:vAlign w:val="center"/>
          </w:tcPr>
          <w:p w:rsidR="00515578" w:rsidRDefault="007A5A65">
            <w:pPr>
              <w:jc w:val="center"/>
            </w:pPr>
            <w:r>
              <w:rPr>
                <w:color w:val="000000"/>
                <w:sz w:val="24"/>
                <w:szCs w:val="24"/>
              </w:rPr>
              <w:t>000596</w:t>
            </w:r>
          </w:p>
        </w:tc>
        <w:tc>
          <w:tcPr>
            <w:tcW w:w="1777" w:type="dxa"/>
            <w:vAlign w:val="center"/>
          </w:tcPr>
          <w:p w:rsidR="00515578" w:rsidRDefault="007A5A65">
            <w:pPr>
              <w:jc w:val="center"/>
            </w:pPr>
            <w:r>
              <w:rPr>
                <w:color w:val="000000"/>
                <w:sz w:val="24"/>
                <w:szCs w:val="24"/>
              </w:rPr>
              <w:t>古井贡酒</w:t>
            </w:r>
          </w:p>
        </w:tc>
        <w:tc>
          <w:tcPr>
            <w:tcW w:w="1334" w:type="dxa"/>
            <w:vAlign w:val="center"/>
          </w:tcPr>
          <w:p w:rsidR="00515578" w:rsidRDefault="007A5A65">
            <w:pPr>
              <w:jc w:val="right"/>
            </w:pPr>
            <w:r>
              <w:rPr>
                <w:color w:val="000000"/>
                <w:sz w:val="24"/>
                <w:szCs w:val="24"/>
              </w:rPr>
              <w:t>53,324</w:t>
            </w:r>
          </w:p>
        </w:tc>
        <w:tc>
          <w:tcPr>
            <w:tcW w:w="1924" w:type="dxa"/>
            <w:vAlign w:val="center"/>
          </w:tcPr>
          <w:p w:rsidR="00515578" w:rsidRDefault="007A5A65">
            <w:pPr>
              <w:jc w:val="right"/>
            </w:pPr>
            <w:r>
              <w:rPr>
                <w:color w:val="000000"/>
                <w:sz w:val="24"/>
                <w:szCs w:val="24"/>
              </w:rPr>
              <w:t>4,438,156.52</w:t>
            </w:r>
          </w:p>
        </w:tc>
        <w:tc>
          <w:tcPr>
            <w:tcW w:w="1644" w:type="dxa"/>
            <w:vAlign w:val="center"/>
          </w:tcPr>
          <w:p w:rsidR="00515578" w:rsidRDefault="007A5A65">
            <w:pPr>
              <w:jc w:val="right"/>
            </w:pPr>
            <w:r>
              <w:rPr>
                <w:color w:val="000000"/>
                <w:sz w:val="24"/>
                <w:szCs w:val="24"/>
              </w:rPr>
              <w:t>3.05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50,620.75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6,416.05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35,128.79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92,165.59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F3E2A" w:rsidRPr="00575270" w:rsidTr="00D9393A">
        <w:tc>
          <w:tcPr>
            <w:tcW w:w="9036" w:type="dxa"/>
          </w:tcPr>
          <w:p w:rsidR="001F3E2A" w:rsidRPr="00575270" w:rsidRDefault="001F3E2A" w:rsidP="007A5A65">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140,516,638.98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11,354,503.19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8,799,080.43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143,072,061.74</w:t>
            </w:r>
          </w:p>
        </w:tc>
      </w:tr>
    </w:tbl>
    <w:p w:rsidR="00515578" w:rsidRDefault="007A5A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15578" w:rsidRDefault="007A5A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15578" w:rsidRDefault="007A5A6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15578" w:rsidRDefault="007A5A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65" w:rsidRDefault="007A5A65" w:rsidP="00876D65">
      <w:r>
        <w:separator/>
      </w:r>
    </w:p>
  </w:endnote>
  <w:endnote w:type="continuationSeparator" w:id="0">
    <w:p w:rsidR="007A5A65" w:rsidRDefault="007A5A6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Default="007A5A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Pr="001D0DB0" w:rsidRDefault="007A5A65"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6BA6">
      <w:rPr>
        <w:noProof/>
        <w:kern w:val="0"/>
        <w:szCs w:val="21"/>
      </w:rPr>
      <w:t>12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06BA6">
      <w:rPr>
        <w:noProof/>
        <w:kern w:val="0"/>
        <w:szCs w:val="21"/>
      </w:rPr>
      <w:t>12</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Default="007A5A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65" w:rsidRDefault="007A5A65" w:rsidP="00876D65">
      <w:r>
        <w:separator/>
      </w:r>
    </w:p>
  </w:footnote>
  <w:footnote w:type="continuationSeparator" w:id="0">
    <w:p w:rsidR="007A5A65" w:rsidRDefault="007A5A6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Default="007A5A6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Pr="00DC456F" w:rsidRDefault="007A5A65"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65" w:rsidRDefault="007A5A6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5578"/>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6BA6"/>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5A65"/>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5136"/>
    <w:rsid w:val="00A36930"/>
    <w:rsid w:val="00A45320"/>
    <w:rsid w:val="00A504C9"/>
    <w:rsid w:val="00A54C7D"/>
    <w:rsid w:val="00A5612C"/>
    <w:rsid w:val="00A5689C"/>
    <w:rsid w:val="00A57AE4"/>
    <w:rsid w:val="00A63A97"/>
    <w:rsid w:val="00A63F19"/>
    <w:rsid w:val="00A669FC"/>
    <w:rsid w:val="00A66F42"/>
    <w:rsid w:val="00A72619"/>
    <w:rsid w:val="00A76625"/>
    <w:rsid w:val="00A81F53"/>
    <w:rsid w:val="00A83500"/>
    <w:rsid w:val="00A8721A"/>
    <w:rsid w:val="00A90049"/>
    <w:rsid w:val="00A917BF"/>
    <w:rsid w:val="00A96A94"/>
    <w:rsid w:val="00AA3A38"/>
    <w:rsid w:val="00AA4F94"/>
    <w:rsid w:val="00AA5526"/>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5B1A"/>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A1D7E02-3085-437A-B65A-5AB05F9A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BD6C-0A3C-4E0F-BA7C-30842AE2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哈行</dc:creator>
  <cp:lastModifiedBy>郝婷婷</cp:lastModifiedBy>
  <cp:revision>3</cp:revision>
  <dcterms:created xsi:type="dcterms:W3CDTF">2018-10-19T09:00:00Z</dcterms:created>
  <dcterms:modified xsi:type="dcterms:W3CDTF">2018-10-23T07:34:00Z</dcterms:modified>
</cp:coreProperties>
</file>