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交银施罗德瑞鑫定期开放灵活配置混合型证券投资基金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9"/>
          <w:headerReference w:type="default" r:id="rId10"/>
          <w:footerReference w:type="even" r:id="rId11"/>
          <w:footerReference w:type="default" r:id="rId12"/>
          <w:headerReference w:type="first" r:id="rId13"/>
          <w:footerReference w:type="first" r:id="rId14"/>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二〇一八年十月二十六日</w:t>
      </w:r>
    </w:p>
    <w:p w:rsidR="004061AC" w:rsidRPr="00414345" w:rsidRDefault="004061AC" w:rsidP="00CD779D">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F94A37" w:rsidRDefault="00D4687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F94A37" w:rsidRDefault="00D46875">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2018</w:t>
      </w:r>
      <w:r>
        <w:rPr>
          <w:color w:val="000000"/>
          <w:sz w:val="24"/>
          <w:szCs w:val="24"/>
        </w:rPr>
        <w:t>年</w:t>
      </w:r>
      <w:r>
        <w:rPr>
          <w:color w:val="000000"/>
          <w:sz w:val="24"/>
          <w:szCs w:val="24"/>
        </w:rPr>
        <w:t>10</w:t>
      </w:r>
      <w:r>
        <w:rPr>
          <w:color w:val="000000"/>
          <w:sz w:val="24"/>
          <w:szCs w:val="24"/>
        </w:rPr>
        <w:t>月</w:t>
      </w:r>
      <w:r>
        <w:rPr>
          <w:color w:val="000000"/>
          <w:sz w:val="24"/>
          <w:szCs w:val="24"/>
        </w:rPr>
        <w:t>25</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F94A37" w:rsidRDefault="00D4687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F94A37" w:rsidRDefault="00D46875">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F94A37" w:rsidRDefault="00D46875">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CD779D">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交银瑞鑫定期开放灵活配置混合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003900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003900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14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300,204,259.10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本基金在控制风险的前提下，力争为投资者提供长期稳健的投资回报。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w:t>
            </w:r>
            <w:r w:rsidRPr="00414345">
              <w:rPr>
                <w:color w:val="000000"/>
                <w:kern w:val="0"/>
                <w:sz w:val="24"/>
                <w:szCs w:val="24"/>
              </w:rPr>
              <w:lastRenderedPageBreak/>
              <w:t>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CD779D">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D779D" w:rsidRPr="00414345" w:rsidTr="00CD779D">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CD779D" w:rsidRPr="00414345" w:rsidTr="00CD779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2,981,853.18</w:t>
            </w:r>
          </w:p>
        </w:tc>
      </w:tr>
      <w:tr w:rsidR="00CD779D" w:rsidRPr="00414345" w:rsidTr="00CD779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2,737,646.93</w:t>
            </w:r>
          </w:p>
        </w:tc>
      </w:tr>
      <w:tr w:rsidR="00CD779D" w:rsidRPr="00414345" w:rsidTr="00CD779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0.0091</w:t>
            </w:r>
          </w:p>
        </w:tc>
      </w:tr>
      <w:tr w:rsidR="00CD779D" w:rsidRPr="00414345" w:rsidTr="00CD779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340,599,480.16</w:t>
            </w:r>
          </w:p>
        </w:tc>
      </w:tr>
      <w:tr w:rsidR="00CD779D" w:rsidRPr="00414345" w:rsidTr="00CD779D">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1.1346</w:t>
            </w:r>
          </w:p>
        </w:tc>
      </w:tr>
    </w:tbl>
    <w:p w:rsidR="00F94A37" w:rsidRDefault="00D4687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D779D">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083"/>
        <w:gridCol w:w="1009"/>
      </w:tblGrid>
      <w:tr w:rsidR="00EF6FA5" w:rsidRPr="00414345" w:rsidTr="00A74704">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08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1009"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F94A37" w:rsidTr="00A74704">
        <w:trPr>
          <w:jc w:val="center"/>
        </w:trPr>
        <w:tc>
          <w:tcPr>
            <w:tcW w:w="1701" w:type="dxa"/>
            <w:vAlign w:val="center"/>
          </w:tcPr>
          <w:p w:rsidR="00F94A37" w:rsidRDefault="00D46875">
            <w:pPr>
              <w:jc w:val="left"/>
            </w:pPr>
            <w:r>
              <w:rPr>
                <w:color w:val="000000"/>
                <w:sz w:val="24"/>
                <w:szCs w:val="24"/>
              </w:rPr>
              <w:t>过去三个月</w:t>
            </w:r>
          </w:p>
        </w:tc>
        <w:tc>
          <w:tcPr>
            <w:tcW w:w="1045" w:type="dxa"/>
            <w:vAlign w:val="center"/>
          </w:tcPr>
          <w:p w:rsidR="00F94A37" w:rsidRDefault="00D46875">
            <w:pPr>
              <w:jc w:val="center"/>
            </w:pPr>
            <w:r>
              <w:rPr>
                <w:color w:val="000000"/>
                <w:sz w:val="24"/>
                <w:szCs w:val="24"/>
              </w:rPr>
              <w:t>0.82%</w:t>
            </w:r>
          </w:p>
        </w:tc>
        <w:tc>
          <w:tcPr>
            <w:tcW w:w="1344" w:type="dxa"/>
            <w:vAlign w:val="center"/>
          </w:tcPr>
          <w:p w:rsidR="00F94A37" w:rsidRDefault="00D46875">
            <w:pPr>
              <w:jc w:val="center"/>
            </w:pPr>
            <w:r>
              <w:rPr>
                <w:color w:val="000000"/>
                <w:sz w:val="24"/>
                <w:szCs w:val="24"/>
              </w:rPr>
              <w:t>0.27%</w:t>
            </w:r>
          </w:p>
        </w:tc>
        <w:tc>
          <w:tcPr>
            <w:tcW w:w="1194" w:type="dxa"/>
            <w:vAlign w:val="center"/>
          </w:tcPr>
          <w:p w:rsidR="00F94A37" w:rsidRDefault="00D46875">
            <w:pPr>
              <w:jc w:val="center"/>
            </w:pPr>
            <w:r>
              <w:rPr>
                <w:color w:val="000000"/>
                <w:sz w:val="24"/>
                <w:szCs w:val="24"/>
              </w:rPr>
              <w:t>-0.60%</w:t>
            </w:r>
          </w:p>
        </w:tc>
        <w:tc>
          <w:tcPr>
            <w:tcW w:w="1492" w:type="dxa"/>
            <w:vAlign w:val="center"/>
          </w:tcPr>
          <w:p w:rsidR="00F94A37" w:rsidRDefault="00D46875">
            <w:pPr>
              <w:jc w:val="center"/>
            </w:pPr>
            <w:r>
              <w:rPr>
                <w:color w:val="000000"/>
                <w:sz w:val="24"/>
                <w:szCs w:val="24"/>
              </w:rPr>
              <w:t>0.67%</w:t>
            </w:r>
          </w:p>
        </w:tc>
        <w:tc>
          <w:tcPr>
            <w:tcW w:w="1083" w:type="dxa"/>
            <w:vAlign w:val="center"/>
          </w:tcPr>
          <w:p w:rsidR="00F94A37" w:rsidRDefault="00D46875">
            <w:pPr>
              <w:jc w:val="center"/>
            </w:pPr>
            <w:r>
              <w:rPr>
                <w:color w:val="000000"/>
                <w:sz w:val="24"/>
                <w:szCs w:val="24"/>
              </w:rPr>
              <w:t>1.42%</w:t>
            </w:r>
          </w:p>
        </w:tc>
        <w:tc>
          <w:tcPr>
            <w:tcW w:w="1009" w:type="dxa"/>
            <w:vAlign w:val="center"/>
          </w:tcPr>
          <w:p w:rsidR="00F94A37" w:rsidRDefault="00D46875">
            <w:pPr>
              <w:jc w:val="center"/>
            </w:pPr>
            <w:r>
              <w:rPr>
                <w:color w:val="000000"/>
                <w:sz w:val="24"/>
                <w:szCs w:val="24"/>
              </w:rPr>
              <w:t>-0.40%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交银施罗德瑞鑫定期开放灵活配置混合型证券投资基金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5"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CD779D">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F94A37">
        <w:trPr>
          <w:jc w:val="center"/>
        </w:trPr>
        <w:tc>
          <w:tcPr>
            <w:tcW w:w="846" w:type="dxa"/>
            <w:vAlign w:val="center"/>
          </w:tcPr>
          <w:p w:rsidR="00F94A37" w:rsidRDefault="00D46875">
            <w:pPr>
              <w:jc w:val="center"/>
            </w:pPr>
            <w:r>
              <w:rPr>
                <w:color w:val="000000"/>
                <w:sz w:val="24"/>
                <w:szCs w:val="24"/>
              </w:rPr>
              <w:t>李娜</w:t>
            </w:r>
          </w:p>
        </w:tc>
        <w:tc>
          <w:tcPr>
            <w:tcW w:w="845" w:type="dxa"/>
            <w:vAlign w:val="center"/>
          </w:tcPr>
          <w:p w:rsidR="00F94A37" w:rsidRDefault="00D46875">
            <w:pPr>
              <w:jc w:val="center"/>
            </w:pPr>
            <w:r>
              <w:rPr>
                <w:color w:val="000000"/>
                <w:sz w:val="24"/>
                <w:szCs w:val="24"/>
              </w:rPr>
              <w:t>交银周期回报灵活配置混合、交银新回报灵活配置混合、交银多策略回报灵活</w:t>
            </w:r>
            <w:r>
              <w:rPr>
                <w:color w:val="000000"/>
                <w:sz w:val="24"/>
                <w:szCs w:val="24"/>
              </w:rPr>
              <w:lastRenderedPageBreak/>
              <w:t>配置混合、交银卓越回报灵活配置混合、交银优选回报灵活配置混合、交银优择回报灵活配置混合、交银领先回报灵活配置混合、交银瑞鑫定期开放灵活配置混合、交银瑞景定期开放灵活配置混合、交银裕祥纯债债券</w:t>
            </w:r>
            <w:r>
              <w:rPr>
                <w:color w:val="000000"/>
                <w:sz w:val="24"/>
                <w:szCs w:val="24"/>
              </w:rPr>
              <w:lastRenderedPageBreak/>
              <w:t>的基金经理</w:t>
            </w:r>
          </w:p>
        </w:tc>
        <w:tc>
          <w:tcPr>
            <w:tcW w:w="1549" w:type="dxa"/>
            <w:vAlign w:val="center"/>
          </w:tcPr>
          <w:p w:rsidR="00F94A37" w:rsidRDefault="00D46875">
            <w:pPr>
              <w:jc w:val="center"/>
            </w:pPr>
            <w:r>
              <w:rPr>
                <w:color w:val="000000"/>
                <w:sz w:val="24"/>
                <w:szCs w:val="24"/>
              </w:rPr>
              <w:lastRenderedPageBreak/>
              <w:t>2016-12-14</w:t>
            </w:r>
          </w:p>
        </w:tc>
        <w:tc>
          <w:tcPr>
            <w:tcW w:w="1548" w:type="dxa"/>
            <w:vAlign w:val="center"/>
          </w:tcPr>
          <w:p w:rsidR="00F94A37" w:rsidRDefault="00D46875">
            <w:pPr>
              <w:jc w:val="center"/>
            </w:pPr>
            <w:r>
              <w:rPr>
                <w:color w:val="000000"/>
                <w:sz w:val="24"/>
                <w:szCs w:val="24"/>
              </w:rPr>
              <w:t>-</w:t>
            </w:r>
          </w:p>
        </w:tc>
        <w:tc>
          <w:tcPr>
            <w:tcW w:w="1407" w:type="dxa"/>
            <w:vAlign w:val="center"/>
          </w:tcPr>
          <w:p w:rsidR="00F94A37" w:rsidRDefault="00D46875">
            <w:pPr>
              <w:jc w:val="center"/>
            </w:pPr>
            <w:r>
              <w:rPr>
                <w:color w:val="000000"/>
                <w:sz w:val="24"/>
                <w:szCs w:val="24"/>
              </w:rPr>
              <w:t>8</w:t>
            </w:r>
            <w:r>
              <w:rPr>
                <w:color w:val="000000"/>
                <w:sz w:val="24"/>
                <w:szCs w:val="24"/>
              </w:rPr>
              <w:t>年</w:t>
            </w:r>
          </w:p>
        </w:tc>
        <w:tc>
          <w:tcPr>
            <w:tcW w:w="2673" w:type="dxa"/>
            <w:vAlign w:val="center"/>
          </w:tcPr>
          <w:p w:rsidR="00F94A37" w:rsidRDefault="00D46875">
            <w:r>
              <w:rPr>
                <w:color w:val="000000"/>
                <w:sz w:val="24"/>
                <w:szCs w:val="24"/>
              </w:rPr>
              <w:t>李娜女士，美国宾夕法尼亚大学应用数学与计算科学硕士。历任国泰基金管理有限公司研究员。</w:t>
            </w:r>
            <w:r>
              <w:rPr>
                <w:color w:val="000000"/>
                <w:sz w:val="24"/>
                <w:szCs w:val="24"/>
              </w:rPr>
              <w:t>2012</w:t>
            </w:r>
            <w:r>
              <w:rPr>
                <w:color w:val="000000"/>
                <w:sz w:val="24"/>
                <w:szCs w:val="24"/>
              </w:rPr>
              <w:t>年加入交银施罗德基金管理有限公司，历任债券分析师、基金经理助理。</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2</w:t>
            </w:r>
            <w:r>
              <w:rPr>
                <w:color w:val="000000"/>
                <w:sz w:val="24"/>
                <w:szCs w:val="24"/>
              </w:rPr>
              <w:t>日至</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10</w:t>
            </w:r>
            <w:r>
              <w:rPr>
                <w:color w:val="000000"/>
                <w:sz w:val="24"/>
                <w:szCs w:val="24"/>
              </w:rPr>
              <w:t>日担任交银施罗德瑞安定期开放灵活配置混合型证券投资基金基金经理。</w:t>
            </w:r>
            <w:r>
              <w:rPr>
                <w:color w:val="000000"/>
                <w:sz w:val="24"/>
                <w:szCs w:val="24"/>
              </w:rPr>
              <w:t>2017</w:t>
            </w:r>
            <w:r>
              <w:rPr>
                <w:color w:val="000000"/>
                <w:sz w:val="24"/>
                <w:szCs w:val="24"/>
              </w:rPr>
              <w:t>年</w:t>
            </w:r>
            <w:r>
              <w:rPr>
                <w:color w:val="000000"/>
                <w:sz w:val="24"/>
                <w:szCs w:val="24"/>
              </w:rPr>
              <w:t>2</w:t>
            </w:r>
            <w:r>
              <w:rPr>
                <w:color w:val="000000"/>
                <w:sz w:val="24"/>
                <w:szCs w:val="24"/>
              </w:rPr>
              <w:t>月</w:t>
            </w:r>
            <w:r>
              <w:rPr>
                <w:color w:val="000000"/>
                <w:sz w:val="24"/>
                <w:szCs w:val="24"/>
              </w:rPr>
              <w:t>24</w:t>
            </w:r>
            <w:r>
              <w:rPr>
                <w:color w:val="000000"/>
                <w:sz w:val="24"/>
                <w:szCs w:val="24"/>
              </w:rPr>
              <w:t>日至</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日担任交银施罗德瑞利定期开放灵活配置混合型</w:t>
            </w:r>
            <w:r>
              <w:rPr>
                <w:color w:val="000000"/>
                <w:sz w:val="24"/>
                <w:szCs w:val="24"/>
              </w:rPr>
              <w:lastRenderedPageBreak/>
              <w:t>证券投资基金的基金经理。</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31</w:t>
            </w:r>
            <w:r>
              <w:rPr>
                <w:color w:val="000000"/>
                <w:sz w:val="24"/>
                <w:szCs w:val="24"/>
              </w:rPr>
              <w:t>日至</w:t>
            </w:r>
            <w:r>
              <w:rPr>
                <w:color w:val="000000"/>
                <w:sz w:val="24"/>
                <w:szCs w:val="24"/>
              </w:rPr>
              <w:t>2018</w:t>
            </w:r>
            <w:r>
              <w:rPr>
                <w:color w:val="000000"/>
                <w:sz w:val="24"/>
                <w:szCs w:val="24"/>
              </w:rPr>
              <w:t>年</w:t>
            </w:r>
            <w:r>
              <w:rPr>
                <w:color w:val="000000"/>
                <w:sz w:val="24"/>
                <w:szCs w:val="24"/>
              </w:rPr>
              <w:t>8</w:t>
            </w:r>
            <w:r>
              <w:rPr>
                <w:color w:val="000000"/>
                <w:sz w:val="24"/>
                <w:szCs w:val="24"/>
              </w:rPr>
              <w:t>月</w:t>
            </w:r>
            <w:r>
              <w:rPr>
                <w:color w:val="000000"/>
                <w:sz w:val="24"/>
                <w:szCs w:val="24"/>
              </w:rPr>
              <w:t>23</w:t>
            </w:r>
            <w:r>
              <w:rPr>
                <w:color w:val="000000"/>
                <w:sz w:val="24"/>
                <w:szCs w:val="24"/>
              </w:rPr>
              <w:t>日担任交银施罗德启通灵活配置混合型证券投资基金的基金经理。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F94A37" w:rsidRDefault="00D4687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F94A37" w:rsidRDefault="00D4687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F94A37" w:rsidRDefault="00D4687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F94A37" w:rsidRDefault="00D46875">
      <w:pPr>
        <w:spacing w:before="29" w:line="288" w:lineRule="auto"/>
        <w:ind w:firstLineChars="200" w:firstLine="480"/>
        <w:rPr>
          <w:color w:val="000000"/>
          <w:sz w:val="24"/>
          <w:szCs w:val="24"/>
        </w:rPr>
      </w:pPr>
      <w:r>
        <w:rPr>
          <w:color w:val="000000"/>
          <w:sz w:val="24"/>
          <w:szCs w:val="24"/>
        </w:rPr>
        <w:t>本报告期内，国内经济增速呈现稳中放缓态势，通胀预期有所上行，从而压制了固</w:t>
      </w:r>
      <w:r>
        <w:rPr>
          <w:color w:val="000000"/>
          <w:sz w:val="24"/>
          <w:szCs w:val="24"/>
        </w:rPr>
        <w:lastRenderedPageBreak/>
        <w:t>定收益类资产的进一步表现</w:t>
      </w:r>
      <w:r w:rsidR="00CD779D">
        <w:rPr>
          <w:rFonts w:hint="eastAsia"/>
          <w:color w:val="000000"/>
          <w:sz w:val="24"/>
          <w:szCs w:val="24"/>
        </w:rPr>
        <w:t>。</w:t>
      </w:r>
      <w:r>
        <w:rPr>
          <w:color w:val="000000"/>
          <w:sz w:val="24"/>
          <w:szCs w:val="24"/>
        </w:rPr>
        <w:t>同时，中美贸易摩擦影响进一步深化，全球风险偏好回落，权益类资产继续回调。国内制造业增速稳中放缓，房地产投资在政策悲观的预期氛围内继续保持增长韧性，但基建投资增速下滑，整体固定资产投资呈现下行。通胀方面，受天气灾害和猪瘟疫情等影响，食品价格攀升，</w:t>
      </w:r>
      <w:r>
        <w:rPr>
          <w:color w:val="000000"/>
          <w:sz w:val="24"/>
          <w:szCs w:val="24"/>
        </w:rPr>
        <w:t>CPI</w:t>
      </w:r>
      <w:r>
        <w:rPr>
          <w:color w:val="000000"/>
          <w:sz w:val="24"/>
          <w:szCs w:val="24"/>
        </w:rPr>
        <w:t>也再次回到</w:t>
      </w:r>
      <w:r>
        <w:rPr>
          <w:color w:val="000000"/>
          <w:sz w:val="24"/>
          <w:szCs w:val="24"/>
        </w:rPr>
        <w:t>2%</w:t>
      </w:r>
      <w:r>
        <w:rPr>
          <w:color w:val="000000"/>
          <w:sz w:val="24"/>
          <w:szCs w:val="24"/>
        </w:rPr>
        <w:t>以上</w:t>
      </w:r>
      <w:r>
        <w:rPr>
          <w:color w:val="000000"/>
          <w:sz w:val="24"/>
          <w:szCs w:val="24"/>
        </w:rPr>
        <w:t>,</w:t>
      </w:r>
      <w:r>
        <w:rPr>
          <w:color w:val="000000"/>
          <w:sz w:val="24"/>
          <w:szCs w:val="24"/>
        </w:rPr>
        <w:t>同时国际原油价格突破新高，叠加人民币贬值预期，输入性通胀预期不断增强，市场陷入</w:t>
      </w:r>
      <w:r>
        <w:rPr>
          <w:color w:val="000000"/>
          <w:sz w:val="24"/>
          <w:szCs w:val="24"/>
        </w:rPr>
        <w:t>“</w:t>
      </w:r>
      <w:r>
        <w:rPr>
          <w:color w:val="000000"/>
          <w:sz w:val="24"/>
          <w:szCs w:val="24"/>
        </w:rPr>
        <w:t>滞涨</w:t>
      </w:r>
      <w:r>
        <w:rPr>
          <w:color w:val="000000"/>
          <w:sz w:val="24"/>
          <w:szCs w:val="24"/>
        </w:rPr>
        <w:t>”</w:t>
      </w:r>
      <w:r>
        <w:rPr>
          <w:color w:val="000000"/>
          <w:sz w:val="24"/>
          <w:szCs w:val="24"/>
        </w:rPr>
        <w:t>的担忧之中。货币政策方面，央行在美联储加息和贸易摩擦的背景下坚持稳健中性的货币政策，同期债券收益率先下后上，呈现宽幅震荡，其中经济增长预期放缓、通胀预期抬升、中美贸易摩擦导致的风险偏好变化、宽信用政策传导效果等因素成为债券市场收益率变动的主要原因。报告期内，上证综指和创业板指分别下行</w:t>
      </w:r>
      <w:r>
        <w:rPr>
          <w:color w:val="000000"/>
          <w:sz w:val="24"/>
          <w:szCs w:val="24"/>
        </w:rPr>
        <w:t>0.92%</w:t>
      </w:r>
      <w:r>
        <w:rPr>
          <w:color w:val="000000"/>
          <w:sz w:val="24"/>
          <w:szCs w:val="24"/>
        </w:rPr>
        <w:t>和</w:t>
      </w:r>
      <w:r>
        <w:rPr>
          <w:color w:val="000000"/>
          <w:sz w:val="24"/>
          <w:szCs w:val="24"/>
        </w:rPr>
        <w:t>12.16%</w:t>
      </w:r>
      <w:r>
        <w:rPr>
          <w:color w:val="000000"/>
          <w:sz w:val="24"/>
          <w:szCs w:val="24"/>
        </w:rPr>
        <w:t>，</w:t>
      </w:r>
      <w:r>
        <w:rPr>
          <w:color w:val="000000"/>
          <w:sz w:val="24"/>
          <w:szCs w:val="24"/>
        </w:rPr>
        <w:t>10</w:t>
      </w:r>
      <w:r>
        <w:rPr>
          <w:color w:val="000000"/>
          <w:sz w:val="24"/>
          <w:szCs w:val="24"/>
        </w:rPr>
        <w:t>年期国债收益率上行</w:t>
      </w:r>
      <w:r>
        <w:rPr>
          <w:color w:val="000000"/>
          <w:sz w:val="24"/>
          <w:szCs w:val="24"/>
        </w:rPr>
        <w:t>13BP</w:t>
      </w:r>
      <w:r>
        <w:rPr>
          <w:color w:val="000000"/>
          <w:sz w:val="24"/>
          <w:szCs w:val="24"/>
        </w:rPr>
        <w:t>至</w:t>
      </w:r>
      <w:r>
        <w:rPr>
          <w:color w:val="000000"/>
          <w:sz w:val="24"/>
          <w:szCs w:val="24"/>
        </w:rPr>
        <w:t>3.61%</w:t>
      </w:r>
      <w:r>
        <w:rPr>
          <w:color w:val="000000"/>
          <w:sz w:val="24"/>
          <w:szCs w:val="24"/>
        </w:rPr>
        <w:t>，</w:t>
      </w:r>
      <w:r>
        <w:rPr>
          <w:color w:val="000000"/>
          <w:sz w:val="24"/>
          <w:szCs w:val="24"/>
        </w:rPr>
        <w:t>10</w:t>
      </w:r>
      <w:r>
        <w:rPr>
          <w:color w:val="000000"/>
          <w:sz w:val="24"/>
          <w:szCs w:val="24"/>
        </w:rPr>
        <w:t>年期国开债收益率小幅下行</w:t>
      </w:r>
      <w:r>
        <w:rPr>
          <w:color w:val="000000"/>
          <w:sz w:val="24"/>
          <w:szCs w:val="24"/>
        </w:rPr>
        <w:t>5BP</w:t>
      </w:r>
      <w:r>
        <w:rPr>
          <w:color w:val="000000"/>
          <w:sz w:val="24"/>
          <w:szCs w:val="24"/>
        </w:rPr>
        <w:t>至</w:t>
      </w:r>
      <w:r>
        <w:rPr>
          <w:color w:val="000000"/>
          <w:sz w:val="24"/>
          <w:szCs w:val="24"/>
        </w:rPr>
        <w:t>4.20%</w:t>
      </w:r>
      <w:r>
        <w:rPr>
          <w:color w:val="000000"/>
          <w:sz w:val="24"/>
          <w:szCs w:val="24"/>
        </w:rPr>
        <w:t>。</w:t>
      </w:r>
    </w:p>
    <w:p w:rsidR="00F94A37" w:rsidRDefault="00D46875">
      <w:pPr>
        <w:spacing w:before="29" w:line="288" w:lineRule="auto"/>
        <w:ind w:firstLineChars="200" w:firstLine="480"/>
        <w:rPr>
          <w:color w:val="000000"/>
          <w:sz w:val="24"/>
          <w:szCs w:val="24"/>
        </w:rPr>
      </w:pPr>
      <w:r>
        <w:rPr>
          <w:color w:val="000000"/>
          <w:sz w:val="24"/>
          <w:szCs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2018</w:t>
      </w:r>
      <w:r w:rsidRPr="00414345">
        <w:rPr>
          <w:color w:val="000000"/>
          <w:sz w:val="24"/>
          <w:szCs w:val="24"/>
        </w:rPr>
        <w:t>年四季度，</w:t>
      </w:r>
      <w:r w:rsidRPr="00414345">
        <w:rPr>
          <w:color w:val="000000"/>
          <w:sz w:val="24"/>
          <w:szCs w:val="24"/>
        </w:rPr>
        <w:t>“</w:t>
      </w:r>
      <w:r w:rsidRPr="00414345">
        <w:rPr>
          <w:color w:val="000000"/>
          <w:sz w:val="24"/>
          <w:szCs w:val="24"/>
        </w:rPr>
        <w:t>滞涨</w:t>
      </w:r>
      <w:r w:rsidRPr="00414345">
        <w:rPr>
          <w:color w:val="000000"/>
          <w:sz w:val="24"/>
          <w:szCs w:val="24"/>
        </w:rPr>
        <w:t>”</w:t>
      </w:r>
      <w:r w:rsidRPr="00414345">
        <w:rPr>
          <w:color w:val="000000"/>
          <w:sz w:val="24"/>
          <w:szCs w:val="24"/>
        </w:rPr>
        <w:t>格局在三季度末的显现需要保持观察，在货币政策结构性宽松的变化下，长端债券虽然获得了基本面和政策面的支持，但行情的纵深仍需继续重点观察宽信用政策进一步发力的路径、中美基本面背离下的政策相机抉择、国际油价等因素对于通胀预期的进一步影响。此外，我们还将密切关注低评级信用债违约风险的演化及相对应信用利差的变化。股票方面，力争继续保持稳健、审慎投资，积极关注一级市场动态。债券方面，在保持组合流动性的前提下关注交易窗口，把握适度久期，同时特别关注信用风险。</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CD779D">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60,260,077.20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16.64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60,260,077.20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16.64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295,009,474.00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81.48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295,009,474.00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81.48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141E7E">
            <w:pPr>
              <w:spacing w:before="29" w:line="360" w:lineRule="auto"/>
              <w:rPr>
                <w:rFonts w:eastAsiaTheme="minorEastAsia"/>
                <w:color w:val="000000" w:themeColor="text1"/>
                <w:sz w:val="24"/>
                <w:szCs w:val="24"/>
              </w:rPr>
            </w:pPr>
            <w:bookmarkStart w:id="0" w:name="_GoBack"/>
            <w:bookmarkEnd w:id="0"/>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1,275,074.32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0.35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5,499,287.35</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1.52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362,043,912.87</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31,973,077.20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1,703,000.00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2,460,000.00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24,124,000.00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60,260,077.20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17.69</w:t>
            </w:r>
          </w:p>
        </w:tc>
      </w:tr>
    </w:tbl>
    <w:p w:rsidR="00CD779D" w:rsidRDefault="00CD779D"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F94A37">
        <w:trPr>
          <w:jc w:val="center"/>
        </w:trPr>
        <w:tc>
          <w:tcPr>
            <w:tcW w:w="855" w:type="dxa"/>
            <w:vAlign w:val="center"/>
          </w:tcPr>
          <w:p w:rsidR="00F94A37" w:rsidRDefault="00D46875">
            <w:pPr>
              <w:jc w:val="center"/>
            </w:pPr>
            <w:r>
              <w:rPr>
                <w:color w:val="000000"/>
                <w:sz w:val="24"/>
                <w:szCs w:val="24"/>
              </w:rPr>
              <w:t>1</w:t>
            </w:r>
          </w:p>
        </w:tc>
        <w:tc>
          <w:tcPr>
            <w:tcW w:w="1334" w:type="dxa"/>
            <w:vAlign w:val="center"/>
          </w:tcPr>
          <w:p w:rsidR="00F94A37" w:rsidRDefault="00D46875">
            <w:pPr>
              <w:jc w:val="center"/>
            </w:pPr>
            <w:r>
              <w:rPr>
                <w:color w:val="000000"/>
                <w:sz w:val="24"/>
                <w:szCs w:val="24"/>
              </w:rPr>
              <w:t>600519</w:t>
            </w:r>
          </w:p>
        </w:tc>
        <w:tc>
          <w:tcPr>
            <w:tcW w:w="1777" w:type="dxa"/>
            <w:vAlign w:val="center"/>
          </w:tcPr>
          <w:p w:rsidR="00F94A37" w:rsidRDefault="00D46875">
            <w:pPr>
              <w:jc w:val="center"/>
            </w:pPr>
            <w:r>
              <w:rPr>
                <w:color w:val="000000"/>
                <w:sz w:val="24"/>
                <w:szCs w:val="24"/>
              </w:rPr>
              <w:t>贵州茅台</w:t>
            </w:r>
          </w:p>
        </w:tc>
        <w:tc>
          <w:tcPr>
            <w:tcW w:w="1334" w:type="dxa"/>
            <w:vAlign w:val="center"/>
          </w:tcPr>
          <w:p w:rsidR="00F94A37" w:rsidRDefault="00D46875">
            <w:pPr>
              <w:jc w:val="right"/>
            </w:pPr>
            <w:r>
              <w:rPr>
                <w:color w:val="000000"/>
                <w:sz w:val="24"/>
                <w:szCs w:val="24"/>
              </w:rPr>
              <w:t>13,000</w:t>
            </w:r>
          </w:p>
        </w:tc>
        <w:tc>
          <w:tcPr>
            <w:tcW w:w="1924" w:type="dxa"/>
            <w:vAlign w:val="center"/>
          </w:tcPr>
          <w:p w:rsidR="00F94A37" w:rsidRDefault="00D46875">
            <w:pPr>
              <w:jc w:val="right"/>
            </w:pPr>
            <w:r>
              <w:rPr>
                <w:color w:val="000000"/>
                <w:sz w:val="24"/>
                <w:szCs w:val="24"/>
              </w:rPr>
              <w:t>9,490,000.00</w:t>
            </w:r>
          </w:p>
        </w:tc>
        <w:tc>
          <w:tcPr>
            <w:tcW w:w="1644" w:type="dxa"/>
            <w:vAlign w:val="center"/>
          </w:tcPr>
          <w:p w:rsidR="00F94A37" w:rsidRDefault="00D46875">
            <w:pPr>
              <w:jc w:val="right"/>
            </w:pPr>
            <w:r>
              <w:rPr>
                <w:color w:val="000000"/>
                <w:sz w:val="24"/>
                <w:szCs w:val="24"/>
              </w:rPr>
              <w:t>2.79</w:t>
            </w:r>
          </w:p>
        </w:tc>
      </w:tr>
      <w:tr w:rsidR="00F94A37">
        <w:trPr>
          <w:jc w:val="center"/>
        </w:trPr>
        <w:tc>
          <w:tcPr>
            <w:tcW w:w="855" w:type="dxa"/>
            <w:vAlign w:val="center"/>
          </w:tcPr>
          <w:p w:rsidR="00F94A37" w:rsidRDefault="00D46875">
            <w:pPr>
              <w:jc w:val="center"/>
            </w:pPr>
            <w:r>
              <w:rPr>
                <w:color w:val="000000"/>
                <w:sz w:val="24"/>
                <w:szCs w:val="24"/>
              </w:rPr>
              <w:t>2</w:t>
            </w:r>
          </w:p>
        </w:tc>
        <w:tc>
          <w:tcPr>
            <w:tcW w:w="1334" w:type="dxa"/>
            <w:vAlign w:val="center"/>
          </w:tcPr>
          <w:p w:rsidR="00F94A37" w:rsidRDefault="00D46875">
            <w:pPr>
              <w:jc w:val="center"/>
            </w:pPr>
            <w:r>
              <w:rPr>
                <w:color w:val="000000"/>
                <w:sz w:val="24"/>
                <w:szCs w:val="24"/>
              </w:rPr>
              <w:t>601939</w:t>
            </w:r>
          </w:p>
        </w:tc>
        <w:tc>
          <w:tcPr>
            <w:tcW w:w="1777" w:type="dxa"/>
            <w:vAlign w:val="center"/>
          </w:tcPr>
          <w:p w:rsidR="00F94A37" w:rsidRDefault="00D46875">
            <w:pPr>
              <w:jc w:val="center"/>
            </w:pPr>
            <w:r>
              <w:rPr>
                <w:color w:val="000000"/>
                <w:sz w:val="24"/>
                <w:szCs w:val="24"/>
              </w:rPr>
              <w:t>建设银行</w:t>
            </w:r>
          </w:p>
        </w:tc>
        <w:tc>
          <w:tcPr>
            <w:tcW w:w="1334" w:type="dxa"/>
            <w:vAlign w:val="center"/>
          </w:tcPr>
          <w:p w:rsidR="00F94A37" w:rsidRDefault="00D46875">
            <w:pPr>
              <w:jc w:val="right"/>
            </w:pPr>
            <w:r>
              <w:rPr>
                <w:color w:val="000000"/>
                <w:sz w:val="24"/>
                <w:szCs w:val="24"/>
              </w:rPr>
              <w:t>1,300,000</w:t>
            </w:r>
          </w:p>
        </w:tc>
        <w:tc>
          <w:tcPr>
            <w:tcW w:w="1924" w:type="dxa"/>
            <w:vAlign w:val="center"/>
          </w:tcPr>
          <w:p w:rsidR="00F94A37" w:rsidRDefault="00D46875">
            <w:pPr>
              <w:jc w:val="right"/>
            </w:pPr>
            <w:r>
              <w:rPr>
                <w:color w:val="000000"/>
                <w:sz w:val="24"/>
                <w:szCs w:val="24"/>
              </w:rPr>
              <w:t>9,412,000.00</w:t>
            </w:r>
          </w:p>
        </w:tc>
        <w:tc>
          <w:tcPr>
            <w:tcW w:w="1644" w:type="dxa"/>
            <w:vAlign w:val="center"/>
          </w:tcPr>
          <w:p w:rsidR="00F94A37" w:rsidRDefault="00D46875">
            <w:pPr>
              <w:jc w:val="right"/>
            </w:pPr>
            <w:r>
              <w:rPr>
                <w:color w:val="000000"/>
                <w:sz w:val="24"/>
                <w:szCs w:val="24"/>
              </w:rPr>
              <w:t>2.76</w:t>
            </w:r>
          </w:p>
        </w:tc>
      </w:tr>
      <w:tr w:rsidR="00F94A37">
        <w:trPr>
          <w:jc w:val="center"/>
        </w:trPr>
        <w:tc>
          <w:tcPr>
            <w:tcW w:w="855" w:type="dxa"/>
            <w:vAlign w:val="center"/>
          </w:tcPr>
          <w:p w:rsidR="00F94A37" w:rsidRDefault="00D46875">
            <w:pPr>
              <w:jc w:val="center"/>
            </w:pPr>
            <w:r>
              <w:rPr>
                <w:color w:val="000000"/>
                <w:sz w:val="24"/>
                <w:szCs w:val="24"/>
              </w:rPr>
              <w:t>3</w:t>
            </w:r>
          </w:p>
        </w:tc>
        <w:tc>
          <w:tcPr>
            <w:tcW w:w="1334" w:type="dxa"/>
            <w:vAlign w:val="center"/>
          </w:tcPr>
          <w:p w:rsidR="00F94A37" w:rsidRDefault="00D46875">
            <w:pPr>
              <w:jc w:val="center"/>
            </w:pPr>
            <w:r>
              <w:rPr>
                <w:color w:val="000000"/>
                <w:sz w:val="24"/>
                <w:szCs w:val="24"/>
              </w:rPr>
              <w:t>601398</w:t>
            </w:r>
          </w:p>
        </w:tc>
        <w:tc>
          <w:tcPr>
            <w:tcW w:w="1777" w:type="dxa"/>
            <w:vAlign w:val="center"/>
          </w:tcPr>
          <w:p w:rsidR="00F94A37" w:rsidRDefault="00D46875">
            <w:pPr>
              <w:jc w:val="center"/>
            </w:pPr>
            <w:r>
              <w:rPr>
                <w:color w:val="000000"/>
                <w:sz w:val="24"/>
                <w:szCs w:val="24"/>
              </w:rPr>
              <w:t>工商银行</w:t>
            </w:r>
          </w:p>
        </w:tc>
        <w:tc>
          <w:tcPr>
            <w:tcW w:w="1334" w:type="dxa"/>
            <w:vAlign w:val="center"/>
          </w:tcPr>
          <w:p w:rsidR="00F94A37" w:rsidRDefault="00D46875">
            <w:pPr>
              <w:jc w:val="right"/>
            </w:pPr>
            <w:r>
              <w:rPr>
                <w:color w:val="000000"/>
                <w:sz w:val="24"/>
                <w:szCs w:val="24"/>
              </w:rPr>
              <w:t>1,600,000</w:t>
            </w:r>
          </w:p>
        </w:tc>
        <w:tc>
          <w:tcPr>
            <w:tcW w:w="1924" w:type="dxa"/>
            <w:vAlign w:val="center"/>
          </w:tcPr>
          <w:p w:rsidR="00F94A37" w:rsidRDefault="00D46875">
            <w:pPr>
              <w:jc w:val="right"/>
            </w:pPr>
            <w:r>
              <w:rPr>
                <w:color w:val="000000"/>
                <w:sz w:val="24"/>
                <w:szCs w:val="24"/>
              </w:rPr>
              <w:t>9,232,000.00</w:t>
            </w:r>
          </w:p>
        </w:tc>
        <w:tc>
          <w:tcPr>
            <w:tcW w:w="1644" w:type="dxa"/>
            <w:vAlign w:val="center"/>
          </w:tcPr>
          <w:p w:rsidR="00F94A37" w:rsidRDefault="00D46875">
            <w:pPr>
              <w:jc w:val="right"/>
            </w:pPr>
            <w:r>
              <w:rPr>
                <w:color w:val="000000"/>
                <w:sz w:val="24"/>
                <w:szCs w:val="24"/>
              </w:rPr>
              <w:t>2.71</w:t>
            </w:r>
          </w:p>
        </w:tc>
      </w:tr>
      <w:tr w:rsidR="00F94A37">
        <w:trPr>
          <w:jc w:val="center"/>
        </w:trPr>
        <w:tc>
          <w:tcPr>
            <w:tcW w:w="855" w:type="dxa"/>
            <w:vAlign w:val="center"/>
          </w:tcPr>
          <w:p w:rsidR="00F94A37" w:rsidRDefault="00D46875">
            <w:pPr>
              <w:jc w:val="center"/>
            </w:pPr>
            <w:r>
              <w:rPr>
                <w:color w:val="000000"/>
                <w:sz w:val="24"/>
                <w:szCs w:val="24"/>
              </w:rPr>
              <w:t>4</w:t>
            </w:r>
          </w:p>
        </w:tc>
        <w:tc>
          <w:tcPr>
            <w:tcW w:w="1334" w:type="dxa"/>
            <w:vAlign w:val="center"/>
          </w:tcPr>
          <w:p w:rsidR="00F94A37" w:rsidRDefault="00D46875">
            <w:pPr>
              <w:jc w:val="center"/>
            </w:pPr>
            <w:r>
              <w:rPr>
                <w:color w:val="000000"/>
                <w:sz w:val="24"/>
                <w:szCs w:val="24"/>
              </w:rPr>
              <w:t>600887</w:t>
            </w:r>
          </w:p>
        </w:tc>
        <w:tc>
          <w:tcPr>
            <w:tcW w:w="1777" w:type="dxa"/>
            <w:vAlign w:val="center"/>
          </w:tcPr>
          <w:p w:rsidR="00F94A37" w:rsidRDefault="00D46875">
            <w:pPr>
              <w:jc w:val="center"/>
            </w:pPr>
            <w:r>
              <w:rPr>
                <w:color w:val="000000"/>
                <w:sz w:val="24"/>
                <w:szCs w:val="24"/>
              </w:rPr>
              <w:t>伊利股份</w:t>
            </w:r>
          </w:p>
        </w:tc>
        <w:tc>
          <w:tcPr>
            <w:tcW w:w="1334" w:type="dxa"/>
            <w:vAlign w:val="center"/>
          </w:tcPr>
          <w:p w:rsidR="00F94A37" w:rsidRDefault="00D46875">
            <w:pPr>
              <w:jc w:val="right"/>
            </w:pPr>
            <w:r>
              <w:rPr>
                <w:color w:val="000000"/>
                <w:sz w:val="24"/>
                <w:szCs w:val="24"/>
              </w:rPr>
              <w:t>250,000</w:t>
            </w:r>
          </w:p>
        </w:tc>
        <w:tc>
          <w:tcPr>
            <w:tcW w:w="1924" w:type="dxa"/>
            <w:vAlign w:val="center"/>
          </w:tcPr>
          <w:p w:rsidR="00F94A37" w:rsidRDefault="00D46875">
            <w:pPr>
              <w:jc w:val="right"/>
            </w:pPr>
            <w:r>
              <w:rPr>
                <w:color w:val="000000"/>
                <w:sz w:val="24"/>
                <w:szCs w:val="24"/>
              </w:rPr>
              <w:t>6,420,000.00</w:t>
            </w:r>
          </w:p>
        </w:tc>
        <w:tc>
          <w:tcPr>
            <w:tcW w:w="1644" w:type="dxa"/>
            <w:vAlign w:val="center"/>
          </w:tcPr>
          <w:p w:rsidR="00F94A37" w:rsidRDefault="00D46875">
            <w:pPr>
              <w:jc w:val="right"/>
            </w:pPr>
            <w:r>
              <w:rPr>
                <w:color w:val="000000"/>
                <w:sz w:val="24"/>
                <w:szCs w:val="24"/>
              </w:rPr>
              <w:t>1.88</w:t>
            </w:r>
          </w:p>
        </w:tc>
      </w:tr>
      <w:tr w:rsidR="00F94A37">
        <w:trPr>
          <w:jc w:val="center"/>
        </w:trPr>
        <w:tc>
          <w:tcPr>
            <w:tcW w:w="855" w:type="dxa"/>
            <w:vAlign w:val="center"/>
          </w:tcPr>
          <w:p w:rsidR="00F94A37" w:rsidRDefault="00D46875">
            <w:pPr>
              <w:jc w:val="center"/>
            </w:pPr>
            <w:r>
              <w:rPr>
                <w:color w:val="000000"/>
                <w:sz w:val="24"/>
                <w:szCs w:val="24"/>
              </w:rPr>
              <w:t>5</w:t>
            </w:r>
          </w:p>
        </w:tc>
        <w:tc>
          <w:tcPr>
            <w:tcW w:w="1334" w:type="dxa"/>
            <w:vAlign w:val="center"/>
          </w:tcPr>
          <w:p w:rsidR="00F94A37" w:rsidRDefault="00D46875">
            <w:pPr>
              <w:jc w:val="center"/>
            </w:pPr>
            <w:r>
              <w:rPr>
                <w:color w:val="000000"/>
                <w:sz w:val="24"/>
                <w:szCs w:val="24"/>
              </w:rPr>
              <w:t>600276</w:t>
            </w:r>
          </w:p>
        </w:tc>
        <w:tc>
          <w:tcPr>
            <w:tcW w:w="1777" w:type="dxa"/>
            <w:vAlign w:val="center"/>
          </w:tcPr>
          <w:p w:rsidR="00F94A37" w:rsidRDefault="00D46875">
            <w:pPr>
              <w:jc w:val="center"/>
            </w:pPr>
            <w:r>
              <w:rPr>
                <w:color w:val="000000"/>
                <w:sz w:val="24"/>
                <w:szCs w:val="24"/>
              </w:rPr>
              <w:t>恒瑞医药</w:t>
            </w:r>
          </w:p>
        </w:tc>
        <w:tc>
          <w:tcPr>
            <w:tcW w:w="1334" w:type="dxa"/>
            <w:vAlign w:val="center"/>
          </w:tcPr>
          <w:p w:rsidR="00F94A37" w:rsidRDefault="00D46875">
            <w:pPr>
              <w:jc w:val="right"/>
            </w:pPr>
            <w:r>
              <w:rPr>
                <w:color w:val="000000"/>
                <w:sz w:val="24"/>
                <w:szCs w:val="24"/>
              </w:rPr>
              <w:t>91,000</w:t>
            </w:r>
          </w:p>
        </w:tc>
        <w:tc>
          <w:tcPr>
            <w:tcW w:w="1924" w:type="dxa"/>
            <w:vAlign w:val="center"/>
          </w:tcPr>
          <w:p w:rsidR="00F94A37" w:rsidRDefault="00D46875">
            <w:pPr>
              <w:jc w:val="right"/>
            </w:pPr>
            <w:r>
              <w:rPr>
                <w:color w:val="000000"/>
                <w:sz w:val="24"/>
                <w:szCs w:val="24"/>
              </w:rPr>
              <w:t>5,778,500.00</w:t>
            </w:r>
          </w:p>
        </w:tc>
        <w:tc>
          <w:tcPr>
            <w:tcW w:w="1644" w:type="dxa"/>
            <w:vAlign w:val="center"/>
          </w:tcPr>
          <w:p w:rsidR="00F94A37" w:rsidRDefault="00D46875">
            <w:pPr>
              <w:jc w:val="right"/>
            </w:pPr>
            <w:r>
              <w:rPr>
                <w:color w:val="000000"/>
                <w:sz w:val="24"/>
                <w:szCs w:val="24"/>
              </w:rPr>
              <w:t>1.70</w:t>
            </w:r>
          </w:p>
        </w:tc>
      </w:tr>
      <w:tr w:rsidR="00F94A37">
        <w:trPr>
          <w:jc w:val="center"/>
        </w:trPr>
        <w:tc>
          <w:tcPr>
            <w:tcW w:w="855" w:type="dxa"/>
            <w:vAlign w:val="center"/>
          </w:tcPr>
          <w:p w:rsidR="00F94A37" w:rsidRDefault="00D46875">
            <w:pPr>
              <w:jc w:val="center"/>
            </w:pPr>
            <w:r>
              <w:rPr>
                <w:color w:val="000000"/>
                <w:sz w:val="24"/>
                <w:szCs w:val="24"/>
              </w:rPr>
              <w:t>6</w:t>
            </w:r>
          </w:p>
        </w:tc>
        <w:tc>
          <w:tcPr>
            <w:tcW w:w="1334" w:type="dxa"/>
            <w:vAlign w:val="center"/>
          </w:tcPr>
          <w:p w:rsidR="00F94A37" w:rsidRDefault="00D46875">
            <w:pPr>
              <w:jc w:val="center"/>
            </w:pPr>
            <w:r>
              <w:rPr>
                <w:color w:val="000000"/>
                <w:sz w:val="24"/>
                <w:szCs w:val="24"/>
              </w:rPr>
              <w:t>601318</w:t>
            </w:r>
          </w:p>
        </w:tc>
        <w:tc>
          <w:tcPr>
            <w:tcW w:w="1777" w:type="dxa"/>
            <w:vAlign w:val="center"/>
          </w:tcPr>
          <w:p w:rsidR="00F94A37" w:rsidRDefault="00D46875">
            <w:pPr>
              <w:jc w:val="center"/>
            </w:pPr>
            <w:r>
              <w:rPr>
                <w:color w:val="000000"/>
                <w:sz w:val="24"/>
                <w:szCs w:val="24"/>
              </w:rPr>
              <w:t>中国平安</w:t>
            </w:r>
          </w:p>
        </w:tc>
        <w:tc>
          <w:tcPr>
            <w:tcW w:w="1334" w:type="dxa"/>
            <w:vAlign w:val="center"/>
          </w:tcPr>
          <w:p w:rsidR="00F94A37" w:rsidRDefault="00D46875">
            <w:pPr>
              <w:jc w:val="right"/>
            </w:pPr>
            <w:r>
              <w:rPr>
                <w:color w:val="000000"/>
                <w:sz w:val="24"/>
                <w:szCs w:val="24"/>
              </w:rPr>
              <w:t>80,000</w:t>
            </w:r>
          </w:p>
        </w:tc>
        <w:tc>
          <w:tcPr>
            <w:tcW w:w="1924" w:type="dxa"/>
            <w:vAlign w:val="center"/>
          </w:tcPr>
          <w:p w:rsidR="00F94A37" w:rsidRDefault="00D46875">
            <w:pPr>
              <w:jc w:val="right"/>
            </w:pPr>
            <w:r>
              <w:rPr>
                <w:color w:val="000000"/>
                <w:sz w:val="24"/>
                <w:szCs w:val="24"/>
              </w:rPr>
              <w:t>5,480,000.00</w:t>
            </w:r>
          </w:p>
        </w:tc>
        <w:tc>
          <w:tcPr>
            <w:tcW w:w="1644" w:type="dxa"/>
            <w:vAlign w:val="center"/>
          </w:tcPr>
          <w:p w:rsidR="00F94A37" w:rsidRDefault="00D46875">
            <w:pPr>
              <w:jc w:val="right"/>
            </w:pPr>
            <w:r>
              <w:rPr>
                <w:color w:val="000000"/>
                <w:sz w:val="24"/>
                <w:szCs w:val="24"/>
              </w:rPr>
              <w:t>1.61</w:t>
            </w:r>
          </w:p>
        </w:tc>
      </w:tr>
      <w:tr w:rsidR="00F94A37">
        <w:trPr>
          <w:jc w:val="center"/>
        </w:trPr>
        <w:tc>
          <w:tcPr>
            <w:tcW w:w="855" w:type="dxa"/>
            <w:vAlign w:val="center"/>
          </w:tcPr>
          <w:p w:rsidR="00F94A37" w:rsidRDefault="00D46875">
            <w:pPr>
              <w:jc w:val="center"/>
            </w:pPr>
            <w:r>
              <w:rPr>
                <w:color w:val="000000"/>
                <w:sz w:val="24"/>
                <w:szCs w:val="24"/>
              </w:rPr>
              <w:t>7</w:t>
            </w:r>
          </w:p>
        </w:tc>
        <w:tc>
          <w:tcPr>
            <w:tcW w:w="1334" w:type="dxa"/>
            <w:vAlign w:val="center"/>
          </w:tcPr>
          <w:p w:rsidR="00F94A37" w:rsidRDefault="00D46875">
            <w:pPr>
              <w:jc w:val="center"/>
            </w:pPr>
            <w:r>
              <w:rPr>
                <w:color w:val="000000"/>
                <w:sz w:val="24"/>
                <w:szCs w:val="24"/>
              </w:rPr>
              <w:t>600056</w:t>
            </w:r>
          </w:p>
        </w:tc>
        <w:tc>
          <w:tcPr>
            <w:tcW w:w="1777" w:type="dxa"/>
            <w:vAlign w:val="center"/>
          </w:tcPr>
          <w:p w:rsidR="00F94A37" w:rsidRDefault="00D46875">
            <w:pPr>
              <w:jc w:val="center"/>
            </w:pPr>
            <w:r>
              <w:rPr>
                <w:color w:val="000000"/>
                <w:sz w:val="24"/>
                <w:szCs w:val="24"/>
              </w:rPr>
              <w:t>中国医药</w:t>
            </w:r>
          </w:p>
        </w:tc>
        <w:tc>
          <w:tcPr>
            <w:tcW w:w="1334" w:type="dxa"/>
            <w:vAlign w:val="center"/>
          </w:tcPr>
          <w:p w:rsidR="00F94A37" w:rsidRDefault="00D46875">
            <w:pPr>
              <w:jc w:val="right"/>
            </w:pPr>
            <w:r>
              <w:rPr>
                <w:color w:val="000000"/>
                <w:sz w:val="24"/>
                <w:szCs w:val="24"/>
              </w:rPr>
              <w:t>250,000</w:t>
            </w:r>
          </w:p>
        </w:tc>
        <w:tc>
          <w:tcPr>
            <w:tcW w:w="1924" w:type="dxa"/>
            <w:vAlign w:val="center"/>
          </w:tcPr>
          <w:p w:rsidR="00F94A37" w:rsidRDefault="00D46875">
            <w:pPr>
              <w:jc w:val="right"/>
            </w:pPr>
            <w:r>
              <w:rPr>
                <w:color w:val="000000"/>
                <w:sz w:val="24"/>
                <w:szCs w:val="24"/>
              </w:rPr>
              <w:t>4,205,000.00</w:t>
            </w:r>
          </w:p>
        </w:tc>
        <w:tc>
          <w:tcPr>
            <w:tcW w:w="1644" w:type="dxa"/>
            <w:vAlign w:val="center"/>
          </w:tcPr>
          <w:p w:rsidR="00F94A37" w:rsidRDefault="00D46875">
            <w:pPr>
              <w:jc w:val="right"/>
            </w:pPr>
            <w:r>
              <w:rPr>
                <w:color w:val="000000"/>
                <w:sz w:val="24"/>
                <w:szCs w:val="24"/>
              </w:rPr>
              <w:t>1.23</w:t>
            </w:r>
          </w:p>
        </w:tc>
      </w:tr>
      <w:tr w:rsidR="00F94A37">
        <w:trPr>
          <w:jc w:val="center"/>
        </w:trPr>
        <w:tc>
          <w:tcPr>
            <w:tcW w:w="855" w:type="dxa"/>
            <w:vAlign w:val="center"/>
          </w:tcPr>
          <w:p w:rsidR="00F94A37" w:rsidRDefault="00D46875">
            <w:pPr>
              <w:jc w:val="center"/>
            </w:pPr>
            <w:r>
              <w:rPr>
                <w:color w:val="000000"/>
                <w:sz w:val="24"/>
                <w:szCs w:val="24"/>
              </w:rPr>
              <w:t>8</w:t>
            </w:r>
          </w:p>
        </w:tc>
        <w:tc>
          <w:tcPr>
            <w:tcW w:w="1334" w:type="dxa"/>
            <w:vAlign w:val="center"/>
          </w:tcPr>
          <w:p w:rsidR="00F94A37" w:rsidRDefault="00D46875">
            <w:pPr>
              <w:jc w:val="center"/>
            </w:pPr>
            <w:r>
              <w:rPr>
                <w:color w:val="000000"/>
                <w:sz w:val="24"/>
                <w:szCs w:val="24"/>
              </w:rPr>
              <w:t>601607</w:t>
            </w:r>
          </w:p>
        </w:tc>
        <w:tc>
          <w:tcPr>
            <w:tcW w:w="1777" w:type="dxa"/>
            <w:vAlign w:val="center"/>
          </w:tcPr>
          <w:p w:rsidR="00F94A37" w:rsidRDefault="00D46875">
            <w:pPr>
              <w:jc w:val="center"/>
            </w:pPr>
            <w:r>
              <w:rPr>
                <w:color w:val="000000"/>
                <w:sz w:val="24"/>
                <w:szCs w:val="24"/>
              </w:rPr>
              <w:t>上海医药</w:t>
            </w:r>
          </w:p>
        </w:tc>
        <w:tc>
          <w:tcPr>
            <w:tcW w:w="1334" w:type="dxa"/>
            <w:vAlign w:val="center"/>
          </w:tcPr>
          <w:p w:rsidR="00F94A37" w:rsidRDefault="00D46875">
            <w:pPr>
              <w:jc w:val="right"/>
            </w:pPr>
            <w:r>
              <w:rPr>
                <w:color w:val="000000"/>
                <w:sz w:val="24"/>
                <w:szCs w:val="24"/>
              </w:rPr>
              <w:t>120,000</w:t>
            </w:r>
          </w:p>
        </w:tc>
        <w:tc>
          <w:tcPr>
            <w:tcW w:w="1924" w:type="dxa"/>
            <w:vAlign w:val="center"/>
          </w:tcPr>
          <w:p w:rsidR="00F94A37" w:rsidRDefault="00D46875">
            <w:pPr>
              <w:jc w:val="right"/>
            </w:pPr>
            <w:r>
              <w:rPr>
                <w:color w:val="000000"/>
                <w:sz w:val="24"/>
                <w:szCs w:val="24"/>
              </w:rPr>
              <w:t>2,460,000.00</w:t>
            </w:r>
          </w:p>
        </w:tc>
        <w:tc>
          <w:tcPr>
            <w:tcW w:w="1644" w:type="dxa"/>
            <w:vAlign w:val="center"/>
          </w:tcPr>
          <w:p w:rsidR="00F94A37" w:rsidRDefault="00D46875">
            <w:pPr>
              <w:jc w:val="right"/>
            </w:pPr>
            <w:r>
              <w:rPr>
                <w:color w:val="000000"/>
                <w:sz w:val="24"/>
                <w:szCs w:val="24"/>
              </w:rPr>
              <w:t>0.72</w:t>
            </w:r>
          </w:p>
        </w:tc>
      </w:tr>
      <w:tr w:rsidR="00F94A37">
        <w:trPr>
          <w:jc w:val="center"/>
        </w:trPr>
        <w:tc>
          <w:tcPr>
            <w:tcW w:w="855" w:type="dxa"/>
            <w:vAlign w:val="center"/>
          </w:tcPr>
          <w:p w:rsidR="00F94A37" w:rsidRDefault="00D46875">
            <w:pPr>
              <w:jc w:val="center"/>
            </w:pPr>
            <w:r>
              <w:rPr>
                <w:color w:val="000000"/>
                <w:sz w:val="24"/>
                <w:szCs w:val="24"/>
              </w:rPr>
              <w:t>9</w:t>
            </w:r>
          </w:p>
        </w:tc>
        <w:tc>
          <w:tcPr>
            <w:tcW w:w="1334" w:type="dxa"/>
            <w:vAlign w:val="center"/>
          </w:tcPr>
          <w:p w:rsidR="00F94A37" w:rsidRDefault="00D46875">
            <w:pPr>
              <w:jc w:val="center"/>
            </w:pPr>
            <w:r>
              <w:rPr>
                <w:color w:val="000000"/>
                <w:sz w:val="24"/>
                <w:szCs w:val="24"/>
              </w:rPr>
              <w:t>600329</w:t>
            </w:r>
          </w:p>
        </w:tc>
        <w:tc>
          <w:tcPr>
            <w:tcW w:w="1777" w:type="dxa"/>
            <w:vAlign w:val="center"/>
          </w:tcPr>
          <w:p w:rsidR="00F94A37" w:rsidRDefault="00D46875">
            <w:pPr>
              <w:jc w:val="center"/>
            </w:pPr>
            <w:r>
              <w:rPr>
                <w:color w:val="000000"/>
                <w:sz w:val="24"/>
                <w:szCs w:val="24"/>
              </w:rPr>
              <w:t>中新药业</w:t>
            </w:r>
          </w:p>
        </w:tc>
        <w:tc>
          <w:tcPr>
            <w:tcW w:w="1334" w:type="dxa"/>
            <w:vAlign w:val="center"/>
          </w:tcPr>
          <w:p w:rsidR="00F94A37" w:rsidRDefault="00D46875">
            <w:pPr>
              <w:jc w:val="right"/>
            </w:pPr>
            <w:r>
              <w:rPr>
                <w:color w:val="000000"/>
                <w:sz w:val="24"/>
                <w:szCs w:val="24"/>
              </w:rPr>
              <w:t>142,500</w:t>
            </w:r>
          </w:p>
        </w:tc>
        <w:tc>
          <w:tcPr>
            <w:tcW w:w="1924" w:type="dxa"/>
            <w:vAlign w:val="center"/>
          </w:tcPr>
          <w:p w:rsidR="00F94A37" w:rsidRDefault="00D46875">
            <w:pPr>
              <w:jc w:val="right"/>
            </w:pPr>
            <w:r>
              <w:rPr>
                <w:color w:val="000000"/>
                <w:sz w:val="24"/>
                <w:szCs w:val="24"/>
              </w:rPr>
              <w:t>2,180,250.00</w:t>
            </w:r>
          </w:p>
        </w:tc>
        <w:tc>
          <w:tcPr>
            <w:tcW w:w="1644" w:type="dxa"/>
            <w:vAlign w:val="center"/>
          </w:tcPr>
          <w:p w:rsidR="00F94A37" w:rsidRDefault="00D46875">
            <w:pPr>
              <w:jc w:val="right"/>
            </w:pPr>
            <w:r>
              <w:rPr>
                <w:color w:val="000000"/>
                <w:sz w:val="24"/>
                <w:szCs w:val="24"/>
              </w:rPr>
              <w:t>0.64</w:t>
            </w:r>
          </w:p>
        </w:tc>
      </w:tr>
      <w:tr w:rsidR="00F94A37">
        <w:trPr>
          <w:jc w:val="center"/>
        </w:trPr>
        <w:tc>
          <w:tcPr>
            <w:tcW w:w="855" w:type="dxa"/>
            <w:vAlign w:val="center"/>
          </w:tcPr>
          <w:p w:rsidR="00F94A37" w:rsidRDefault="00D46875">
            <w:pPr>
              <w:jc w:val="center"/>
            </w:pPr>
            <w:r>
              <w:rPr>
                <w:color w:val="000000"/>
                <w:sz w:val="24"/>
                <w:szCs w:val="24"/>
              </w:rPr>
              <w:t>10</w:t>
            </w:r>
          </w:p>
        </w:tc>
        <w:tc>
          <w:tcPr>
            <w:tcW w:w="1334" w:type="dxa"/>
            <w:vAlign w:val="center"/>
          </w:tcPr>
          <w:p w:rsidR="00F94A37" w:rsidRDefault="00D46875">
            <w:pPr>
              <w:jc w:val="center"/>
            </w:pPr>
            <w:r>
              <w:rPr>
                <w:color w:val="000000"/>
                <w:sz w:val="24"/>
                <w:szCs w:val="24"/>
              </w:rPr>
              <w:t>601139</w:t>
            </w:r>
          </w:p>
        </w:tc>
        <w:tc>
          <w:tcPr>
            <w:tcW w:w="1777" w:type="dxa"/>
            <w:vAlign w:val="center"/>
          </w:tcPr>
          <w:p w:rsidR="00F94A37" w:rsidRDefault="00D46875">
            <w:pPr>
              <w:jc w:val="center"/>
            </w:pPr>
            <w:r>
              <w:rPr>
                <w:color w:val="000000"/>
                <w:sz w:val="24"/>
                <w:szCs w:val="24"/>
              </w:rPr>
              <w:t>深圳燃气</w:t>
            </w:r>
          </w:p>
        </w:tc>
        <w:tc>
          <w:tcPr>
            <w:tcW w:w="1334" w:type="dxa"/>
            <w:vAlign w:val="center"/>
          </w:tcPr>
          <w:p w:rsidR="00F94A37" w:rsidRDefault="00D46875">
            <w:pPr>
              <w:jc w:val="right"/>
            </w:pPr>
            <w:r>
              <w:rPr>
                <w:color w:val="000000"/>
                <w:sz w:val="24"/>
                <w:szCs w:val="24"/>
              </w:rPr>
              <w:t>260,000</w:t>
            </w:r>
          </w:p>
        </w:tc>
        <w:tc>
          <w:tcPr>
            <w:tcW w:w="1924" w:type="dxa"/>
            <w:vAlign w:val="center"/>
          </w:tcPr>
          <w:p w:rsidR="00F94A37" w:rsidRDefault="00D46875">
            <w:pPr>
              <w:jc w:val="right"/>
            </w:pPr>
            <w:r>
              <w:rPr>
                <w:color w:val="000000"/>
                <w:sz w:val="24"/>
                <w:szCs w:val="24"/>
              </w:rPr>
              <w:t>1,703,000.00</w:t>
            </w:r>
          </w:p>
        </w:tc>
        <w:tc>
          <w:tcPr>
            <w:tcW w:w="1644" w:type="dxa"/>
            <w:vAlign w:val="center"/>
          </w:tcPr>
          <w:p w:rsidR="00F94A37" w:rsidRDefault="00D46875">
            <w:pPr>
              <w:jc w:val="right"/>
            </w:pPr>
            <w:r>
              <w:rPr>
                <w:color w:val="000000"/>
                <w:sz w:val="24"/>
                <w:szCs w:val="24"/>
              </w:rPr>
              <w:t>0.50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80,689,974.00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23.69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80,689,974.00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23.69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94,557,500.00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27.76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100,426,000.00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29.49</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19,336,000.00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5.68</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295,009,474.00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86.61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F94A37">
        <w:trPr>
          <w:jc w:val="center"/>
        </w:trPr>
        <w:tc>
          <w:tcPr>
            <w:tcW w:w="850" w:type="dxa"/>
            <w:vAlign w:val="center"/>
          </w:tcPr>
          <w:p w:rsidR="00F94A37" w:rsidRDefault="00D46875">
            <w:pPr>
              <w:jc w:val="center"/>
            </w:pPr>
            <w:r>
              <w:rPr>
                <w:color w:val="000000"/>
                <w:sz w:val="24"/>
                <w:szCs w:val="24"/>
              </w:rPr>
              <w:t>1</w:t>
            </w:r>
          </w:p>
        </w:tc>
        <w:tc>
          <w:tcPr>
            <w:tcW w:w="1475" w:type="dxa"/>
            <w:vAlign w:val="center"/>
          </w:tcPr>
          <w:p w:rsidR="00F94A37" w:rsidRDefault="00D46875">
            <w:pPr>
              <w:jc w:val="center"/>
            </w:pPr>
            <w:r>
              <w:rPr>
                <w:color w:val="000000"/>
                <w:sz w:val="24"/>
                <w:szCs w:val="24"/>
              </w:rPr>
              <w:t>180205</w:t>
            </w:r>
          </w:p>
        </w:tc>
        <w:tc>
          <w:tcPr>
            <w:tcW w:w="1769" w:type="dxa"/>
            <w:vAlign w:val="center"/>
          </w:tcPr>
          <w:p w:rsidR="00F94A37" w:rsidRDefault="00D46875">
            <w:pPr>
              <w:jc w:val="center"/>
            </w:pPr>
            <w:r>
              <w:rPr>
                <w:color w:val="000000"/>
                <w:sz w:val="24"/>
                <w:szCs w:val="24"/>
              </w:rPr>
              <w:t>18</w:t>
            </w:r>
            <w:r>
              <w:rPr>
                <w:color w:val="000000"/>
                <w:sz w:val="24"/>
                <w:szCs w:val="24"/>
              </w:rPr>
              <w:t>国开</w:t>
            </w:r>
            <w:r>
              <w:rPr>
                <w:color w:val="000000"/>
                <w:sz w:val="24"/>
                <w:szCs w:val="24"/>
              </w:rPr>
              <w:t>05</w:t>
            </w:r>
          </w:p>
        </w:tc>
        <w:tc>
          <w:tcPr>
            <w:tcW w:w="1387" w:type="dxa"/>
            <w:vAlign w:val="center"/>
          </w:tcPr>
          <w:p w:rsidR="00F94A37" w:rsidRDefault="00D46875">
            <w:pPr>
              <w:jc w:val="right"/>
            </w:pPr>
            <w:r>
              <w:rPr>
                <w:color w:val="000000"/>
                <w:sz w:val="24"/>
                <w:szCs w:val="24"/>
              </w:rPr>
              <w:t>600,000</w:t>
            </w:r>
          </w:p>
        </w:tc>
        <w:tc>
          <w:tcPr>
            <w:tcW w:w="2150" w:type="dxa"/>
            <w:vAlign w:val="center"/>
          </w:tcPr>
          <w:p w:rsidR="00F94A37" w:rsidRDefault="00D46875">
            <w:pPr>
              <w:jc w:val="right"/>
            </w:pPr>
            <w:r>
              <w:rPr>
                <w:color w:val="000000"/>
                <w:sz w:val="24"/>
                <w:szCs w:val="24"/>
              </w:rPr>
              <w:t>62,754,000.00</w:t>
            </w:r>
          </w:p>
        </w:tc>
        <w:tc>
          <w:tcPr>
            <w:tcW w:w="1237" w:type="dxa"/>
            <w:vAlign w:val="center"/>
          </w:tcPr>
          <w:p w:rsidR="00F94A37" w:rsidRDefault="00D46875">
            <w:pPr>
              <w:jc w:val="right"/>
            </w:pPr>
            <w:r>
              <w:rPr>
                <w:color w:val="000000"/>
                <w:sz w:val="24"/>
                <w:szCs w:val="24"/>
              </w:rPr>
              <w:t>18.42</w:t>
            </w:r>
          </w:p>
        </w:tc>
      </w:tr>
      <w:tr w:rsidR="00F94A37">
        <w:trPr>
          <w:jc w:val="center"/>
        </w:trPr>
        <w:tc>
          <w:tcPr>
            <w:tcW w:w="850" w:type="dxa"/>
            <w:vAlign w:val="center"/>
          </w:tcPr>
          <w:p w:rsidR="00F94A37" w:rsidRDefault="00D46875">
            <w:pPr>
              <w:jc w:val="center"/>
            </w:pPr>
            <w:r>
              <w:rPr>
                <w:color w:val="000000"/>
                <w:sz w:val="24"/>
                <w:szCs w:val="24"/>
              </w:rPr>
              <w:t>2</w:t>
            </w:r>
          </w:p>
        </w:tc>
        <w:tc>
          <w:tcPr>
            <w:tcW w:w="1475" w:type="dxa"/>
            <w:vAlign w:val="center"/>
          </w:tcPr>
          <w:p w:rsidR="00F94A37" w:rsidRDefault="00D46875">
            <w:pPr>
              <w:jc w:val="center"/>
            </w:pPr>
            <w:r>
              <w:rPr>
                <w:color w:val="000000"/>
                <w:sz w:val="24"/>
                <w:szCs w:val="24"/>
              </w:rPr>
              <w:t>011801217</w:t>
            </w:r>
          </w:p>
        </w:tc>
        <w:tc>
          <w:tcPr>
            <w:tcW w:w="1769" w:type="dxa"/>
            <w:vAlign w:val="center"/>
          </w:tcPr>
          <w:p w:rsidR="00F94A37" w:rsidRDefault="00D46875">
            <w:pPr>
              <w:jc w:val="center"/>
            </w:pPr>
            <w:r>
              <w:rPr>
                <w:color w:val="000000"/>
                <w:sz w:val="24"/>
                <w:szCs w:val="24"/>
              </w:rPr>
              <w:t>18</w:t>
            </w:r>
            <w:r>
              <w:rPr>
                <w:color w:val="000000"/>
                <w:sz w:val="24"/>
                <w:szCs w:val="24"/>
              </w:rPr>
              <w:t>中原高速</w:t>
            </w:r>
            <w:r>
              <w:rPr>
                <w:color w:val="000000"/>
                <w:sz w:val="24"/>
                <w:szCs w:val="24"/>
              </w:rPr>
              <w:t>SCP003</w:t>
            </w:r>
          </w:p>
        </w:tc>
        <w:tc>
          <w:tcPr>
            <w:tcW w:w="1387" w:type="dxa"/>
            <w:vAlign w:val="center"/>
          </w:tcPr>
          <w:p w:rsidR="00F94A37" w:rsidRDefault="00D46875">
            <w:pPr>
              <w:jc w:val="right"/>
            </w:pPr>
            <w:r>
              <w:rPr>
                <w:color w:val="000000"/>
                <w:sz w:val="24"/>
                <w:szCs w:val="24"/>
              </w:rPr>
              <w:t>200,000</w:t>
            </w:r>
          </w:p>
        </w:tc>
        <w:tc>
          <w:tcPr>
            <w:tcW w:w="2150" w:type="dxa"/>
            <w:vAlign w:val="center"/>
          </w:tcPr>
          <w:p w:rsidR="00F94A37" w:rsidRDefault="00D46875">
            <w:pPr>
              <w:jc w:val="right"/>
            </w:pPr>
            <w:r>
              <w:rPr>
                <w:color w:val="000000"/>
                <w:sz w:val="24"/>
                <w:szCs w:val="24"/>
              </w:rPr>
              <w:t>20,138,000.00</w:t>
            </w:r>
          </w:p>
        </w:tc>
        <w:tc>
          <w:tcPr>
            <w:tcW w:w="1237" w:type="dxa"/>
            <w:vAlign w:val="center"/>
          </w:tcPr>
          <w:p w:rsidR="00F94A37" w:rsidRDefault="00D46875">
            <w:pPr>
              <w:jc w:val="right"/>
            </w:pPr>
            <w:r>
              <w:rPr>
                <w:color w:val="000000"/>
                <w:sz w:val="24"/>
                <w:szCs w:val="24"/>
              </w:rPr>
              <w:t>5.91</w:t>
            </w:r>
          </w:p>
        </w:tc>
      </w:tr>
      <w:tr w:rsidR="00F94A37">
        <w:trPr>
          <w:jc w:val="center"/>
        </w:trPr>
        <w:tc>
          <w:tcPr>
            <w:tcW w:w="850" w:type="dxa"/>
            <w:vAlign w:val="center"/>
          </w:tcPr>
          <w:p w:rsidR="00F94A37" w:rsidRDefault="00D46875">
            <w:pPr>
              <w:jc w:val="center"/>
            </w:pPr>
            <w:r>
              <w:rPr>
                <w:color w:val="000000"/>
                <w:sz w:val="24"/>
                <w:szCs w:val="24"/>
              </w:rPr>
              <w:t>3</w:t>
            </w:r>
          </w:p>
        </w:tc>
        <w:tc>
          <w:tcPr>
            <w:tcW w:w="1475" w:type="dxa"/>
            <w:vAlign w:val="center"/>
          </w:tcPr>
          <w:p w:rsidR="00F94A37" w:rsidRDefault="00D46875">
            <w:pPr>
              <w:jc w:val="center"/>
            </w:pPr>
            <w:r>
              <w:rPr>
                <w:color w:val="000000"/>
                <w:sz w:val="24"/>
                <w:szCs w:val="24"/>
              </w:rPr>
              <w:t>011801213</w:t>
            </w:r>
          </w:p>
        </w:tc>
        <w:tc>
          <w:tcPr>
            <w:tcW w:w="1769" w:type="dxa"/>
            <w:vAlign w:val="center"/>
          </w:tcPr>
          <w:p w:rsidR="00F94A37" w:rsidRDefault="00D46875">
            <w:pPr>
              <w:jc w:val="center"/>
            </w:pPr>
            <w:r>
              <w:rPr>
                <w:color w:val="000000"/>
                <w:sz w:val="24"/>
                <w:szCs w:val="24"/>
              </w:rPr>
              <w:t>18</w:t>
            </w:r>
            <w:r>
              <w:rPr>
                <w:color w:val="000000"/>
                <w:sz w:val="24"/>
                <w:szCs w:val="24"/>
              </w:rPr>
              <w:t>津渤海</w:t>
            </w:r>
            <w:r>
              <w:rPr>
                <w:color w:val="000000"/>
                <w:sz w:val="24"/>
                <w:szCs w:val="24"/>
              </w:rPr>
              <w:t>SCP004</w:t>
            </w:r>
          </w:p>
        </w:tc>
        <w:tc>
          <w:tcPr>
            <w:tcW w:w="1387" w:type="dxa"/>
            <w:vAlign w:val="center"/>
          </w:tcPr>
          <w:p w:rsidR="00F94A37" w:rsidRDefault="00D46875">
            <w:pPr>
              <w:jc w:val="right"/>
            </w:pPr>
            <w:r>
              <w:rPr>
                <w:color w:val="000000"/>
                <w:sz w:val="24"/>
                <w:szCs w:val="24"/>
              </w:rPr>
              <w:t>200,000</w:t>
            </w:r>
          </w:p>
        </w:tc>
        <w:tc>
          <w:tcPr>
            <w:tcW w:w="2150" w:type="dxa"/>
            <w:vAlign w:val="center"/>
          </w:tcPr>
          <w:p w:rsidR="00F94A37" w:rsidRDefault="00D46875">
            <w:pPr>
              <w:jc w:val="right"/>
            </w:pPr>
            <w:r>
              <w:rPr>
                <w:color w:val="000000"/>
                <w:sz w:val="24"/>
                <w:szCs w:val="24"/>
              </w:rPr>
              <w:t>20,100,000.00</w:t>
            </w:r>
          </w:p>
        </w:tc>
        <w:tc>
          <w:tcPr>
            <w:tcW w:w="1237" w:type="dxa"/>
            <w:vAlign w:val="center"/>
          </w:tcPr>
          <w:p w:rsidR="00F94A37" w:rsidRDefault="00D46875">
            <w:pPr>
              <w:jc w:val="right"/>
            </w:pPr>
            <w:r>
              <w:rPr>
                <w:color w:val="000000"/>
                <w:sz w:val="24"/>
                <w:szCs w:val="24"/>
              </w:rPr>
              <w:t>5.90</w:t>
            </w:r>
          </w:p>
        </w:tc>
      </w:tr>
      <w:tr w:rsidR="00F94A37">
        <w:trPr>
          <w:jc w:val="center"/>
        </w:trPr>
        <w:tc>
          <w:tcPr>
            <w:tcW w:w="850" w:type="dxa"/>
            <w:vAlign w:val="center"/>
          </w:tcPr>
          <w:p w:rsidR="00F94A37" w:rsidRDefault="00D46875">
            <w:pPr>
              <w:jc w:val="center"/>
            </w:pPr>
            <w:r>
              <w:rPr>
                <w:color w:val="000000"/>
                <w:sz w:val="24"/>
                <w:szCs w:val="24"/>
              </w:rPr>
              <w:t>4</w:t>
            </w:r>
          </w:p>
        </w:tc>
        <w:tc>
          <w:tcPr>
            <w:tcW w:w="1475" w:type="dxa"/>
            <w:vAlign w:val="center"/>
          </w:tcPr>
          <w:p w:rsidR="00F94A37" w:rsidRDefault="00D46875">
            <w:pPr>
              <w:jc w:val="center"/>
            </w:pPr>
            <w:r>
              <w:rPr>
                <w:color w:val="000000"/>
                <w:sz w:val="24"/>
                <w:szCs w:val="24"/>
              </w:rPr>
              <w:t>011801341</w:t>
            </w:r>
          </w:p>
        </w:tc>
        <w:tc>
          <w:tcPr>
            <w:tcW w:w="1769" w:type="dxa"/>
            <w:vAlign w:val="center"/>
          </w:tcPr>
          <w:p w:rsidR="00F94A37" w:rsidRDefault="00D46875">
            <w:pPr>
              <w:jc w:val="center"/>
            </w:pPr>
            <w:r>
              <w:rPr>
                <w:color w:val="000000"/>
                <w:sz w:val="24"/>
                <w:szCs w:val="24"/>
              </w:rPr>
              <w:t>18</w:t>
            </w:r>
            <w:r>
              <w:rPr>
                <w:color w:val="000000"/>
                <w:sz w:val="24"/>
                <w:szCs w:val="24"/>
              </w:rPr>
              <w:t>融和融资</w:t>
            </w:r>
            <w:r>
              <w:rPr>
                <w:color w:val="000000"/>
                <w:sz w:val="24"/>
                <w:szCs w:val="24"/>
              </w:rPr>
              <w:t>SCP006</w:t>
            </w:r>
          </w:p>
        </w:tc>
        <w:tc>
          <w:tcPr>
            <w:tcW w:w="1387" w:type="dxa"/>
            <w:vAlign w:val="center"/>
          </w:tcPr>
          <w:p w:rsidR="00F94A37" w:rsidRDefault="00D46875">
            <w:pPr>
              <w:jc w:val="right"/>
            </w:pPr>
            <w:r>
              <w:rPr>
                <w:color w:val="000000"/>
                <w:sz w:val="24"/>
                <w:szCs w:val="24"/>
              </w:rPr>
              <w:t>200,000</w:t>
            </w:r>
          </w:p>
        </w:tc>
        <w:tc>
          <w:tcPr>
            <w:tcW w:w="2150" w:type="dxa"/>
            <w:vAlign w:val="center"/>
          </w:tcPr>
          <w:p w:rsidR="00F94A37" w:rsidRDefault="00D46875">
            <w:pPr>
              <w:jc w:val="right"/>
            </w:pPr>
            <w:r>
              <w:rPr>
                <w:color w:val="000000"/>
                <w:sz w:val="24"/>
                <w:szCs w:val="24"/>
              </w:rPr>
              <w:t>20,080,000.00</w:t>
            </w:r>
          </w:p>
        </w:tc>
        <w:tc>
          <w:tcPr>
            <w:tcW w:w="1237" w:type="dxa"/>
            <w:vAlign w:val="center"/>
          </w:tcPr>
          <w:p w:rsidR="00F94A37" w:rsidRDefault="00D46875">
            <w:pPr>
              <w:jc w:val="right"/>
            </w:pPr>
            <w:r>
              <w:rPr>
                <w:color w:val="000000"/>
                <w:sz w:val="24"/>
                <w:szCs w:val="24"/>
              </w:rPr>
              <w:t>5.90</w:t>
            </w:r>
          </w:p>
        </w:tc>
      </w:tr>
      <w:tr w:rsidR="00F94A37">
        <w:trPr>
          <w:jc w:val="center"/>
        </w:trPr>
        <w:tc>
          <w:tcPr>
            <w:tcW w:w="850" w:type="dxa"/>
            <w:vAlign w:val="center"/>
          </w:tcPr>
          <w:p w:rsidR="00F94A37" w:rsidRDefault="00D46875">
            <w:pPr>
              <w:jc w:val="center"/>
            </w:pPr>
            <w:r>
              <w:rPr>
                <w:color w:val="000000"/>
                <w:sz w:val="24"/>
                <w:szCs w:val="24"/>
              </w:rPr>
              <w:t>5</w:t>
            </w:r>
          </w:p>
        </w:tc>
        <w:tc>
          <w:tcPr>
            <w:tcW w:w="1475" w:type="dxa"/>
            <w:vAlign w:val="center"/>
          </w:tcPr>
          <w:p w:rsidR="00F94A37" w:rsidRDefault="00D46875">
            <w:pPr>
              <w:jc w:val="center"/>
            </w:pPr>
            <w:r>
              <w:rPr>
                <w:color w:val="000000"/>
                <w:sz w:val="24"/>
                <w:szCs w:val="24"/>
              </w:rPr>
              <w:t>011801343</w:t>
            </w:r>
          </w:p>
        </w:tc>
        <w:tc>
          <w:tcPr>
            <w:tcW w:w="1769" w:type="dxa"/>
            <w:vAlign w:val="center"/>
          </w:tcPr>
          <w:p w:rsidR="00F94A37" w:rsidRDefault="00D46875">
            <w:pPr>
              <w:jc w:val="center"/>
            </w:pPr>
            <w:r>
              <w:rPr>
                <w:color w:val="000000"/>
                <w:sz w:val="24"/>
                <w:szCs w:val="24"/>
              </w:rPr>
              <w:t>18</w:t>
            </w:r>
            <w:r>
              <w:rPr>
                <w:color w:val="000000"/>
                <w:sz w:val="24"/>
                <w:szCs w:val="24"/>
              </w:rPr>
              <w:t>青岛国信</w:t>
            </w:r>
            <w:r>
              <w:rPr>
                <w:color w:val="000000"/>
                <w:sz w:val="24"/>
                <w:szCs w:val="24"/>
              </w:rPr>
              <w:t>SCP001</w:t>
            </w:r>
          </w:p>
        </w:tc>
        <w:tc>
          <w:tcPr>
            <w:tcW w:w="1387" w:type="dxa"/>
            <w:vAlign w:val="center"/>
          </w:tcPr>
          <w:p w:rsidR="00F94A37" w:rsidRDefault="00D46875">
            <w:pPr>
              <w:jc w:val="right"/>
            </w:pPr>
            <w:r>
              <w:rPr>
                <w:color w:val="000000"/>
                <w:sz w:val="24"/>
                <w:szCs w:val="24"/>
              </w:rPr>
              <w:t>200,000</w:t>
            </w:r>
          </w:p>
        </w:tc>
        <w:tc>
          <w:tcPr>
            <w:tcW w:w="2150" w:type="dxa"/>
            <w:vAlign w:val="center"/>
          </w:tcPr>
          <w:p w:rsidR="00F94A37" w:rsidRDefault="00D46875">
            <w:pPr>
              <w:jc w:val="right"/>
            </w:pPr>
            <w:r>
              <w:rPr>
                <w:color w:val="000000"/>
                <w:sz w:val="24"/>
                <w:szCs w:val="24"/>
              </w:rPr>
              <w:t>20,068,000.00</w:t>
            </w:r>
          </w:p>
        </w:tc>
        <w:tc>
          <w:tcPr>
            <w:tcW w:w="1237" w:type="dxa"/>
            <w:vAlign w:val="center"/>
          </w:tcPr>
          <w:p w:rsidR="00F94A37" w:rsidRDefault="00D46875">
            <w:pPr>
              <w:jc w:val="right"/>
            </w:pPr>
            <w:r>
              <w:rPr>
                <w:color w:val="000000"/>
                <w:sz w:val="24"/>
                <w:szCs w:val="24"/>
              </w:rPr>
              <w:t>5.89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4,337.16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5,494,950.19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5,499,287.35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Default="001F3E2A" w:rsidP="00C15CAC">
      <w:pPr>
        <w:spacing w:before="29" w:line="288" w:lineRule="auto"/>
        <w:ind w:firstLineChars="200" w:firstLine="480"/>
        <w:rPr>
          <w:color w:val="000000"/>
          <w:sz w:val="24"/>
          <w:szCs w:val="24"/>
        </w:rPr>
      </w:pPr>
    </w:p>
    <w:p w:rsidR="001F3E2A" w:rsidRPr="00575270" w:rsidRDefault="001F3E2A" w:rsidP="00CD779D">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lastRenderedPageBreak/>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CD779D">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CD779D">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CD779D">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300,031,535.71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181,770.16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9,046.77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300,204,259.10</w:t>
            </w:r>
          </w:p>
        </w:tc>
      </w:tr>
    </w:tbl>
    <w:p w:rsidR="00F94A37" w:rsidRDefault="00D4687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D779D">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CD779D">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CD779D">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lastRenderedPageBreak/>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F94A37">
        <w:tc>
          <w:tcPr>
            <w:tcW w:w="993" w:type="dxa"/>
            <w:vMerge w:val="restart"/>
          </w:tcPr>
          <w:p w:rsidR="00F94A37" w:rsidRDefault="00F94A37"/>
          <w:p w:rsidR="00F94A37" w:rsidRDefault="00D46875">
            <w:r>
              <w:rPr>
                <w:rFonts w:ascii="宋体" w:hAnsi="宋体" w:hint="eastAsia"/>
                <w:bCs/>
                <w:color w:val="000000"/>
                <w:kern w:val="0"/>
              </w:rPr>
              <w:t>机构</w:t>
            </w:r>
          </w:p>
        </w:tc>
        <w:tc>
          <w:tcPr>
            <w:tcW w:w="992" w:type="dxa"/>
            <w:vAlign w:val="center"/>
          </w:tcPr>
          <w:p w:rsidR="00F94A37" w:rsidRDefault="00D46875">
            <w:pPr>
              <w:jc w:val="center"/>
            </w:pPr>
            <w:r>
              <w:rPr>
                <w:rFonts w:ascii="宋体" w:hAnsi="宋体"/>
                <w:color w:val="000000"/>
                <w:kern w:val="0"/>
              </w:rPr>
              <w:t>1</w:t>
            </w:r>
          </w:p>
        </w:tc>
        <w:tc>
          <w:tcPr>
            <w:tcW w:w="1843" w:type="dxa"/>
            <w:vAlign w:val="center"/>
          </w:tcPr>
          <w:p w:rsidR="00F94A37" w:rsidRDefault="00D46875">
            <w:pPr>
              <w:jc w:val="center"/>
            </w:pPr>
            <w:r>
              <w:rPr>
                <w:rFonts w:ascii="宋体" w:hAnsi="宋体"/>
                <w:color w:val="000000"/>
                <w:kern w:val="0"/>
              </w:rPr>
              <w:t>2018/7/1-2018/9/30</w:t>
            </w:r>
          </w:p>
        </w:tc>
        <w:tc>
          <w:tcPr>
            <w:tcW w:w="851" w:type="dxa"/>
            <w:vAlign w:val="center"/>
          </w:tcPr>
          <w:p w:rsidR="00F94A37" w:rsidRDefault="00D46875">
            <w:pPr>
              <w:jc w:val="center"/>
            </w:pPr>
            <w:r>
              <w:rPr>
                <w:rFonts w:ascii="宋体" w:hAnsi="宋体"/>
                <w:color w:val="000000"/>
                <w:kern w:val="0"/>
              </w:rPr>
              <w:t>299,999,000.00</w:t>
            </w:r>
          </w:p>
        </w:tc>
        <w:tc>
          <w:tcPr>
            <w:tcW w:w="850" w:type="dxa"/>
            <w:vAlign w:val="center"/>
          </w:tcPr>
          <w:p w:rsidR="00F94A37" w:rsidRDefault="00D46875">
            <w:pPr>
              <w:jc w:val="center"/>
            </w:pPr>
            <w:r>
              <w:rPr>
                <w:rFonts w:ascii="宋体" w:hAnsi="宋体"/>
                <w:color w:val="000000"/>
                <w:kern w:val="0"/>
              </w:rPr>
              <w:t>-</w:t>
            </w:r>
          </w:p>
        </w:tc>
        <w:tc>
          <w:tcPr>
            <w:tcW w:w="1134" w:type="dxa"/>
            <w:vAlign w:val="center"/>
          </w:tcPr>
          <w:p w:rsidR="00F94A37" w:rsidRDefault="00D46875">
            <w:pPr>
              <w:jc w:val="center"/>
            </w:pPr>
            <w:r>
              <w:rPr>
                <w:rFonts w:ascii="宋体" w:hAnsi="宋体"/>
                <w:color w:val="000000"/>
                <w:kern w:val="0"/>
              </w:rPr>
              <w:t>-</w:t>
            </w:r>
          </w:p>
        </w:tc>
        <w:tc>
          <w:tcPr>
            <w:tcW w:w="1419" w:type="dxa"/>
            <w:vAlign w:val="center"/>
          </w:tcPr>
          <w:p w:rsidR="00F94A37" w:rsidRDefault="00D46875">
            <w:pPr>
              <w:jc w:val="center"/>
            </w:pPr>
            <w:r>
              <w:rPr>
                <w:rFonts w:ascii="宋体" w:hAnsi="宋体"/>
                <w:color w:val="000000"/>
                <w:kern w:val="0"/>
              </w:rPr>
              <w:t>299,999,000.00</w:t>
            </w:r>
          </w:p>
        </w:tc>
        <w:tc>
          <w:tcPr>
            <w:tcW w:w="1130" w:type="dxa"/>
            <w:vAlign w:val="center"/>
          </w:tcPr>
          <w:p w:rsidR="00F94A37" w:rsidRDefault="00D46875">
            <w:pPr>
              <w:jc w:val="center"/>
            </w:pPr>
            <w:r>
              <w:rPr>
                <w:rFonts w:ascii="宋体" w:hAnsi="宋体"/>
                <w:color w:val="000000"/>
                <w:kern w:val="0"/>
              </w:rPr>
              <w:t>99.93%</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CD779D">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F94A37" w:rsidRDefault="00D4687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、中国证监会准予交银施罗德瑞鑫定期开放灵活配置混合型证券投资基金募集注册的文件；</w:t>
      </w:r>
      <w:r>
        <w:rPr>
          <w:color w:val="000000"/>
          <w:sz w:val="24"/>
          <w:szCs w:val="24"/>
        </w:rPr>
        <w:t xml:space="preserve"> </w:t>
      </w:r>
    </w:p>
    <w:p w:rsidR="00F94A37" w:rsidRDefault="00D4687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、《交银施罗德瑞鑫定期开放灵活配置混合型证券投资基金基金合同》；</w:t>
      </w:r>
      <w:r>
        <w:rPr>
          <w:color w:val="000000"/>
          <w:sz w:val="24"/>
          <w:szCs w:val="24"/>
        </w:rPr>
        <w:t xml:space="preserve"> </w:t>
      </w:r>
    </w:p>
    <w:p w:rsidR="00F94A37" w:rsidRDefault="00D4687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、《交银施罗德瑞鑫定期开放灵活配置混合型证券投资基金招募说明书》；</w:t>
      </w:r>
      <w:r>
        <w:rPr>
          <w:color w:val="000000"/>
          <w:sz w:val="24"/>
          <w:szCs w:val="24"/>
        </w:rPr>
        <w:t xml:space="preserve"> </w:t>
      </w:r>
    </w:p>
    <w:p w:rsidR="00F94A37" w:rsidRDefault="00D4687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、《交银施罗德瑞鑫定期开放灵活配置混合型证券投资基金托管协议》；</w:t>
      </w:r>
      <w:r>
        <w:rPr>
          <w:color w:val="000000"/>
          <w:sz w:val="24"/>
          <w:szCs w:val="24"/>
        </w:rPr>
        <w:t xml:space="preserve"> </w:t>
      </w:r>
    </w:p>
    <w:p w:rsidR="00F94A37" w:rsidRDefault="00D46875">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、关于申请募集注册交银施罗德瑞鑫定期开放灵活配置混合型证券投资基金的法律意见书；</w:t>
      </w:r>
      <w:r>
        <w:rPr>
          <w:color w:val="000000"/>
          <w:sz w:val="24"/>
          <w:szCs w:val="24"/>
        </w:rPr>
        <w:t xml:space="preserve"> </w:t>
      </w:r>
    </w:p>
    <w:p w:rsidR="00F94A37" w:rsidRDefault="00D46875">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F94A37" w:rsidRDefault="00D46875">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、报告期内交银施罗德瑞鑫定期开放灵活配置混合型证券投资基金在指定报刊上各项公告的原稿。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F94A37" w:rsidRDefault="00D4687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lastRenderedPageBreak/>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47F" w:rsidRDefault="008E747F" w:rsidP="00876D65">
      <w:r>
        <w:separator/>
      </w:r>
    </w:p>
  </w:endnote>
  <w:endnote w:type="continuationSeparator" w:id="0">
    <w:p w:rsidR="008E747F" w:rsidRDefault="008E747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41E7E">
      <w:rPr>
        <w:noProof/>
        <w:kern w:val="0"/>
        <w:szCs w:val="21"/>
      </w:rPr>
      <w:t>14</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141E7E">
      <w:rPr>
        <w:noProof/>
        <w:kern w:val="0"/>
        <w:szCs w:val="21"/>
      </w:rPr>
      <w:t>14</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47F" w:rsidRDefault="008E747F" w:rsidP="00876D65">
      <w:r>
        <w:separator/>
      </w:r>
    </w:p>
  </w:footnote>
  <w:footnote w:type="continuationSeparator" w:id="0">
    <w:p w:rsidR="008E747F" w:rsidRDefault="008E747F"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EF0" w:rsidRPr="00DC456F" w:rsidRDefault="00DC456F" w:rsidP="00090A26">
    <w:pPr>
      <w:pStyle w:val="a9"/>
      <w:pBdr>
        <w:bottom w:val="single" w:sz="6" w:space="0" w:color="auto"/>
      </w:pBdr>
      <w:jc w:val="right"/>
      <w:rPr>
        <w:sz w:val="24"/>
        <w:szCs w:val="24"/>
      </w:rPr>
    </w:pPr>
    <w:r w:rsidRPr="003E676C">
      <w:rPr>
        <w:sz w:val="24"/>
        <w:szCs w:val="24"/>
      </w:rPr>
      <w:t>交银施罗德瑞</w:t>
    </w:r>
    <w:proofErr w:type="gramStart"/>
    <w:r w:rsidRPr="003E676C">
      <w:rPr>
        <w:sz w:val="24"/>
        <w:szCs w:val="24"/>
      </w:rPr>
      <w:t>鑫</w:t>
    </w:r>
    <w:proofErr w:type="gramEnd"/>
    <w:r w:rsidRPr="003E676C">
      <w:rPr>
        <w:sz w:val="24"/>
        <w:szCs w:val="24"/>
      </w:rPr>
      <w:t>定期开放灵活配置混合型证券投资基金</w:t>
    </w:r>
    <w:r w:rsidRPr="003E676C">
      <w:rPr>
        <w:sz w:val="24"/>
        <w:szCs w:val="24"/>
      </w:rPr>
      <w:t>2018</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1E7E"/>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0636"/>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E747F"/>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4704"/>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2318"/>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D779D"/>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46875"/>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4A37"/>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044C4-B18B-4E11-B317-DB721B416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1817</TotalTime>
  <Pages>14</Pages>
  <Words>1162</Words>
  <Characters>6629</Characters>
  <Application>Microsoft Office Word</Application>
  <DocSecurity>0</DocSecurity>
  <Lines>55</Lines>
  <Paragraphs>15</Paragraphs>
  <ScaleCrop>false</ScaleCrop>
  <Company/>
  <LinksUpToDate>false</LinksUpToDate>
  <CharactersWithSpaces>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583</cp:revision>
  <dcterms:created xsi:type="dcterms:W3CDTF">2012-10-16T06:07:00Z</dcterms:created>
  <dcterms:modified xsi:type="dcterms:W3CDTF">2018-10-21T11:18:00Z</dcterms:modified>
</cp:coreProperties>
</file>