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交银施罗德瑞景定期</w:t>
      </w:r>
      <w:bookmarkStart w:id="0" w:name="_GoBack"/>
      <w:bookmarkEnd w:id="0"/>
      <w:r w:rsidRPr="0081286B">
        <w:rPr>
          <w:b/>
          <w:sz w:val="36"/>
          <w:szCs w:val="36"/>
        </w:rPr>
        <w:t>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2018</w:t>
      </w:r>
      <w:r w:rsidRPr="0081286B">
        <w:rPr>
          <w:b/>
          <w:sz w:val="36"/>
          <w:szCs w:val="36"/>
        </w:rPr>
        <w:t>年第</w:t>
      </w:r>
      <w:r w:rsidRPr="0081286B">
        <w:rPr>
          <w:b/>
          <w:sz w:val="36"/>
          <w:szCs w:val="36"/>
        </w:rPr>
        <w:t>3</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2018</w:t>
      </w:r>
      <w:r w:rsidRPr="0081286B">
        <w:rPr>
          <w:b/>
          <w:sz w:val="36"/>
          <w:szCs w:val="36"/>
        </w:rPr>
        <w:t>年</w:t>
      </w:r>
      <w:r w:rsidRPr="0081286B">
        <w:rPr>
          <w:b/>
          <w:sz w:val="36"/>
          <w:szCs w:val="36"/>
        </w:rPr>
        <w:t>9</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DC456F">
          <w:headerReference w:type="default" r:id="rId8"/>
          <w:footerReference w:type="default" r:id="rId9"/>
          <w:pgSz w:w="11926" w:h="15840"/>
          <w:pgMar w:top="1418" w:right="1440" w:bottom="851" w:left="1440" w:header="851" w:footer="992" w:gutter="0"/>
          <w:cols w:space="720"/>
          <w:noEndnote/>
          <w:titlePg/>
          <w:docGrid w:linePitch="286"/>
        </w:sectPr>
      </w:pPr>
      <w:r w:rsidRPr="0081286B">
        <w:rPr>
          <w:b/>
          <w:color w:val="000000"/>
          <w:sz w:val="24"/>
          <w:szCs w:val="24"/>
        </w:rPr>
        <w:t>报告送出日期：</w:t>
      </w:r>
      <w:r w:rsidR="00F16E3F" w:rsidRPr="0081286B">
        <w:rPr>
          <w:b/>
          <w:color w:val="000000"/>
          <w:sz w:val="24"/>
          <w:szCs w:val="24"/>
        </w:rPr>
        <w:t>二〇一八年十月二十六日</w:t>
      </w:r>
    </w:p>
    <w:p w:rsidR="004061AC" w:rsidRPr="00414345" w:rsidRDefault="004061AC" w:rsidP="0011537B">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C411E" w:rsidRDefault="00CD5106">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2018</w:t>
      </w:r>
      <w:r>
        <w:rPr>
          <w:color w:val="000000"/>
          <w:sz w:val="24"/>
          <w:szCs w:val="24"/>
        </w:rPr>
        <w:t>年</w:t>
      </w:r>
      <w:r>
        <w:rPr>
          <w:color w:val="000000"/>
          <w:sz w:val="24"/>
          <w:szCs w:val="24"/>
        </w:rPr>
        <w:t>10</w:t>
      </w:r>
      <w:r>
        <w:rPr>
          <w:color w:val="000000"/>
          <w:sz w:val="24"/>
          <w:szCs w:val="24"/>
        </w:rPr>
        <w:t>月</w:t>
      </w:r>
      <w:r>
        <w:rPr>
          <w:color w:val="000000"/>
          <w:sz w:val="24"/>
          <w:szCs w:val="24"/>
        </w:rPr>
        <w:t>25</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t>本报告中财务资料未经审计。</w:t>
      </w:r>
    </w:p>
    <w:p w:rsidR="004C411E" w:rsidRDefault="00CD5106">
      <w:pPr>
        <w:spacing w:before="29" w:line="288" w:lineRule="auto"/>
        <w:ind w:firstLineChars="200" w:firstLine="480"/>
        <w:rPr>
          <w:color w:val="000000"/>
          <w:sz w:val="24"/>
          <w:szCs w:val="24"/>
        </w:rPr>
      </w:pPr>
      <w:r>
        <w:rPr>
          <w:color w:val="000000"/>
          <w:sz w:val="24"/>
          <w:szCs w:val="24"/>
        </w:rPr>
        <w:t>本基金自</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12</w:t>
      </w:r>
      <w:r>
        <w:rPr>
          <w:color w:val="000000"/>
          <w:sz w:val="24"/>
          <w:szCs w:val="24"/>
        </w:rPr>
        <w:t>日起进入清算程序，财务报表数据披露截至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11</w:t>
      </w:r>
      <w:r>
        <w:rPr>
          <w:color w:val="000000"/>
          <w:sz w:val="24"/>
          <w:szCs w:val="24"/>
        </w:rPr>
        <w:t>日</w:t>
      </w:r>
      <w:r>
        <w:rPr>
          <w:color w:val="000000"/>
          <w:sz w:val="24"/>
          <w:szCs w:val="24"/>
        </w:rPr>
        <w:t>(</w:t>
      </w:r>
      <w:r>
        <w:rPr>
          <w:color w:val="000000"/>
          <w:sz w:val="24"/>
          <w:szCs w:val="24"/>
        </w:rPr>
        <w:t>基金最后运作日</w:t>
      </w:r>
      <w:r>
        <w:rPr>
          <w:color w:val="000000"/>
          <w:sz w:val="24"/>
          <w:szCs w:val="24"/>
        </w:rPr>
        <w:t>)</w:t>
      </w:r>
      <w:r>
        <w:rPr>
          <w:color w:val="000000"/>
          <w:sz w:val="24"/>
          <w:szCs w:val="24"/>
        </w:rPr>
        <w:t>，本报告中财务资料未经审计。</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7</w:t>
      </w:r>
      <w:r w:rsidRPr="00414345">
        <w:rPr>
          <w:color w:val="000000"/>
          <w:sz w:val="24"/>
          <w:szCs w:val="24"/>
        </w:rPr>
        <w:t>月</w:t>
      </w:r>
      <w:r w:rsidRPr="00414345">
        <w:rPr>
          <w:color w:val="000000"/>
          <w:sz w:val="24"/>
          <w:szCs w:val="24"/>
        </w:rPr>
        <w:t>11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交银瑞景定期开放灵活配置混合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003901</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003901</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2016</w:t>
            </w:r>
            <w:r w:rsidRPr="00414345">
              <w:rPr>
                <w:color w:val="000000"/>
                <w:kern w:val="0"/>
                <w:sz w:val="24"/>
                <w:szCs w:val="24"/>
              </w:rPr>
              <w:t>年</w:t>
            </w:r>
            <w:r w:rsidRPr="00414345">
              <w:rPr>
                <w:color w:val="000000"/>
                <w:kern w:val="0"/>
                <w:sz w:val="24"/>
                <w:szCs w:val="24"/>
              </w:rPr>
              <w:t>12</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5,044,016.12</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D5106" w:rsidRPr="00414345" w:rsidTr="00CD5106">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D5106">
            <w:pPr>
              <w:adjustRightInd w:val="0"/>
              <w:spacing w:before="29" w:line="288" w:lineRule="auto"/>
              <w:ind w:left="17"/>
              <w:jc w:val="center"/>
              <w:rPr>
                <w:color w:val="000000"/>
                <w:sz w:val="24"/>
                <w:szCs w:val="24"/>
              </w:rPr>
            </w:pP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-2018</w:t>
            </w:r>
            <w:r w:rsidRPr="00414345">
              <w:rPr>
                <w:color w:val="000000"/>
                <w:sz w:val="24"/>
                <w:szCs w:val="24"/>
              </w:rPr>
              <w:t>年</w:t>
            </w:r>
            <w:r w:rsidR="00CD5106">
              <w:rPr>
                <w:color w:val="000000"/>
                <w:sz w:val="24"/>
                <w:szCs w:val="24"/>
              </w:rPr>
              <w:t>7</w:t>
            </w:r>
            <w:r w:rsidRPr="00414345">
              <w:rPr>
                <w:color w:val="000000"/>
                <w:sz w:val="24"/>
                <w:szCs w:val="24"/>
              </w:rPr>
              <w:t>月</w:t>
            </w:r>
            <w:r w:rsidR="00CD5106">
              <w:rPr>
                <w:color w:val="000000"/>
                <w:sz w:val="24"/>
                <w:szCs w:val="24"/>
              </w:rPr>
              <w:t>11</w:t>
            </w:r>
            <w:r w:rsidRPr="00414345">
              <w:rPr>
                <w:color w:val="000000"/>
                <w:sz w:val="24"/>
                <w:szCs w:val="24"/>
              </w:rPr>
              <w:t>日</w:t>
            </w:r>
            <w:r w:rsidRPr="00414345">
              <w:rPr>
                <w:color w:val="000000"/>
                <w:sz w:val="24"/>
                <w:szCs w:val="24"/>
              </w:rPr>
              <w:t>)</w:t>
            </w:r>
          </w:p>
        </w:tc>
      </w:tr>
      <w:tr w:rsidR="00CD5106" w:rsidRPr="00414345" w:rsidTr="00CD510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7,634,167.50</w:t>
            </w:r>
          </w:p>
        </w:tc>
      </w:tr>
      <w:tr w:rsidR="00CD5106" w:rsidRPr="00414345" w:rsidTr="00CD510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-1,557,069.27</w:t>
            </w:r>
          </w:p>
        </w:tc>
      </w:tr>
      <w:tr w:rsidR="00CD5106" w:rsidRPr="00414345" w:rsidTr="00CD510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-0.0069</w:t>
            </w:r>
          </w:p>
        </w:tc>
      </w:tr>
      <w:tr w:rsidR="00CD5106" w:rsidRPr="00414345" w:rsidTr="00CD5106">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5,916,770.85</w:t>
            </w:r>
          </w:p>
        </w:tc>
      </w:tr>
      <w:tr w:rsidR="00CD5106" w:rsidRPr="00414345" w:rsidTr="00CD5106">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1.1730</w:t>
            </w:r>
          </w:p>
        </w:tc>
      </w:tr>
    </w:tbl>
    <w:p w:rsidR="004C411E" w:rsidRDefault="00CD510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753917">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C411E">
        <w:trPr>
          <w:jc w:val="center"/>
        </w:trPr>
        <w:tc>
          <w:tcPr>
            <w:tcW w:w="1701" w:type="dxa"/>
            <w:vAlign w:val="center"/>
          </w:tcPr>
          <w:p w:rsidR="004C411E" w:rsidRDefault="00CD5106">
            <w:pPr>
              <w:jc w:val="left"/>
            </w:pPr>
            <w:r>
              <w:rPr>
                <w:color w:val="000000"/>
                <w:sz w:val="24"/>
                <w:szCs w:val="24"/>
              </w:rPr>
              <w:t>过去三个月</w:t>
            </w:r>
          </w:p>
        </w:tc>
        <w:tc>
          <w:tcPr>
            <w:tcW w:w="1045" w:type="dxa"/>
            <w:vAlign w:val="center"/>
          </w:tcPr>
          <w:p w:rsidR="004C411E" w:rsidRDefault="00CD5106">
            <w:pPr>
              <w:jc w:val="center"/>
            </w:pPr>
            <w:r>
              <w:rPr>
                <w:color w:val="000000"/>
                <w:sz w:val="24"/>
                <w:szCs w:val="24"/>
              </w:rPr>
              <w:t>4.08%</w:t>
            </w:r>
          </w:p>
        </w:tc>
        <w:tc>
          <w:tcPr>
            <w:tcW w:w="1344" w:type="dxa"/>
            <w:vAlign w:val="center"/>
          </w:tcPr>
          <w:p w:rsidR="004C411E" w:rsidRDefault="00CD5106">
            <w:pPr>
              <w:jc w:val="center"/>
            </w:pPr>
            <w:r>
              <w:rPr>
                <w:color w:val="000000"/>
                <w:sz w:val="24"/>
                <w:szCs w:val="24"/>
              </w:rPr>
              <w:t>1.33%</w:t>
            </w:r>
          </w:p>
        </w:tc>
        <w:tc>
          <w:tcPr>
            <w:tcW w:w="1194" w:type="dxa"/>
            <w:vAlign w:val="center"/>
          </w:tcPr>
          <w:p w:rsidR="004C411E" w:rsidRDefault="00CD5106">
            <w:pPr>
              <w:jc w:val="center"/>
            </w:pPr>
            <w:r>
              <w:rPr>
                <w:color w:val="000000"/>
                <w:sz w:val="24"/>
                <w:szCs w:val="24"/>
              </w:rPr>
              <w:t>-1.33%</w:t>
            </w:r>
          </w:p>
        </w:tc>
        <w:tc>
          <w:tcPr>
            <w:tcW w:w="1492" w:type="dxa"/>
            <w:vAlign w:val="center"/>
          </w:tcPr>
          <w:p w:rsidR="004C411E" w:rsidRDefault="00CD5106">
            <w:pPr>
              <w:jc w:val="center"/>
            </w:pPr>
            <w:r>
              <w:rPr>
                <w:color w:val="000000"/>
                <w:sz w:val="24"/>
                <w:szCs w:val="24"/>
              </w:rPr>
              <w:t>0.85%</w:t>
            </w:r>
          </w:p>
        </w:tc>
        <w:tc>
          <w:tcPr>
            <w:tcW w:w="1194" w:type="dxa"/>
            <w:vAlign w:val="center"/>
          </w:tcPr>
          <w:p w:rsidR="004C411E" w:rsidRDefault="00CD5106">
            <w:pPr>
              <w:jc w:val="center"/>
            </w:pPr>
            <w:r>
              <w:rPr>
                <w:color w:val="000000"/>
                <w:sz w:val="24"/>
                <w:szCs w:val="24"/>
              </w:rPr>
              <w:t>5.41%</w:t>
            </w:r>
          </w:p>
        </w:tc>
        <w:tc>
          <w:tcPr>
            <w:tcW w:w="898" w:type="dxa"/>
            <w:vAlign w:val="center"/>
          </w:tcPr>
          <w:p w:rsidR="004C411E" w:rsidRDefault="00CD5106">
            <w:pPr>
              <w:jc w:val="center"/>
            </w:pPr>
            <w:r>
              <w:rPr>
                <w:color w:val="000000"/>
                <w:sz w:val="24"/>
                <w:szCs w:val="24"/>
              </w:rPr>
              <w:t>0.48%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交银施罗德瑞景定期开放灵活配置混合型证券投资基金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lastRenderedPageBreak/>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12</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21</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2018</w:t>
      </w:r>
      <w:r w:rsidR="00AE7962" w:rsidRPr="00414345">
        <w:rPr>
          <w:rFonts w:ascii="Times New Roman" w:hAnsi="Times New Roman" w:cs="Times New Roman"/>
          <w:sz w:val="24"/>
          <w:szCs w:val="24"/>
        </w:rPr>
        <w:t>年</w:t>
      </w:r>
      <w:r w:rsidR="00CD5106">
        <w:rPr>
          <w:rFonts w:ascii="Times New Roman" w:hAnsi="Times New Roman" w:cs="Times New Roman"/>
          <w:sz w:val="24"/>
          <w:szCs w:val="24"/>
        </w:rPr>
        <w:t>7</w:t>
      </w:r>
      <w:r w:rsidR="00AE7962" w:rsidRPr="00414345">
        <w:rPr>
          <w:rFonts w:ascii="Times New Roman" w:hAnsi="Times New Roman" w:cs="Times New Roman"/>
          <w:sz w:val="24"/>
          <w:szCs w:val="24"/>
        </w:rPr>
        <w:t>月</w:t>
      </w:r>
      <w:r w:rsidR="00CD5106">
        <w:rPr>
          <w:rFonts w:ascii="Times New Roman" w:hAnsi="Times New Roman" w:cs="Times New Roman"/>
          <w:sz w:val="24"/>
          <w:szCs w:val="24"/>
        </w:rPr>
        <w:t>11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个月。截至建仓期结束，本基金各项资产配置比例符合基金合同及招募说明书有关投资比例的约定。自</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12</w:t>
      </w:r>
      <w:r w:rsidRPr="00414345">
        <w:rPr>
          <w:color w:val="000000"/>
          <w:sz w:val="24"/>
          <w:szCs w:val="24"/>
        </w:rPr>
        <w:t>日起，本基金进入清算程序，图示日期为</w:t>
      </w:r>
      <w:r w:rsidRPr="00414345">
        <w:rPr>
          <w:color w:val="000000"/>
          <w:sz w:val="24"/>
          <w:szCs w:val="24"/>
        </w:rPr>
        <w:t>2016</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21</w:t>
      </w:r>
      <w:r w:rsidRPr="00414345">
        <w:rPr>
          <w:color w:val="000000"/>
          <w:sz w:val="24"/>
          <w:szCs w:val="24"/>
        </w:rPr>
        <w:t>日至</w:t>
      </w:r>
      <w:r w:rsidRPr="00414345">
        <w:rPr>
          <w:color w:val="000000"/>
          <w:sz w:val="24"/>
          <w:szCs w:val="24"/>
        </w:rPr>
        <w:t>2018</w:t>
      </w:r>
      <w:r w:rsidRPr="00414345">
        <w:rPr>
          <w:color w:val="000000"/>
          <w:sz w:val="24"/>
          <w:szCs w:val="24"/>
        </w:rPr>
        <w:t>年</w:t>
      </w:r>
      <w:r w:rsidRPr="00414345">
        <w:rPr>
          <w:color w:val="000000"/>
          <w:sz w:val="24"/>
          <w:szCs w:val="24"/>
        </w:rPr>
        <w:t>7</w:t>
      </w:r>
      <w:r w:rsidRPr="00414345">
        <w:rPr>
          <w:color w:val="000000"/>
          <w:sz w:val="24"/>
          <w:szCs w:val="24"/>
        </w:rPr>
        <w:t>月</w:t>
      </w:r>
      <w:r w:rsidRPr="00414345">
        <w:rPr>
          <w:color w:val="000000"/>
          <w:sz w:val="24"/>
          <w:szCs w:val="24"/>
        </w:rPr>
        <w:t>11</w:t>
      </w:r>
      <w:r w:rsidRPr="00414345">
        <w:rPr>
          <w:color w:val="000000"/>
          <w:sz w:val="24"/>
          <w:szCs w:val="24"/>
        </w:rPr>
        <w:t>日。</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C411E">
        <w:trPr>
          <w:jc w:val="center"/>
        </w:trPr>
        <w:tc>
          <w:tcPr>
            <w:tcW w:w="846" w:type="dxa"/>
            <w:vAlign w:val="center"/>
          </w:tcPr>
          <w:p w:rsidR="004C411E" w:rsidRDefault="00CD5106">
            <w:pPr>
              <w:jc w:val="center"/>
            </w:pPr>
            <w:r>
              <w:rPr>
                <w:color w:val="000000"/>
                <w:sz w:val="24"/>
                <w:szCs w:val="24"/>
              </w:rPr>
              <w:t>李娜</w:t>
            </w:r>
          </w:p>
        </w:tc>
        <w:tc>
          <w:tcPr>
            <w:tcW w:w="845" w:type="dxa"/>
            <w:vAlign w:val="center"/>
          </w:tcPr>
          <w:p w:rsidR="004C411E" w:rsidRDefault="00CD5106">
            <w:pPr>
              <w:jc w:val="center"/>
            </w:pPr>
            <w:r>
              <w:rPr>
                <w:color w:val="000000"/>
                <w:sz w:val="24"/>
                <w:szCs w:val="24"/>
              </w:rPr>
              <w:t>交银周期回报灵活配置混合、交银新回报灵活配置混合、交</w:t>
            </w:r>
            <w:r>
              <w:rPr>
                <w:color w:val="000000"/>
                <w:sz w:val="24"/>
                <w:szCs w:val="24"/>
              </w:rPr>
              <w:lastRenderedPageBreak/>
              <w:t>银多策略回报灵活配置混合、交银卓越回报灵活配置混合、交银优选回报灵活配置混合、交银优择回报灵活配置混合、交银领先回报灵活配置混合、交银瑞鑫定期开放灵活配置混合、交银瑞景定期开放灵活配置混合、</w:t>
            </w:r>
            <w:r>
              <w:rPr>
                <w:color w:val="000000"/>
                <w:sz w:val="24"/>
                <w:szCs w:val="24"/>
              </w:rPr>
              <w:lastRenderedPageBreak/>
              <w:t>交银裕祥纯债债券的基金经理</w:t>
            </w:r>
          </w:p>
        </w:tc>
        <w:tc>
          <w:tcPr>
            <w:tcW w:w="1549" w:type="dxa"/>
            <w:vAlign w:val="center"/>
          </w:tcPr>
          <w:p w:rsidR="004C411E" w:rsidRDefault="00CD5106">
            <w:pPr>
              <w:jc w:val="center"/>
            </w:pPr>
            <w:r>
              <w:rPr>
                <w:color w:val="000000"/>
                <w:sz w:val="24"/>
                <w:szCs w:val="24"/>
              </w:rPr>
              <w:lastRenderedPageBreak/>
              <w:t>2016-12-21</w:t>
            </w:r>
          </w:p>
        </w:tc>
        <w:tc>
          <w:tcPr>
            <w:tcW w:w="1548" w:type="dxa"/>
            <w:vAlign w:val="center"/>
          </w:tcPr>
          <w:p w:rsidR="004C411E" w:rsidRDefault="00CD5106">
            <w:pPr>
              <w:jc w:val="center"/>
            </w:pPr>
            <w:r>
              <w:rPr>
                <w:color w:val="000000"/>
                <w:sz w:val="24"/>
                <w:szCs w:val="24"/>
              </w:rPr>
              <w:t>-</w:t>
            </w:r>
          </w:p>
        </w:tc>
        <w:tc>
          <w:tcPr>
            <w:tcW w:w="1407" w:type="dxa"/>
            <w:vAlign w:val="center"/>
          </w:tcPr>
          <w:p w:rsidR="004C411E" w:rsidRDefault="00CD5106">
            <w:pPr>
              <w:jc w:val="center"/>
            </w:pPr>
            <w:r>
              <w:rPr>
                <w:color w:val="000000"/>
                <w:sz w:val="24"/>
                <w:szCs w:val="24"/>
              </w:rPr>
              <w:t>8</w:t>
            </w:r>
            <w:r>
              <w:rPr>
                <w:color w:val="000000"/>
                <w:sz w:val="24"/>
                <w:szCs w:val="24"/>
              </w:rPr>
              <w:t>年</w:t>
            </w:r>
          </w:p>
        </w:tc>
        <w:tc>
          <w:tcPr>
            <w:tcW w:w="2673" w:type="dxa"/>
            <w:vAlign w:val="center"/>
          </w:tcPr>
          <w:p w:rsidR="004C411E" w:rsidRDefault="00CD5106">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2</w:t>
            </w:r>
            <w:r>
              <w:rPr>
                <w:color w:val="000000"/>
                <w:sz w:val="24"/>
                <w:szCs w:val="24"/>
              </w:rPr>
              <w:t>日至</w:t>
            </w:r>
            <w:r>
              <w:rPr>
                <w:color w:val="000000"/>
                <w:sz w:val="24"/>
                <w:szCs w:val="24"/>
              </w:rPr>
              <w:t>2018</w:t>
            </w:r>
            <w:r>
              <w:rPr>
                <w:color w:val="000000"/>
                <w:sz w:val="24"/>
                <w:szCs w:val="24"/>
              </w:rPr>
              <w:t>年</w:t>
            </w:r>
            <w:r>
              <w:rPr>
                <w:color w:val="000000"/>
                <w:sz w:val="24"/>
                <w:szCs w:val="24"/>
              </w:rPr>
              <w:t>4</w:t>
            </w:r>
            <w:r>
              <w:rPr>
                <w:color w:val="000000"/>
                <w:sz w:val="24"/>
                <w:szCs w:val="24"/>
              </w:rPr>
              <w:t>月</w:t>
            </w:r>
            <w:r>
              <w:rPr>
                <w:color w:val="000000"/>
                <w:sz w:val="24"/>
                <w:szCs w:val="24"/>
              </w:rPr>
              <w:t>10</w:t>
            </w:r>
            <w:r>
              <w:rPr>
                <w:color w:val="000000"/>
                <w:sz w:val="24"/>
                <w:szCs w:val="24"/>
              </w:rPr>
              <w:t>日担任交银施罗德瑞安定期开放灵活配置混合型证券投资基金基金</w:t>
            </w:r>
            <w:r>
              <w:rPr>
                <w:color w:val="000000"/>
                <w:sz w:val="24"/>
                <w:szCs w:val="24"/>
              </w:rPr>
              <w:lastRenderedPageBreak/>
              <w:t>经理。</w:t>
            </w:r>
            <w:r>
              <w:rPr>
                <w:color w:val="000000"/>
                <w:sz w:val="24"/>
                <w:szCs w:val="24"/>
              </w:rPr>
              <w:t>2017</w:t>
            </w:r>
            <w:r>
              <w:rPr>
                <w:color w:val="000000"/>
                <w:sz w:val="24"/>
                <w:szCs w:val="24"/>
              </w:rPr>
              <w:t>年</w:t>
            </w:r>
            <w:r>
              <w:rPr>
                <w:color w:val="000000"/>
                <w:sz w:val="24"/>
                <w:szCs w:val="24"/>
              </w:rPr>
              <w:t>2</w:t>
            </w:r>
            <w:r>
              <w:rPr>
                <w:color w:val="000000"/>
                <w:sz w:val="24"/>
                <w:szCs w:val="24"/>
              </w:rPr>
              <w:t>月</w:t>
            </w:r>
            <w:r>
              <w:rPr>
                <w:color w:val="000000"/>
                <w:sz w:val="24"/>
                <w:szCs w:val="24"/>
              </w:rPr>
              <w:t>24</w:t>
            </w:r>
            <w:r>
              <w:rPr>
                <w:color w:val="000000"/>
                <w:sz w:val="24"/>
                <w:szCs w:val="24"/>
              </w:rPr>
              <w:t>日至</w:t>
            </w:r>
            <w:r>
              <w:rPr>
                <w:color w:val="000000"/>
                <w:sz w:val="24"/>
                <w:szCs w:val="24"/>
              </w:rPr>
              <w:t>2018</w:t>
            </w:r>
            <w:r>
              <w:rPr>
                <w:color w:val="000000"/>
                <w:sz w:val="24"/>
                <w:szCs w:val="24"/>
              </w:rPr>
              <w:t>年</w:t>
            </w:r>
            <w:r>
              <w:rPr>
                <w:color w:val="000000"/>
                <w:sz w:val="24"/>
                <w:szCs w:val="24"/>
              </w:rPr>
              <w:t>7</w:t>
            </w:r>
            <w:r>
              <w:rPr>
                <w:color w:val="000000"/>
                <w:sz w:val="24"/>
                <w:szCs w:val="24"/>
              </w:rPr>
              <w:t>月</w:t>
            </w:r>
            <w:r>
              <w:rPr>
                <w:color w:val="000000"/>
                <w:sz w:val="24"/>
                <w:szCs w:val="24"/>
              </w:rPr>
              <w:t>18</w:t>
            </w:r>
            <w:r>
              <w:rPr>
                <w:color w:val="000000"/>
                <w:sz w:val="24"/>
                <w:szCs w:val="24"/>
              </w:rPr>
              <w:t>日担任交银施罗德瑞利定期开放灵活配置混合型证券投资基金的基金经理。</w:t>
            </w:r>
            <w:r>
              <w:rPr>
                <w:color w:val="000000"/>
                <w:sz w:val="24"/>
                <w:szCs w:val="24"/>
              </w:rPr>
              <w:t>2017</w:t>
            </w:r>
            <w:r>
              <w:rPr>
                <w:color w:val="000000"/>
                <w:sz w:val="24"/>
                <w:szCs w:val="24"/>
              </w:rPr>
              <w:t>年</w:t>
            </w:r>
            <w:r>
              <w:rPr>
                <w:color w:val="000000"/>
                <w:sz w:val="24"/>
                <w:szCs w:val="24"/>
              </w:rPr>
              <w:t>3</w:t>
            </w:r>
            <w:r>
              <w:rPr>
                <w:color w:val="000000"/>
                <w:sz w:val="24"/>
                <w:szCs w:val="24"/>
              </w:rPr>
              <w:t>月</w:t>
            </w:r>
            <w:r>
              <w:rPr>
                <w:color w:val="000000"/>
                <w:sz w:val="24"/>
                <w:szCs w:val="24"/>
              </w:rPr>
              <w:t>31</w:t>
            </w:r>
            <w:r>
              <w:rPr>
                <w:color w:val="000000"/>
                <w:sz w:val="24"/>
                <w:szCs w:val="24"/>
              </w:rPr>
              <w:t>日至</w:t>
            </w:r>
            <w:r>
              <w:rPr>
                <w:color w:val="000000"/>
                <w:sz w:val="24"/>
                <w:szCs w:val="24"/>
              </w:rPr>
              <w:t>2018</w:t>
            </w:r>
            <w:r>
              <w:rPr>
                <w:color w:val="000000"/>
                <w:sz w:val="24"/>
                <w:szCs w:val="24"/>
              </w:rPr>
              <w:t>年</w:t>
            </w:r>
            <w:r>
              <w:rPr>
                <w:color w:val="000000"/>
                <w:sz w:val="24"/>
                <w:szCs w:val="24"/>
              </w:rPr>
              <w:t>8</w:t>
            </w:r>
            <w:r>
              <w:rPr>
                <w:color w:val="000000"/>
                <w:sz w:val="24"/>
                <w:szCs w:val="24"/>
              </w:rPr>
              <w:t>月</w:t>
            </w:r>
            <w:r>
              <w:rPr>
                <w:color w:val="000000"/>
                <w:sz w:val="24"/>
                <w:szCs w:val="24"/>
              </w:rPr>
              <w:t>23</w:t>
            </w:r>
            <w:r>
              <w:rPr>
                <w:color w:val="000000"/>
                <w:sz w:val="24"/>
                <w:szCs w:val="24"/>
              </w:rPr>
              <w:t>日担任交银施罗德启通灵活配置混合型证券投资基金的基金经理。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C411E" w:rsidRDefault="00CD5106">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C411E" w:rsidRDefault="00CD5106">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C411E" w:rsidRDefault="00CD5106">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C411E" w:rsidRDefault="00CD5106">
      <w:pPr>
        <w:spacing w:before="29" w:line="288" w:lineRule="auto"/>
        <w:ind w:firstLineChars="200" w:firstLine="480"/>
        <w:rPr>
          <w:color w:val="000000"/>
          <w:sz w:val="24"/>
          <w:szCs w:val="24"/>
        </w:rPr>
      </w:pPr>
      <w:r>
        <w:rPr>
          <w:color w:val="000000"/>
          <w:sz w:val="24"/>
          <w:szCs w:val="24"/>
        </w:rPr>
        <w:t>本报告期内，国内经济增速呈现稳中放缓态势，通胀预期有所上行，从而压制了固定收益类资产的进一步表现。同时，中美贸易摩擦影响进一步深化，全球风险偏好回落，权益类资产继续回调。国内制造业增速稳中放缓，房地产投资在政策悲观的预期氛围内继续保持增长韧性，但基建投资增速下滑，整体固定资产投资呈现下行。通胀方面，受天气灾害和猪瘟疫情等影响，食品价格攀升，</w:t>
      </w:r>
      <w:r>
        <w:rPr>
          <w:color w:val="000000"/>
          <w:sz w:val="24"/>
          <w:szCs w:val="24"/>
        </w:rPr>
        <w:t>CPI</w:t>
      </w:r>
      <w:r>
        <w:rPr>
          <w:color w:val="000000"/>
          <w:sz w:val="24"/>
          <w:szCs w:val="24"/>
        </w:rPr>
        <w:t>也再次回到</w:t>
      </w:r>
      <w:r>
        <w:rPr>
          <w:color w:val="000000"/>
          <w:sz w:val="24"/>
          <w:szCs w:val="24"/>
        </w:rPr>
        <w:t>2%</w:t>
      </w:r>
      <w:r>
        <w:rPr>
          <w:color w:val="000000"/>
          <w:sz w:val="24"/>
          <w:szCs w:val="24"/>
        </w:rPr>
        <w:t>以上，同时国际原油价格突破新高，叠加人民币贬值预期，输入性通胀预期不断增强，市场陷入</w:t>
      </w:r>
      <w:r>
        <w:rPr>
          <w:color w:val="000000"/>
          <w:sz w:val="24"/>
          <w:szCs w:val="24"/>
        </w:rPr>
        <w:t>“</w:t>
      </w:r>
      <w:r>
        <w:rPr>
          <w:color w:val="000000"/>
          <w:sz w:val="24"/>
          <w:szCs w:val="24"/>
        </w:rPr>
        <w:t>滞涨</w:t>
      </w:r>
      <w:r>
        <w:rPr>
          <w:color w:val="000000"/>
          <w:sz w:val="24"/>
          <w:szCs w:val="24"/>
        </w:rPr>
        <w:t>”</w:t>
      </w:r>
      <w:r>
        <w:rPr>
          <w:color w:val="000000"/>
          <w:sz w:val="24"/>
          <w:szCs w:val="24"/>
        </w:rPr>
        <w:t>的担忧之中。货币政策方面，央行在美联储加息和贸易摩擦的背景下坚持稳健中性的货币政策，同期债券收益率先下后上，呈现宽幅震荡，其中经济增长预期放缓、通胀预期抬升、中美贸易摩擦导致的风险偏好变化、宽信用政策传导效果等因素成为债券市场收益率变动的主要原因。报告期内，上证综指和创业板指分别下行</w:t>
      </w:r>
      <w:r>
        <w:rPr>
          <w:color w:val="000000"/>
          <w:sz w:val="24"/>
          <w:szCs w:val="24"/>
        </w:rPr>
        <w:t>0.92%</w:t>
      </w:r>
      <w:r>
        <w:rPr>
          <w:color w:val="000000"/>
          <w:sz w:val="24"/>
          <w:szCs w:val="24"/>
        </w:rPr>
        <w:t>和</w:t>
      </w:r>
      <w:r>
        <w:rPr>
          <w:color w:val="000000"/>
          <w:sz w:val="24"/>
          <w:szCs w:val="24"/>
        </w:rPr>
        <w:t>12.16%</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13BP</w:t>
      </w:r>
      <w:r>
        <w:rPr>
          <w:color w:val="000000"/>
          <w:sz w:val="24"/>
          <w:szCs w:val="24"/>
        </w:rPr>
        <w:t>至</w:t>
      </w:r>
      <w:r>
        <w:rPr>
          <w:color w:val="000000"/>
          <w:sz w:val="24"/>
          <w:szCs w:val="24"/>
        </w:rPr>
        <w:t>3.61%</w:t>
      </w:r>
      <w:r>
        <w:rPr>
          <w:color w:val="000000"/>
          <w:sz w:val="24"/>
          <w:szCs w:val="24"/>
        </w:rPr>
        <w:t>，</w:t>
      </w:r>
      <w:r>
        <w:rPr>
          <w:color w:val="000000"/>
          <w:sz w:val="24"/>
          <w:szCs w:val="24"/>
        </w:rPr>
        <w:t>10</w:t>
      </w:r>
      <w:r>
        <w:rPr>
          <w:color w:val="000000"/>
          <w:sz w:val="24"/>
          <w:szCs w:val="24"/>
        </w:rPr>
        <w:t>年期国开债收益率小幅下行</w:t>
      </w:r>
      <w:r>
        <w:rPr>
          <w:color w:val="000000"/>
          <w:sz w:val="24"/>
          <w:szCs w:val="24"/>
        </w:rPr>
        <w:t>5BP</w:t>
      </w:r>
      <w:r>
        <w:rPr>
          <w:color w:val="000000"/>
          <w:sz w:val="24"/>
          <w:szCs w:val="24"/>
        </w:rPr>
        <w:t>至</w:t>
      </w:r>
      <w:r>
        <w:rPr>
          <w:color w:val="000000"/>
          <w:sz w:val="24"/>
          <w:szCs w:val="24"/>
        </w:rPr>
        <w:t>4.20%</w:t>
      </w:r>
      <w:r>
        <w:rPr>
          <w:color w:val="000000"/>
          <w:sz w:val="24"/>
          <w:szCs w:val="24"/>
        </w:rPr>
        <w:t>。</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策略层面，由于触发基金合同终止情形，本基金进入基金财产清算程序，按照要求进行产品清盘操作。本基金将配合基金财产清算小组作好产品清盘工作。</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本基金（各类）份额净值及业绩表现请见</w:t>
      </w:r>
      <w:r w:rsidRPr="00414345">
        <w:rPr>
          <w:color w:val="000000"/>
          <w:sz w:val="24"/>
          <w:szCs w:val="24"/>
        </w:rPr>
        <w:t xml:space="preserve">“3.1 </w:t>
      </w:r>
      <w:r w:rsidRPr="00414345">
        <w:rPr>
          <w:color w:val="000000"/>
          <w:sz w:val="24"/>
          <w:szCs w:val="24"/>
        </w:rPr>
        <w:t>主要财务指标</w:t>
      </w:r>
      <w:r w:rsidRPr="00414345">
        <w:rPr>
          <w:color w:val="000000"/>
          <w:sz w:val="24"/>
          <w:szCs w:val="24"/>
        </w:rPr>
        <w:t xml:space="preserve">” </w:t>
      </w:r>
      <w:r w:rsidRPr="00414345">
        <w:rPr>
          <w:color w:val="000000"/>
          <w:sz w:val="24"/>
          <w:szCs w:val="24"/>
        </w:rPr>
        <w:t>及</w:t>
      </w:r>
      <w:r w:rsidRPr="00414345">
        <w:rPr>
          <w:color w:val="000000"/>
          <w:sz w:val="24"/>
          <w:szCs w:val="24"/>
        </w:rPr>
        <w:t>“3.2.1</w:t>
      </w:r>
      <w:r w:rsidRPr="00414345">
        <w:rPr>
          <w:color w:val="000000"/>
          <w:sz w:val="24"/>
          <w:szCs w:val="24"/>
        </w:rPr>
        <w:t>本报告期基金份额净值增长率及其与同期业绩比较基准收益率的比较</w:t>
      </w:r>
      <w:r w:rsidRPr="00414345">
        <w:rPr>
          <w:color w:val="000000"/>
          <w:sz w:val="24"/>
          <w:szCs w:val="24"/>
        </w:rPr>
        <w:t>”</w:t>
      </w:r>
      <w:r w:rsidRPr="00414345">
        <w:rPr>
          <w:color w:val="000000"/>
          <w:sz w:val="24"/>
          <w:szCs w:val="24"/>
        </w:rPr>
        <w:t>部分披露。</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根据基金合同的约定，本基金已于</w:t>
      </w:r>
      <w:r w:rsidRPr="002070B4">
        <w:rPr>
          <w:color w:val="000000"/>
          <w:sz w:val="24"/>
        </w:rPr>
        <w:t>2018</w:t>
      </w:r>
      <w:r w:rsidRPr="002070B4">
        <w:rPr>
          <w:color w:val="000000"/>
          <w:sz w:val="24"/>
        </w:rPr>
        <w:t>年</w:t>
      </w:r>
      <w:r w:rsidRPr="002070B4">
        <w:rPr>
          <w:color w:val="000000"/>
          <w:sz w:val="24"/>
        </w:rPr>
        <w:t>7</w:t>
      </w:r>
      <w:r w:rsidRPr="002070B4">
        <w:rPr>
          <w:color w:val="000000"/>
          <w:sz w:val="24"/>
        </w:rPr>
        <w:t>月</w:t>
      </w:r>
      <w:r w:rsidRPr="002070B4">
        <w:rPr>
          <w:color w:val="000000"/>
          <w:sz w:val="24"/>
        </w:rPr>
        <w:t>12</w:t>
      </w:r>
      <w:r w:rsidRPr="002070B4">
        <w:rPr>
          <w:color w:val="000000"/>
          <w:sz w:val="24"/>
        </w:rPr>
        <w:t>日进入清算程序。</w:t>
      </w:r>
    </w:p>
    <w:p w:rsidR="004061AC" w:rsidRPr="00414345"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R="00BF0019" w:rsidRPr="007B5F21" w:rsidRDefault="00BF0019" w:rsidP="00BF0019">
      <w:pPr>
        <w:autoSpaceDE w:val="0"/>
        <w:autoSpaceDN w:val="0"/>
        <w:adjustRightInd w:val="0"/>
        <w:spacing w:line="360" w:lineRule="auto"/>
        <w:jc w:val="left"/>
        <w:rPr>
          <w:rFonts w:eastAsiaTheme="minorEastAsia"/>
          <w:b/>
          <w:color w:val="000000" w:themeColor="text1"/>
          <w:kern w:val="0"/>
          <w:sz w:val="24"/>
          <w:szCs w:val="24"/>
        </w:rPr>
      </w:pPr>
      <w:r w:rsidRPr="007B5F21">
        <w:rPr>
          <w:rFonts w:eastAsiaTheme="minorEastAsia"/>
          <w:b/>
          <w:color w:val="000000" w:themeColor="text1"/>
          <w:kern w:val="0"/>
          <w:sz w:val="24"/>
          <w:szCs w:val="24"/>
        </w:rPr>
        <w:t xml:space="preserve">5.1 </w:t>
      </w:r>
      <w:r w:rsidRPr="007B5F21">
        <w:rPr>
          <w:rFonts w:eastAsiaTheme="minorEastAsia"/>
          <w:b/>
          <w:color w:val="000000" w:themeColor="text1"/>
          <w:kern w:val="0"/>
          <w:sz w:val="24"/>
          <w:szCs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序号</w:t>
            </w:r>
          </w:p>
        </w:tc>
        <w:tc>
          <w:tcPr>
            <w:tcW w:w="2824"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项目</w:t>
            </w:r>
          </w:p>
        </w:tc>
        <w:tc>
          <w:tcPr>
            <w:tcW w:w="2552"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金额</w:t>
            </w:r>
            <w:r w:rsidRPr="007B5F21">
              <w:rPr>
                <w:rFonts w:eastAsiaTheme="minorEastAsia"/>
                <w:color w:val="000000" w:themeColor="text1"/>
                <w:sz w:val="24"/>
                <w:szCs w:val="24"/>
              </w:rPr>
              <w:t>(</w:t>
            </w:r>
            <w:r w:rsidRPr="007B5F21">
              <w:rPr>
                <w:rFonts w:eastAsiaTheme="minorEastAsia"/>
                <w:color w:val="000000" w:themeColor="text1"/>
                <w:sz w:val="24"/>
                <w:szCs w:val="24"/>
              </w:rPr>
              <w:t>元</w:t>
            </w: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占基金总资产的比例</w:t>
            </w: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1</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权益投资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211,055.29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其中：股票</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211,055.29</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3.42</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2</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ascii="宋体" w:hAnsi="宋体" w:hint="eastAsia"/>
                <w:sz w:val="24"/>
                <w:szCs w:val="24"/>
              </w:rPr>
              <w:t>基金投资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hint="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3</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固定收益投资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其中：债券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7B5F21">
            <w:pPr>
              <w:autoSpaceDE w:val="0"/>
              <w:autoSpaceDN w:val="0"/>
              <w:adjustRightInd w:val="0"/>
              <w:spacing w:before="29" w:line="360" w:lineRule="auto"/>
              <w:ind w:left="17" w:firstLineChars="300" w:firstLine="720"/>
              <w:jc w:val="left"/>
              <w:rPr>
                <w:rFonts w:eastAsiaTheme="minorEastAsia"/>
                <w:color w:val="000000" w:themeColor="text1"/>
                <w:sz w:val="24"/>
                <w:szCs w:val="24"/>
              </w:rPr>
            </w:pPr>
            <w:r w:rsidRPr="007B5F21">
              <w:rPr>
                <w:rFonts w:eastAsiaTheme="minorEastAsia"/>
                <w:color w:val="000000" w:themeColor="text1"/>
                <w:sz w:val="24"/>
                <w:szCs w:val="24"/>
              </w:rPr>
              <w:t>资产支持证券</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lastRenderedPageBreak/>
              <w:t>4</w:t>
            </w:r>
          </w:p>
        </w:tc>
        <w:tc>
          <w:tcPr>
            <w:tcW w:w="2824" w:type="dxa"/>
            <w:vAlign w:val="center"/>
          </w:tcPr>
          <w:p w:rsidR="00BF0019" w:rsidRPr="007B5F21" w:rsidRDefault="00BF0019" w:rsidP="002D2971">
            <w:pPr>
              <w:spacing w:before="29" w:line="360" w:lineRule="auto"/>
              <w:ind w:leftChars="50" w:left="105"/>
              <w:rPr>
                <w:rFonts w:eastAsiaTheme="minorEastAsia"/>
                <w:color w:val="000000" w:themeColor="text1"/>
                <w:sz w:val="24"/>
                <w:szCs w:val="24"/>
              </w:rPr>
            </w:pPr>
            <w:r w:rsidRPr="007B5F21">
              <w:rPr>
                <w:rFonts w:eastAsiaTheme="minorEastAsia"/>
                <w:color w:val="000000" w:themeColor="text1"/>
                <w:sz w:val="24"/>
                <w:szCs w:val="24"/>
              </w:rPr>
              <w:t>贵金属投资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5</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金融衍生品投资</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6</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其中：买断式回购的买入返售金融资产</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hint="eastAsia"/>
                <w:color w:val="000000" w:themeColor="text1"/>
                <w:sz w:val="24"/>
                <w:szCs w:val="24"/>
              </w:rPr>
              <w:t>7</w:t>
            </w:r>
          </w:p>
        </w:tc>
        <w:tc>
          <w:tcPr>
            <w:tcW w:w="2824" w:type="dxa"/>
            <w:vAlign w:val="center"/>
          </w:tcPr>
          <w:p w:rsidR="00BF0019" w:rsidRPr="007B5F21" w:rsidRDefault="00BF0019" w:rsidP="002D2971">
            <w:pPr>
              <w:spacing w:before="29" w:line="360" w:lineRule="auto"/>
              <w:ind w:left="17"/>
              <w:jc w:val="left"/>
              <w:rPr>
                <w:rFonts w:eastAsiaTheme="minorEastAsia"/>
                <w:color w:val="000000" w:themeColor="text1"/>
                <w:sz w:val="24"/>
                <w:szCs w:val="24"/>
              </w:rPr>
            </w:pPr>
            <w:r w:rsidRPr="007B5F21">
              <w:rPr>
                <w:rFonts w:eastAsiaTheme="minorEastAsia"/>
                <w:color w:val="000000" w:themeColor="text1"/>
                <w:sz w:val="24"/>
                <w:szCs w:val="24"/>
              </w:rPr>
              <w:t>银行存款和结算备付金合计</w:t>
            </w:r>
          </w:p>
        </w:tc>
        <w:tc>
          <w:tcPr>
            <w:tcW w:w="2552"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5,904,453.30</w:t>
            </w:r>
          </w:p>
        </w:tc>
        <w:tc>
          <w:tcPr>
            <w:tcW w:w="2801" w:type="dxa"/>
            <w:vAlign w:val="center"/>
          </w:tcPr>
          <w:p w:rsidR="00BF0019" w:rsidRPr="007B5F21" w:rsidRDefault="00BF0019" w:rsidP="002D2971">
            <w:pPr>
              <w:spacing w:before="29" w:line="360" w:lineRule="auto"/>
              <w:ind w:left="17"/>
              <w:jc w:val="right"/>
              <w:rPr>
                <w:rFonts w:eastAsiaTheme="minorEastAsia"/>
                <w:color w:val="000000" w:themeColor="text1"/>
                <w:sz w:val="24"/>
                <w:szCs w:val="24"/>
              </w:rPr>
            </w:pPr>
            <w:r w:rsidRPr="007B5F21">
              <w:rPr>
                <w:rFonts w:eastAsiaTheme="minorEastAsia"/>
                <w:color w:val="000000" w:themeColor="text1"/>
                <w:sz w:val="24"/>
                <w:szCs w:val="24"/>
              </w:rPr>
              <w:t>95.69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8</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其他各项资产</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54,996.07</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0.89</w:t>
            </w:r>
          </w:p>
        </w:tc>
      </w:tr>
      <w:tr w:rsidR="00BF0019" w:rsidRPr="007B5F21" w:rsidTr="002D2971">
        <w:tc>
          <w:tcPr>
            <w:tcW w:w="720" w:type="dxa"/>
            <w:vAlign w:val="center"/>
          </w:tcPr>
          <w:p w:rsidR="00BF0019" w:rsidRPr="007B5F21" w:rsidRDefault="00BF0019" w:rsidP="002D2971">
            <w:pPr>
              <w:spacing w:before="29" w:line="360" w:lineRule="auto"/>
              <w:ind w:left="17"/>
              <w:jc w:val="center"/>
              <w:rPr>
                <w:rFonts w:eastAsiaTheme="minorEastAsia"/>
                <w:color w:val="000000" w:themeColor="text1"/>
                <w:sz w:val="24"/>
                <w:szCs w:val="24"/>
              </w:rPr>
            </w:pPr>
            <w:r w:rsidRPr="007B5F21">
              <w:rPr>
                <w:rFonts w:eastAsiaTheme="minorEastAsia"/>
                <w:color w:val="000000" w:themeColor="text1"/>
                <w:sz w:val="24"/>
                <w:szCs w:val="24"/>
              </w:rPr>
              <w:t>9</w:t>
            </w:r>
          </w:p>
        </w:tc>
        <w:tc>
          <w:tcPr>
            <w:tcW w:w="2824" w:type="dxa"/>
            <w:vAlign w:val="center"/>
          </w:tcPr>
          <w:p w:rsidR="00BF0019" w:rsidRPr="007B5F21" w:rsidRDefault="00BF0019" w:rsidP="002D2971">
            <w:pPr>
              <w:spacing w:line="360" w:lineRule="auto"/>
              <w:rPr>
                <w:rFonts w:eastAsiaTheme="minorEastAsia"/>
                <w:color w:val="000000" w:themeColor="text1"/>
                <w:sz w:val="24"/>
                <w:szCs w:val="24"/>
              </w:rPr>
            </w:pPr>
            <w:r w:rsidRPr="007B5F21">
              <w:rPr>
                <w:rFonts w:eastAsiaTheme="minorEastAsia"/>
                <w:color w:val="000000" w:themeColor="text1"/>
                <w:sz w:val="24"/>
                <w:szCs w:val="24"/>
              </w:rPr>
              <w:t>合计</w:t>
            </w:r>
          </w:p>
        </w:tc>
        <w:tc>
          <w:tcPr>
            <w:tcW w:w="2552"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6,170,504.66</w:t>
            </w:r>
          </w:p>
        </w:tc>
        <w:tc>
          <w:tcPr>
            <w:tcW w:w="2801" w:type="dxa"/>
            <w:vAlign w:val="center"/>
          </w:tcPr>
          <w:p w:rsidR="00BF0019" w:rsidRPr="007B5F21" w:rsidRDefault="00BF0019" w:rsidP="002D2971">
            <w:pPr>
              <w:spacing w:line="360" w:lineRule="auto"/>
              <w:jc w:val="right"/>
              <w:rPr>
                <w:rFonts w:eastAsiaTheme="minorEastAsia"/>
                <w:color w:val="000000" w:themeColor="text1"/>
                <w:sz w:val="24"/>
                <w:szCs w:val="24"/>
              </w:rPr>
            </w:pPr>
            <w:r w:rsidRPr="007B5F21">
              <w:rPr>
                <w:rFonts w:eastAsiaTheme="minorEastAsia"/>
                <w:color w:val="000000" w:themeColor="text1"/>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28,746.30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163,983.97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2.77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18,325.02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211,055.29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3.57</w:t>
            </w:r>
          </w:p>
        </w:tc>
      </w:tr>
    </w:tbl>
    <w:p w:rsidR="00897940" w:rsidRDefault="00897940"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C411E">
        <w:trPr>
          <w:jc w:val="center"/>
        </w:trPr>
        <w:tc>
          <w:tcPr>
            <w:tcW w:w="855" w:type="dxa"/>
            <w:vAlign w:val="center"/>
          </w:tcPr>
          <w:p w:rsidR="004C411E" w:rsidRDefault="00CD5106">
            <w:pPr>
              <w:jc w:val="center"/>
            </w:pPr>
            <w:r>
              <w:rPr>
                <w:color w:val="000000"/>
                <w:sz w:val="24"/>
                <w:szCs w:val="24"/>
              </w:rPr>
              <w:t>1</w:t>
            </w:r>
          </w:p>
        </w:tc>
        <w:tc>
          <w:tcPr>
            <w:tcW w:w="1334" w:type="dxa"/>
            <w:vAlign w:val="center"/>
          </w:tcPr>
          <w:p w:rsidR="004C411E" w:rsidRDefault="00CD5106">
            <w:pPr>
              <w:jc w:val="center"/>
            </w:pPr>
            <w:r>
              <w:rPr>
                <w:color w:val="000000"/>
                <w:sz w:val="24"/>
                <w:szCs w:val="24"/>
              </w:rPr>
              <w:t>603693</w:t>
            </w:r>
          </w:p>
        </w:tc>
        <w:tc>
          <w:tcPr>
            <w:tcW w:w="1777" w:type="dxa"/>
            <w:vAlign w:val="center"/>
          </w:tcPr>
          <w:p w:rsidR="004C411E" w:rsidRDefault="00CD5106">
            <w:pPr>
              <w:jc w:val="center"/>
            </w:pPr>
            <w:r>
              <w:rPr>
                <w:color w:val="000000"/>
                <w:sz w:val="24"/>
                <w:szCs w:val="24"/>
              </w:rPr>
              <w:t>江苏新能</w:t>
            </w:r>
          </w:p>
        </w:tc>
        <w:tc>
          <w:tcPr>
            <w:tcW w:w="1334" w:type="dxa"/>
            <w:vAlign w:val="center"/>
          </w:tcPr>
          <w:p w:rsidR="004C411E" w:rsidRDefault="00CD5106">
            <w:pPr>
              <w:jc w:val="right"/>
            </w:pPr>
            <w:r>
              <w:rPr>
                <w:color w:val="000000"/>
                <w:sz w:val="24"/>
                <w:szCs w:val="24"/>
              </w:rPr>
              <w:t>5,384</w:t>
            </w:r>
          </w:p>
        </w:tc>
        <w:tc>
          <w:tcPr>
            <w:tcW w:w="1924" w:type="dxa"/>
            <w:vAlign w:val="center"/>
          </w:tcPr>
          <w:p w:rsidR="004C411E" w:rsidRDefault="00CD5106">
            <w:pPr>
              <w:jc w:val="right"/>
            </w:pPr>
            <w:r>
              <w:rPr>
                <w:color w:val="000000"/>
                <w:sz w:val="24"/>
                <w:szCs w:val="24"/>
              </w:rPr>
              <w:t>123,724.32</w:t>
            </w:r>
          </w:p>
        </w:tc>
        <w:tc>
          <w:tcPr>
            <w:tcW w:w="1644" w:type="dxa"/>
            <w:vAlign w:val="center"/>
          </w:tcPr>
          <w:p w:rsidR="004C411E" w:rsidRDefault="00CD5106">
            <w:pPr>
              <w:jc w:val="right"/>
            </w:pPr>
            <w:r>
              <w:rPr>
                <w:color w:val="000000"/>
                <w:sz w:val="24"/>
                <w:szCs w:val="24"/>
              </w:rPr>
              <w:t>2.09</w:t>
            </w:r>
          </w:p>
        </w:tc>
      </w:tr>
      <w:tr w:rsidR="004C411E">
        <w:trPr>
          <w:jc w:val="center"/>
        </w:trPr>
        <w:tc>
          <w:tcPr>
            <w:tcW w:w="855" w:type="dxa"/>
            <w:vAlign w:val="center"/>
          </w:tcPr>
          <w:p w:rsidR="004C411E" w:rsidRDefault="00CD5106">
            <w:pPr>
              <w:jc w:val="center"/>
            </w:pPr>
            <w:r>
              <w:rPr>
                <w:color w:val="000000"/>
                <w:sz w:val="24"/>
                <w:szCs w:val="24"/>
              </w:rPr>
              <w:t>2</w:t>
            </w:r>
          </w:p>
        </w:tc>
        <w:tc>
          <w:tcPr>
            <w:tcW w:w="1334" w:type="dxa"/>
            <w:vAlign w:val="center"/>
          </w:tcPr>
          <w:p w:rsidR="004C411E" w:rsidRDefault="00CD5106">
            <w:pPr>
              <w:jc w:val="center"/>
            </w:pPr>
            <w:r>
              <w:rPr>
                <w:color w:val="000000"/>
                <w:sz w:val="24"/>
                <w:szCs w:val="24"/>
              </w:rPr>
              <w:t>603706</w:t>
            </w:r>
          </w:p>
        </w:tc>
        <w:tc>
          <w:tcPr>
            <w:tcW w:w="1777" w:type="dxa"/>
            <w:vAlign w:val="center"/>
          </w:tcPr>
          <w:p w:rsidR="004C411E" w:rsidRDefault="00CD5106">
            <w:pPr>
              <w:jc w:val="center"/>
            </w:pPr>
            <w:r>
              <w:rPr>
                <w:color w:val="000000"/>
                <w:sz w:val="24"/>
                <w:szCs w:val="24"/>
              </w:rPr>
              <w:t>东方环宇</w:t>
            </w:r>
          </w:p>
        </w:tc>
        <w:tc>
          <w:tcPr>
            <w:tcW w:w="1334" w:type="dxa"/>
            <w:vAlign w:val="center"/>
          </w:tcPr>
          <w:p w:rsidR="004C411E" w:rsidRDefault="00CD5106">
            <w:pPr>
              <w:jc w:val="right"/>
            </w:pPr>
            <w:r>
              <w:rPr>
                <w:color w:val="000000"/>
                <w:sz w:val="24"/>
                <w:szCs w:val="24"/>
              </w:rPr>
              <w:t>1,765</w:t>
            </w:r>
          </w:p>
        </w:tc>
        <w:tc>
          <w:tcPr>
            <w:tcW w:w="1924" w:type="dxa"/>
            <w:vAlign w:val="center"/>
          </w:tcPr>
          <w:p w:rsidR="004C411E" w:rsidRDefault="00CD5106">
            <w:pPr>
              <w:jc w:val="right"/>
            </w:pPr>
            <w:r>
              <w:rPr>
                <w:color w:val="000000"/>
                <w:sz w:val="24"/>
                <w:szCs w:val="24"/>
              </w:rPr>
              <w:t>40,259.65</w:t>
            </w:r>
          </w:p>
        </w:tc>
        <w:tc>
          <w:tcPr>
            <w:tcW w:w="1644" w:type="dxa"/>
            <w:vAlign w:val="center"/>
          </w:tcPr>
          <w:p w:rsidR="004C411E" w:rsidRDefault="00CD5106">
            <w:pPr>
              <w:jc w:val="right"/>
            </w:pPr>
            <w:r>
              <w:rPr>
                <w:color w:val="000000"/>
                <w:sz w:val="24"/>
                <w:szCs w:val="24"/>
              </w:rPr>
              <w:t>0.68</w:t>
            </w:r>
          </w:p>
        </w:tc>
      </w:tr>
      <w:tr w:rsidR="004C411E">
        <w:trPr>
          <w:jc w:val="center"/>
        </w:trPr>
        <w:tc>
          <w:tcPr>
            <w:tcW w:w="855" w:type="dxa"/>
            <w:vAlign w:val="center"/>
          </w:tcPr>
          <w:p w:rsidR="004C411E" w:rsidRDefault="00CD5106">
            <w:pPr>
              <w:jc w:val="center"/>
            </w:pPr>
            <w:r>
              <w:rPr>
                <w:color w:val="000000"/>
                <w:sz w:val="24"/>
                <w:szCs w:val="24"/>
              </w:rPr>
              <w:t>3</w:t>
            </w:r>
          </w:p>
        </w:tc>
        <w:tc>
          <w:tcPr>
            <w:tcW w:w="1334" w:type="dxa"/>
            <w:vAlign w:val="center"/>
          </w:tcPr>
          <w:p w:rsidR="004C411E" w:rsidRDefault="00CD5106">
            <w:pPr>
              <w:jc w:val="center"/>
            </w:pPr>
            <w:r>
              <w:rPr>
                <w:color w:val="000000"/>
                <w:sz w:val="24"/>
                <w:szCs w:val="24"/>
              </w:rPr>
              <w:t>603105</w:t>
            </w:r>
          </w:p>
        </w:tc>
        <w:tc>
          <w:tcPr>
            <w:tcW w:w="1777" w:type="dxa"/>
            <w:vAlign w:val="center"/>
          </w:tcPr>
          <w:p w:rsidR="004C411E" w:rsidRDefault="00CD5106">
            <w:pPr>
              <w:jc w:val="center"/>
            </w:pPr>
            <w:r>
              <w:rPr>
                <w:color w:val="000000"/>
                <w:sz w:val="24"/>
                <w:szCs w:val="24"/>
              </w:rPr>
              <w:t>芯能科技</w:t>
            </w:r>
          </w:p>
        </w:tc>
        <w:tc>
          <w:tcPr>
            <w:tcW w:w="1334" w:type="dxa"/>
            <w:vAlign w:val="center"/>
          </w:tcPr>
          <w:p w:rsidR="004C411E" w:rsidRDefault="00CD5106">
            <w:pPr>
              <w:jc w:val="right"/>
            </w:pPr>
            <w:r>
              <w:rPr>
                <w:color w:val="000000"/>
                <w:sz w:val="24"/>
                <w:szCs w:val="24"/>
              </w:rPr>
              <w:t>3,410</w:t>
            </w:r>
          </w:p>
        </w:tc>
        <w:tc>
          <w:tcPr>
            <w:tcW w:w="1924" w:type="dxa"/>
            <w:vAlign w:val="center"/>
          </w:tcPr>
          <w:p w:rsidR="004C411E" w:rsidRDefault="00CD5106">
            <w:pPr>
              <w:jc w:val="right"/>
            </w:pPr>
            <w:r>
              <w:rPr>
                <w:color w:val="000000"/>
                <w:sz w:val="24"/>
                <w:szCs w:val="24"/>
              </w:rPr>
              <w:t>28,746.30</w:t>
            </w:r>
          </w:p>
        </w:tc>
        <w:tc>
          <w:tcPr>
            <w:tcW w:w="1644" w:type="dxa"/>
            <w:vAlign w:val="center"/>
          </w:tcPr>
          <w:p w:rsidR="004C411E" w:rsidRDefault="00CD5106">
            <w:pPr>
              <w:jc w:val="right"/>
            </w:pPr>
            <w:r>
              <w:rPr>
                <w:color w:val="000000"/>
                <w:sz w:val="24"/>
                <w:szCs w:val="24"/>
              </w:rPr>
              <w:t>0.49</w:t>
            </w:r>
          </w:p>
        </w:tc>
      </w:tr>
      <w:tr w:rsidR="004C411E">
        <w:trPr>
          <w:jc w:val="center"/>
        </w:trPr>
        <w:tc>
          <w:tcPr>
            <w:tcW w:w="855" w:type="dxa"/>
            <w:vAlign w:val="center"/>
          </w:tcPr>
          <w:p w:rsidR="004C411E" w:rsidRDefault="00CD5106">
            <w:pPr>
              <w:jc w:val="center"/>
            </w:pPr>
            <w:r>
              <w:rPr>
                <w:color w:val="000000"/>
                <w:sz w:val="24"/>
                <w:szCs w:val="24"/>
              </w:rPr>
              <w:t>4</w:t>
            </w:r>
          </w:p>
        </w:tc>
        <w:tc>
          <w:tcPr>
            <w:tcW w:w="1334" w:type="dxa"/>
            <w:vAlign w:val="center"/>
          </w:tcPr>
          <w:p w:rsidR="004C411E" w:rsidRDefault="00CD5106">
            <w:pPr>
              <w:jc w:val="center"/>
            </w:pPr>
            <w:r>
              <w:rPr>
                <w:color w:val="000000"/>
                <w:sz w:val="24"/>
                <w:szCs w:val="24"/>
              </w:rPr>
              <w:t>603713</w:t>
            </w:r>
          </w:p>
        </w:tc>
        <w:tc>
          <w:tcPr>
            <w:tcW w:w="1777" w:type="dxa"/>
            <w:vAlign w:val="center"/>
          </w:tcPr>
          <w:p w:rsidR="004C411E" w:rsidRDefault="00CD5106">
            <w:pPr>
              <w:jc w:val="center"/>
            </w:pPr>
            <w:r>
              <w:rPr>
                <w:color w:val="000000"/>
                <w:sz w:val="24"/>
                <w:szCs w:val="24"/>
              </w:rPr>
              <w:t>密尔克卫</w:t>
            </w:r>
          </w:p>
        </w:tc>
        <w:tc>
          <w:tcPr>
            <w:tcW w:w="1334" w:type="dxa"/>
            <w:vAlign w:val="center"/>
          </w:tcPr>
          <w:p w:rsidR="004C411E" w:rsidRDefault="00CD5106">
            <w:pPr>
              <w:jc w:val="right"/>
            </w:pPr>
            <w:r>
              <w:rPr>
                <w:color w:val="000000"/>
                <w:sz w:val="24"/>
                <w:szCs w:val="24"/>
              </w:rPr>
              <w:t>1,626</w:t>
            </w:r>
          </w:p>
        </w:tc>
        <w:tc>
          <w:tcPr>
            <w:tcW w:w="1924" w:type="dxa"/>
            <w:vAlign w:val="center"/>
          </w:tcPr>
          <w:p w:rsidR="004C411E" w:rsidRDefault="00CD5106">
            <w:pPr>
              <w:jc w:val="right"/>
            </w:pPr>
            <w:r>
              <w:rPr>
                <w:color w:val="000000"/>
                <w:sz w:val="24"/>
                <w:szCs w:val="24"/>
              </w:rPr>
              <w:t>18,325.02</w:t>
            </w:r>
          </w:p>
        </w:tc>
        <w:tc>
          <w:tcPr>
            <w:tcW w:w="1644" w:type="dxa"/>
            <w:vAlign w:val="center"/>
          </w:tcPr>
          <w:p w:rsidR="004C411E" w:rsidRDefault="00CD5106">
            <w:pPr>
              <w:jc w:val="right"/>
            </w:pPr>
            <w:r>
              <w:rPr>
                <w:color w:val="000000"/>
                <w:sz w:val="24"/>
                <w:szCs w:val="24"/>
              </w:rPr>
              <w:t>0.31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本基金本报告期末未持有债券。</w:t>
      </w:r>
    </w:p>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11,852.15</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43,143.92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54,996.07</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4D7D22" w:rsidRPr="00414345" w:rsidTr="009C275C">
        <w:trPr>
          <w:jc w:val="center"/>
        </w:trPr>
        <w:tc>
          <w:tcPr>
            <w:tcW w:w="1083" w:type="dxa"/>
            <w:vAlign w:val="center"/>
          </w:tcPr>
          <w:p w:rsidR="004D7D22" w:rsidRPr="00414345" w:rsidRDefault="004D7D22" w:rsidP="009C275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4D7D22" w:rsidRPr="00414345" w:rsidRDefault="004D7D22" w:rsidP="009C275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4D7D22" w:rsidRPr="00414345" w:rsidRDefault="004D7D22" w:rsidP="009C275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4D7D22" w:rsidRPr="00414345" w:rsidRDefault="004D7D22" w:rsidP="009C275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4D7D22" w:rsidRPr="00414345" w:rsidRDefault="004D7D22" w:rsidP="009C275C">
            <w:pPr>
              <w:spacing w:before="29" w:line="288" w:lineRule="auto"/>
              <w:ind w:left="17"/>
              <w:jc w:val="center"/>
              <w:rPr>
                <w:color w:val="000000"/>
                <w:sz w:val="24"/>
                <w:szCs w:val="24"/>
              </w:rPr>
            </w:pPr>
            <w:r w:rsidRPr="00414345">
              <w:rPr>
                <w:color w:val="000000"/>
                <w:sz w:val="24"/>
                <w:szCs w:val="24"/>
              </w:rPr>
              <w:t>占基金资产净值比例</w:t>
            </w:r>
            <w:r w:rsidRPr="00414345">
              <w:rPr>
                <w:color w:val="000000"/>
                <w:sz w:val="24"/>
                <w:szCs w:val="24"/>
              </w:rPr>
              <w:t>(</w:t>
            </w:r>
            <w:r w:rsidRPr="00414345">
              <w:rPr>
                <w:color w:val="000000"/>
                <w:sz w:val="24"/>
                <w:szCs w:val="24"/>
              </w:rPr>
              <w:t>％</w:t>
            </w:r>
            <w:r w:rsidRPr="00414345">
              <w:rPr>
                <w:color w:val="000000"/>
                <w:sz w:val="24"/>
                <w:szCs w:val="24"/>
              </w:rPr>
              <w:t>)</w:t>
            </w:r>
          </w:p>
        </w:tc>
        <w:tc>
          <w:tcPr>
            <w:tcW w:w="1367" w:type="dxa"/>
            <w:vAlign w:val="center"/>
          </w:tcPr>
          <w:p w:rsidR="004D7D22" w:rsidRPr="00414345" w:rsidRDefault="004D7D22" w:rsidP="009C275C">
            <w:pPr>
              <w:spacing w:before="29" w:line="288" w:lineRule="auto"/>
              <w:ind w:left="17"/>
              <w:jc w:val="center"/>
              <w:rPr>
                <w:color w:val="000000"/>
                <w:sz w:val="24"/>
                <w:szCs w:val="24"/>
              </w:rPr>
            </w:pPr>
            <w:r w:rsidRPr="00414345">
              <w:rPr>
                <w:color w:val="000000"/>
                <w:sz w:val="24"/>
                <w:szCs w:val="24"/>
              </w:rPr>
              <w:t>流通受限情况说明</w:t>
            </w:r>
          </w:p>
        </w:tc>
      </w:tr>
      <w:tr w:rsidR="004D7D22" w:rsidTr="009C275C">
        <w:trPr>
          <w:jc w:val="center"/>
        </w:trPr>
        <w:tc>
          <w:tcPr>
            <w:tcW w:w="1129" w:type="dxa"/>
            <w:vAlign w:val="center"/>
          </w:tcPr>
          <w:p w:rsidR="004D7D22" w:rsidRDefault="004D7D22" w:rsidP="009C275C">
            <w:pPr>
              <w:jc w:val="center"/>
            </w:pPr>
            <w:r>
              <w:rPr>
                <w:color w:val="000000"/>
                <w:sz w:val="24"/>
                <w:szCs w:val="24"/>
              </w:rPr>
              <w:t>1</w:t>
            </w:r>
          </w:p>
        </w:tc>
        <w:tc>
          <w:tcPr>
            <w:tcW w:w="1356" w:type="dxa"/>
            <w:vAlign w:val="center"/>
          </w:tcPr>
          <w:p w:rsidR="004D7D22" w:rsidRDefault="004D7D22" w:rsidP="009C275C">
            <w:pPr>
              <w:jc w:val="center"/>
            </w:pPr>
            <w:r>
              <w:rPr>
                <w:color w:val="000000"/>
                <w:sz w:val="24"/>
                <w:szCs w:val="24"/>
              </w:rPr>
              <w:t>603713</w:t>
            </w:r>
          </w:p>
        </w:tc>
        <w:tc>
          <w:tcPr>
            <w:tcW w:w="1355" w:type="dxa"/>
            <w:vAlign w:val="center"/>
          </w:tcPr>
          <w:p w:rsidR="004D7D22" w:rsidRDefault="004D7D22" w:rsidP="009C275C">
            <w:pPr>
              <w:jc w:val="center"/>
            </w:pPr>
            <w:r>
              <w:rPr>
                <w:color w:val="000000"/>
                <w:sz w:val="24"/>
                <w:szCs w:val="24"/>
              </w:rPr>
              <w:t>密尔克卫</w:t>
            </w:r>
          </w:p>
        </w:tc>
        <w:tc>
          <w:tcPr>
            <w:tcW w:w="1880" w:type="dxa"/>
            <w:vAlign w:val="center"/>
          </w:tcPr>
          <w:p w:rsidR="004D7D22" w:rsidRDefault="004D7D22" w:rsidP="009C275C">
            <w:pPr>
              <w:jc w:val="right"/>
            </w:pPr>
            <w:r>
              <w:rPr>
                <w:color w:val="000000"/>
                <w:sz w:val="24"/>
                <w:szCs w:val="24"/>
              </w:rPr>
              <w:t>18,325.02</w:t>
            </w:r>
          </w:p>
        </w:tc>
        <w:tc>
          <w:tcPr>
            <w:tcW w:w="1724" w:type="dxa"/>
            <w:vAlign w:val="center"/>
          </w:tcPr>
          <w:p w:rsidR="004D7D22" w:rsidRDefault="004D7D22" w:rsidP="009C275C">
            <w:pPr>
              <w:jc w:val="right"/>
            </w:pPr>
            <w:r>
              <w:rPr>
                <w:color w:val="000000"/>
                <w:sz w:val="24"/>
                <w:szCs w:val="24"/>
              </w:rPr>
              <w:t>0.31</w:t>
            </w:r>
          </w:p>
        </w:tc>
        <w:tc>
          <w:tcPr>
            <w:tcW w:w="1424" w:type="dxa"/>
            <w:vAlign w:val="center"/>
          </w:tcPr>
          <w:p w:rsidR="004D7D22" w:rsidRDefault="004D7D22" w:rsidP="009C275C">
            <w:pPr>
              <w:jc w:val="right"/>
            </w:pPr>
            <w:r>
              <w:rPr>
                <w:color w:val="000000"/>
                <w:sz w:val="24"/>
                <w:szCs w:val="24"/>
              </w:rPr>
              <w:t>新股未上市</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Default="00CD5106" w:rsidP="00E40D31">
      <w:pPr>
        <w:spacing w:before="29" w:line="288" w:lineRule="auto"/>
        <w:rPr>
          <w:color w:val="000000"/>
          <w:sz w:val="24"/>
          <w:szCs w:val="24"/>
        </w:rPr>
      </w:pPr>
      <w:r>
        <w:rPr>
          <w:rFonts w:hint="eastAsia"/>
          <w:color w:val="000000"/>
          <w:sz w:val="24"/>
          <w:szCs w:val="24"/>
        </w:rPr>
        <w:t>1</w:t>
      </w:r>
      <w:r>
        <w:rPr>
          <w:rFonts w:hint="eastAsia"/>
          <w:color w:val="000000"/>
          <w:sz w:val="24"/>
          <w:szCs w:val="24"/>
        </w:rPr>
        <w:t>、</w:t>
      </w:r>
      <w:r w:rsidR="004061AC" w:rsidRPr="00414345">
        <w:rPr>
          <w:color w:val="000000"/>
          <w:sz w:val="24"/>
          <w:szCs w:val="24"/>
        </w:rPr>
        <w:t>由于四舍五入的原因，分项之和与合计项之间可能存在尾差。</w:t>
      </w:r>
    </w:p>
    <w:p w:rsidR="00CD5106" w:rsidRPr="006E0D2B" w:rsidRDefault="00CD5106" w:rsidP="00CD5106">
      <w:pPr>
        <w:spacing w:before="29" w:line="288" w:lineRule="auto"/>
        <w:rPr>
          <w:rFonts w:eastAsiaTheme="minorEastAsia"/>
          <w:color w:val="000000"/>
          <w:sz w:val="24"/>
        </w:rPr>
      </w:pPr>
      <w:r w:rsidRPr="006E0D2B">
        <w:rPr>
          <w:rFonts w:eastAsiaTheme="minorEastAsia" w:hint="eastAsia"/>
          <w:color w:val="000000"/>
          <w:sz w:val="24"/>
        </w:rPr>
        <w:lastRenderedPageBreak/>
        <w:t>2</w:t>
      </w:r>
      <w:r w:rsidRPr="006E0D2B">
        <w:rPr>
          <w:rFonts w:eastAsiaTheme="minorEastAsia" w:hint="eastAsia"/>
          <w:color w:val="000000"/>
          <w:sz w:val="24"/>
        </w:rPr>
        <w:t>、上述投资组合报告期末是指基金合同最后运作日，即</w:t>
      </w:r>
      <w:r>
        <w:rPr>
          <w:rFonts w:eastAsiaTheme="minorEastAsia"/>
          <w:color w:val="000000"/>
          <w:sz w:val="24"/>
        </w:rPr>
        <w:t>2018</w:t>
      </w:r>
      <w:r w:rsidRPr="006E0D2B">
        <w:rPr>
          <w:rFonts w:eastAsiaTheme="minorEastAsia" w:hint="eastAsia"/>
          <w:color w:val="000000"/>
          <w:sz w:val="24"/>
        </w:rPr>
        <w:t>年</w:t>
      </w:r>
      <w:r>
        <w:rPr>
          <w:rFonts w:eastAsiaTheme="minorEastAsia"/>
          <w:color w:val="000000"/>
          <w:sz w:val="24"/>
        </w:rPr>
        <w:t>7</w:t>
      </w:r>
      <w:r w:rsidRPr="006E0D2B">
        <w:rPr>
          <w:rFonts w:eastAsiaTheme="minorEastAsia" w:hint="eastAsia"/>
          <w:color w:val="000000"/>
          <w:sz w:val="24"/>
        </w:rPr>
        <w:t>月</w:t>
      </w:r>
      <w:r>
        <w:rPr>
          <w:rFonts w:eastAsiaTheme="minorEastAsia"/>
          <w:color w:val="000000"/>
          <w:sz w:val="24"/>
        </w:rPr>
        <w:t>11</w:t>
      </w:r>
      <w:r w:rsidRPr="006E0D2B">
        <w:rPr>
          <w:rFonts w:eastAsiaTheme="minorEastAsia" w:hint="eastAsia"/>
          <w:color w:val="000000"/>
          <w:sz w:val="24"/>
        </w:rPr>
        <w:t>日。</w:t>
      </w:r>
    </w:p>
    <w:p w:rsidR="001F3E2A" w:rsidRDefault="001F3E2A" w:rsidP="00C15CAC">
      <w:pPr>
        <w:spacing w:before="29" w:line="288" w:lineRule="auto"/>
        <w:ind w:firstLineChars="200" w:firstLine="480"/>
        <w:rPr>
          <w:color w:val="000000"/>
          <w:sz w:val="24"/>
          <w:szCs w:val="24"/>
        </w:rPr>
      </w:pPr>
    </w:p>
    <w:p w:rsidR="001F3E2A" w:rsidRPr="00575270" w:rsidRDefault="001F3E2A" w:rsidP="0011537B">
      <w:pPr>
        <w:pStyle w:val="1"/>
        <w:spacing w:beforeLines="100" w:before="312" w:afterLines="100" w:after="312" w:line="360" w:lineRule="auto"/>
        <w:jc w:val="center"/>
        <w:rPr>
          <w:rFonts w:eastAsiaTheme="minorEastAsia"/>
          <w:color w:val="000000" w:themeColor="text1"/>
          <w:kern w:val="0"/>
          <w:sz w:val="24"/>
          <w:szCs w:val="24"/>
        </w:rPr>
      </w:pPr>
      <w:r w:rsidRPr="00575270">
        <w:rPr>
          <w:rFonts w:eastAsiaTheme="minorEastAsia"/>
          <w:color w:val="000000" w:themeColor="text1"/>
          <w:kern w:val="0"/>
          <w:sz w:val="24"/>
          <w:szCs w:val="24"/>
        </w:rPr>
        <w:t>§6</w:t>
      </w:r>
      <w:r w:rsidRPr="00575270">
        <w:rPr>
          <w:rFonts w:eastAsiaTheme="minorEastAsia" w:hint="eastAsia"/>
          <w:color w:val="000000" w:themeColor="text1"/>
          <w:kern w:val="0"/>
          <w:sz w:val="24"/>
          <w:szCs w:val="24"/>
        </w:rPr>
        <w:t xml:space="preserve">  </w:t>
      </w:r>
      <w:r w:rsidRPr="00575270">
        <w:rPr>
          <w:rFonts w:eastAsiaTheme="minorEastAsia" w:hint="eastAsia"/>
          <w:color w:val="000000" w:themeColor="text1"/>
          <w:kern w:val="0"/>
          <w:sz w:val="24"/>
          <w:szCs w:val="24"/>
        </w:rPr>
        <w:t>基金中基金</w:t>
      </w:r>
    </w:p>
    <w:p w:rsidR="001F3E2A" w:rsidRPr="00575270" w:rsidRDefault="001F3E2A" w:rsidP="001F3E2A">
      <w:pPr>
        <w:adjustRightInd w:val="0"/>
        <w:snapToGrid w:val="0"/>
        <w:spacing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6.1</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报告期末按公允价值占基金资产净值比例大小排序的前十名基金投资明细</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本基金本报告期末未持有基金。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6.2</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当期交易及持有基金产生的费用</w:t>
      </w:r>
    </w:p>
    <w:p w:rsidR="001F3E2A" w:rsidRPr="00575270" w:rsidRDefault="001F3E2A" w:rsidP="001F3E2A">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color w:val="000000" w:themeColor="text1"/>
          <w:sz w:val="24"/>
          <w:szCs w:val="24"/>
        </w:rPr>
        <w:t>本基金本报告期内未交易或持有基金。</w:t>
      </w:r>
    </w:p>
    <w:p w:rsidR="001F3E2A" w:rsidRPr="00575270" w:rsidRDefault="001F3E2A" w:rsidP="0011537B">
      <w:pPr>
        <w:adjustRightInd w:val="0"/>
        <w:snapToGrid w:val="0"/>
        <w:spacing w:beforeLines="50" w:before="156" w:line="360" w:lineRule="auto"/>
        <w:rPr>
          <w:rFonts w:eastAsiaTheme="minorEastAsia"/>
          <w:b/>
          <w:color w:val="000000" w:themeColor="text1"/>
          <w:kern w:val="0"/>
          <w:sz w:val="24"/>
          <w:szCs w:val="24"/>
        </w:rPr>
      </w:pPr>
      <w:r w:rsidRPr="00575270">
        <w:rPr>
          <w:rFonts w:eastAsiaTheme="minorEastAsia"/>
          <w:b/>
          <w:color w:val="000000" w:themeColor="text1"/>
          <w:kern w:val="0"/>
          <w:sz w:val="24"/>
          <w:szCs w:val="24"/>
        </w:rPr>
        <w:t>6.3</w:t>
      </w:r>
      <w:r w:rsidRPr="00575270">
        <w:rPr>
          <w:rFonts w:eastAsiaTheme="minorEastAsia" w:hint="eastAsia"/>
          <w:b/>
          <w:color w:val="000000" w:themeColor="text1"/>
          <w:kern w:val="0"/>
          <w:sz w:val="24"/>
          <w:szCs w:val="24"/>
        </w:rPr>
        <w:t xml:space="preserve"> </w:t>
      </w:r>
      <w:r w:rsidRPr="00575270">
        <w:rPr>
          <w:rFonts w:eastAsiaTheme="minorEastAsia" w:hint="eastAsia"/>
          <w:b/>
          <w:color w:val="000000" w:themeColor="text1"/>
          <w:kern w:val="0"/>
          <w:sz w:val="24"/>
          <w:szCs w:val="24"/>
        </w:rPr>
        <w:t>本报告期持有的基金发生的重大影响事件</w:t>
      </w:r>
    </w:p>
    <w:tbl>
      <w:tblPr>
        <w:tblStyle w:val="af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36"/>
      </w:tblGrid>
      <w:tr w:rsidR="001F3E2A" w:rsidRPr="00575270" w:rsidTr="00D9393A">
        <w:tc>
          <w:tcPr>
            <w:tcW w:w="9036" w:type="dxa"/>
          </w:tcPr>
          <w:p w:rsidR="001F3E2A" w:rsidRPr="00575270" w:rsidRDefault="001F3E2A" w:rsidP="00CD14C0">
            <w:pPr>
              <w:autoSpaceDE w:val="0"/>
              <w:autoSpaceDN w:val="0"/>
              <w:adjustRightInd w:val="0"/>
              <w:spacing w:line="360" w:lineRule="auto"/>
              <w:ind w:firstLineChars="200" w:firstLine="480"/>
              <w:jc w:val="left"/>
              <w:rPr>
                <w:rFonts w:eastAsiaTheme="minorEastAsia"/>
                <w:color w:val="000000" w:themeColor="text1"/>
                <w:sz w:val="24"/>
                <w:szCs w:val="24"/>
              </w:rPr>
            </w:pPr>
            <w:r w:rsidRPr="00575270">
              <w:rPr>
                <w:rFonts w:eastAsiaTheme="minorEastAsia" w:hint="eastAsia"/>
                <w:color w:val="000000" w:themeColor="text1"/>
                <w:sz w:val="24"/>
                <w:szCs w:val="24"/>
              </w:rPr>
              <w:t>无。</w:t>
            </w:r>
          </w:p>
        </w:tc>
      </w:tr>
    </w:tbl>
    <w:p w:rsidR="001F3E2A" w:rsidRPr="00414345" w:rsidRDefault="001F3E2A" w:rsidP="00C15CAC">
      <w:pPr>
        <w:spacing w:before="29" w:line="288" w:lineRule="auto"/>
        <w:ind w:firstLineChars="200" w:firstLine="480"/>
        <w:rPr>
          <w:color w:val="000000"/>
          <w:sz w:val="24"/>
          <w:szCs w:val="24"/>
        </w:rPr>
      </w:pPr>
    </w:p>
    <w:p w:rsidR="004061AC" w:rsidRPr="005A3D62" w:rsidRDefault="004061AC" w:rsidP="0011537B">
      <w:pPr>
        <w:pStyle w:val="1"/>
        <w:spacing w:beforeLines="100" w:before="312" w:afterLines="100" w:after="312" w:line="360" w:lineRule="auto"/>
        <w:jc w:val="center"/>
        <w:rPr>
          <w:rFonts w:eastAsiaTheme="minorEastAsia"/>
          <w:color w:val="000000" w:themeColor="text1"/>
          <w:kern w:val="0"/>
          <w:sz w:val="24"/>
          <w:szCs w:val="24"/>
        </w:rPr>
      </w:pPr>
      <w:r w:rsidRPr="005A3D62">
        <w:rPr>
          <w:rFonts w:eastAsiaTheme="minorEastAsia"/>
          <w:color w:val="000000" w:themeColor="text1"/>
          <w:kern w:val="0"/>
          <w:sz w:val="24"/>
          <w:szCs w:val="24"/>
        </w:rPr>
        <w:t>§</w:t>
      </w:r>
      <w:r w:rsidR="0072794E" w:rsidRPr="005A3D62">
        <w:rPr>
          <w:rFonts w:eastAsiaTheme="minorEastAsia"/>
          <w:color w:val="000000" w:themeColor="text1"/>
          <w:kern w:val="0"/>
          <w:sz w:val="24"/>
          <w:szCs w:val="24"/>
        </w:rPr>
        <w:t>7</w:t>
      </w:r>
      <w:r w:rsidRPr="005A3D62">
        <w:rPr>
          <w:rFonts w:eastAsiaTheme="minorEastAsia"/>
          <w:color w:val="000000" w:themeColor="text1"/>
          <w:kern w:val="0"/>
          <w:sz w:val="24"/>
          <w:szCs w:val="24"/>
        </w:rPr>
        <w:t xml:space="preserve">  </w:t>
      </w:r>
      <w:r w:rsidRPr="005A3D62">
        <w:rPr>
          <w:rFonts w:eastAsiaTheme="minorEastAsia"/>
          <w:color w:val="000000" w:themeColor="text1"/>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300,044,117.54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295,000,101.42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5,044,016.12</w:t>
            </w:r>
          </w:p>
        </w:tc>
      </w:tr>
    </w:tbl>
    <w:p w:rsidR="004C411E" w:rsidRDefault="00CD5106">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753917">
      <w:pPr>
        <w:autoSpaceDE w:val="0"/>
        <w:autoSpaceDN w:val="0"/>
        <w:adjustRightInd w:val="0"/>
        <w:spacing w:before="29" w:line="288" w:lineRule="auto"/>
        <w:ind w:firstLineChars="200" w:firstLine="480"/>
        <w:jc w:val="left"/>
        <w:rPr>
          <w:color w:val="000000"/>
          <w:sz w:val="24"/>
          <w:szCs w:val="24"/>
        </w:rPr>
      </w:pPr>
      <w:r w:rsidRPr="00414345">
        <w:rPr>
          <w:color w:val="000000"/>
          <w:sz w:val="24"/>
          <w:szCs w:val="24"/>
        </w:rPr>
        <w:t>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11537B">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8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8.1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8.2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E41C1D" w:rsidRDefault="003C50AD" w:rsidP="0011537B">
      <w:pPr>
        <w:pStyle w:val="1"/>
        <w:spacing w:beforeLines="100" w:before="312" w:afterLines="100" w:after="312" w:line="360" w:lineRule="auto"/>
        <w:jc w:val="center"/>
        <w:rPr>
          <w:rFonts w:eastAsiaTheme="minorEastAsia"/>
          <w:color w:val="000000" w:themeColor="text1"/>
          <w:kern w:val="0"/>
          <w:sz w:val="24"/>
          <w:szCs w:val="24"/>
        </w:rPr>
      </w:pPr>
      <w:r w:rsidRPr="00E41C1D">
        <w:rPr>
          <w:rFonts w:eastAsiaTheme="minorEastAsia"/>
          <w:color w:val="000000" w:themeColor="text1"/>
          <w:kern w:val="0"/>
          <w:sz w:val="24"/>
          <w:szCs w:val="24"/>
        </w:rPr>
        <w:lastRenderedPageBreak/>
        <w:t xml:space="preserve">§9  </w:t>
      </w:r>
      <w:r w:rsidRPr="00E41C1D">
        <w:rPr>
          <w:rFonts w:eastAsiaTheme="minorEastAsia"/>
          <w:color w:val="000000" w:themeColor="text1"/>
          <w:kern w:val="0"/>
          <w:sz w:val="24"/>
          <w:szCs w:val="24"/>
        </w:rPr>
        <w:t>影响投资者决策的其他重要信息</w:t>
      </w:r>
    </w:p>
    <w:p w:rsidR="003C50AD" w:rsidRPr="00753917" w:rsidRDefault="003C50AD" w:rsidP="003C50AD">
      <w:pPr>
        <w:autoSpaceDE w:val="0"/>
        <w:autoSpaceDN w:val="0"/>
        <w:adjustRightInd w:val="0"/>
        <w:spacing w:line="360" w:lineRule="auto"/>
        <w:jc w:val="left"/>
        <w:rPr>
          <w:b/>
          <w:bCs/>
          <w:color w:val="000000"/>
          <w:kern w:val="0"/>
          <w:sz w:val="24"/>
          <w:szCs w:val="24"/>
        </w:rPr>
      </w:pPr>
      <w:r w:rsidRPr="00E41C1D">
        <w:rPr>
          <w:b/>
          <w:bCs/>
          <w:color w:val="000000"/>
          <w:kern w:val="0"/>
          <w:sz w:val="24"/>
          <w:szCs w:val="24"/>
        </w:rPr>
        <w:t>9.</w:t>
      </w:r>
      <w:r w:rsidRPr="00753917">
        <w:rPr>
          <w:b/>
          <w:bCs/>
          <w:color w:val="000000"/>
          <w:kern w:val="0"/>
          <w:sz w:val="24"/>
          <w:szCs w:val="24"/>
        </w:rPr>
        <w:t xml:space="preserve">1 </w:t>
      </w:r>
      <w:r w:rsidRPr="00753917">
        <w:rPr>
          <w:rFonts w:hint="eastAsia"/>
          <w:b/>
          <w:bCs/>
          <w:color w:val="000000"/>
          <w:kern w:val="0"/>
          <w:sz w:val="24"/>
          <w:szCs w:val="24"/>
        </w:rPr>
        <w:t>报告期内单一投资者持有基金份额比例达到或超过</w:t>
      </w:r>
      <w:r w:rsidRPr="00753917">
        <w:rPr>
          <w:b/>
          <w:bCs/>
          <w:color w:val="000000"/>
          <w:kern w:val="0"/>
          <w:sz w:val="24"/>
          <w:szCs w:val="24"/>
        </w:rPr>
        <w:t>20%</w:t>
      </w:r>
      <w:r w:rsidRPr="00753917">
        <w:rPr>
          <w:rFonts w:hint="eastAsia"/>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4F4D27" w:rsidTr="00424D30">
        <w:tc>
          <w:tcPr>
            <w:tcW w:w="993" w:type="dxa"/>
            <w:vMerge w:val="restart"/>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投资者类别</w:t>
            </w:r>
            <w:r w:rsidRPr="004F4D27">
              <w:rPr>
                <w:rFonts w:ascii="宋体" w:hAnsi="宋体"/>
                <w:color w:val="000000"/>
                <w:kern w:val="0"/>
              </w:rPr>
              <w:t xml:space="preserve">  </w:t>
            </w:r>
          </w:p>
        </w:tc>
        <w:tc>
          <w:tcPr>
            <w:tcW w:w="5670" w:type="dxa"/>
            <w:gridSpan w:val="5"/>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报告期内持有基金份额变化情况</w:t>
            </w:r>
          </w:p>
        </w:tc>
        <w:tc>
          <w:tcPr>
            <w:tcW w:w="2549" w:type="dxa"/>
            <w:gridSpan w:val="2"/>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报告期末持有基金情况</w:t>
            </w:r>
          </w:p>
        </w:tc>
      </w:tr>
      <w:tr w:rsidR="003C50AD" w:rsidRPr="004F4D27" w:rsidTr="00424D30">
        <w:tc>
          <w:tcPr>
            <w:tcW w:w="993" w:type="dxa"/>
            <w:vMerge/>
            <w:vAlign w:val="center"/>
          </w:tcPr>
          <w:p w:rsidR="003C50AD" w:rsidRPr="004F4D27" w:rsidRDefault="003C50AD" w:rsidP="00424D30">
            <w:pPr>
              <w:autoSpaceDE w:val="0"/>
              <w:autoSpaceDN w:val="0"/>
              <w:adjustRightInd w:val="0"/>
              <w:jc w:val="center"/>
              <w:rPr>
                <w:rFonts w:ascii="宋体" w:hAnsi="宋体"/>
                <w:b/>
                <w:bCs/>
                <w:color w:val="000000"/>
                <w:kern w:val="0"/>
              </w:rPr>
            </w:pPr>
          </w:p>
        </w:tc>
        <w:tc>
          <w:tcPr>
            <w:tcW w:w="992"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序号</w:t>
            </w:r>
          </w:p>
        </w:tc>
        <w:tc>
          <w:tcPr>
            <w:tcW w:w="1843"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持有基金份额比例达到或者超过20%的时间区间</w:t>
            </w:r>
          </w:p>
        </w:tc>
        <w:tc>
          <w:tcPr>
            <w:tcW w:w="851"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期初份额</w:t>
            </w:r>
          </w:p>
        </w:tc>
        <w:tc>
          <w:tcPr>
            <w:tcW w:w="850"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申购份额</w:t>
            </w:r>
          </w:p>
        </w:tc>
        <w:tc>
          <w:tcPr>
            <w:tcW w:w="1134" w:type="dxa"/>
            <w:vAlign w:val="center"/>
          </w:tcPr>
          <w:p w:rsidR="003C50AD" w:rsidRPr="004F4D27" w:rsidRDefault="003C50AD" w:rsidP="00424D30">
            <w:pPr>
              <w:widowControl/>
              <w:jc w:val="center"/>
              <w:rPr>
                <w:rFonts w:ascii="宋体" w:hAnsi="宋体"/>
                <w:b/>
                <w:bCs/>
                <w:color w:val="000000"/>
                <w:kern w:val="0"/>
              </w:rPr>
            </w:pPr>
            <w:r w:rsidRPr="004F4D27">
              <w:rPr>
                <w:rFonts w:ascii="宋体" w:hAnsi="宋体" w:hint="eastAsia"/>
                <w:color w:val="000000"/>
                <w:kern w:val="0"/>
              </w:rPr>
              <w:t>赎回份额</w:t>
            </w:r>
          </w:p>
        </w:tc>
        <w:tc>
          <w:tcPr>
            <w:tcW w:w="1419"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持有份额</w:t>
            </w:r>
          </w:p>
        </w:tc>
        <w:tc>
          <w:tcPr>
            <w:tcW w:w="1130" w:type="dxa"/>
            <w:vAlign w:val="center"/>
          </w:tcPr>
          <w:p w:rsidR="003C50AD" w:rsidRPr="004F4D27" w:rsidRDefault="003C50AD" w:rsidP="00424D30">
            <w:pPr>
              <w:autoSpaceDE w:val="0"/>
              <w:autoSpaceDN w:val="0"/>
              <w:adjustRightInd w:val="0"/>
              <w:jc w:val="center"/>
              <w:rPr>
                <w:rFonts w:ascii="宋体" w:hAnsi="宋体"/>
                <w:b/>
                <w:bCs/>
                <w:color w:val="000000"/>
                <w:kern w:val="0"/>
              </w:rPr>
            </w:pPr>
            <w:r w:rsidRPr="004F4D27">
              <w:rPr>
                <w:rFonts w:ascii="宋体" w:hAnsi="宋体" w:hint="eastAsia"/>
                <w:color w:val="000000"/>
                <w:kern w:val="0"/>
              </w:rPr>
              <w:t>份额占比</w:t>
            </w:r>
          </w:p>
        </w:tc>
      </w:tr>
      <w:tr w:rsidR="004C411E">
        <w:tc>
          <w:tcPr>
            <w:tcW w:w="993" w:type="dxa"/>
            <w:vMerge w:val="restart"/>
          </w:tcPr>
          <w:p w:rsidR="004C411E" w:rsidRDefault="004C411E"/>
          <w:p w:rsidR="004C411E" w:rsidRDefault="00CD5106">
            <w:r>
              <w:rPr>
                <w:rFonts w:ascii="宋体" w:hAnsi="宋体" w:hint="eastAsia"/>
                <w:bCs/>
                <w:color w:val="000000"/>
                <w:kern w:val="0"/>
              </w:rPr>
              <w:t>机构</w:t>
            </w:r>
          </w:p>
        </w:tc>
        <w:tc>
          <w:tcPr>
            <w:tcW w:w="992" w:type="dxa"/>
            <w:vAlign w:val="center"/>
          </w:tcPr>
          <w:p w:rsidR="004C411E" w:rsidRDefault="00CD5106">
            <w:pPr>
              <w:jc w:val="center"/>
            </w:pPr>
            <w:r>
              <w:rPr>
                <w:rFonts w:ascii="宋体" w:hAnsi="宋体"/>
                <w:color w:val="000000"/>
                <w:kern w:val="0"/>
              </w:rPr>
              <w:t>1</w:t>
            </w:r>
          </w:p>
        </w:tc>
        <w:tc>
          <w:tcPr>
            <w:tcW w:w="1843" w:type="dxa"/>
            <w:vAlign w:val="center"/>
          </w:tcPr>
          <w:p w:rsidR="004C411E" w:rsidRDefault="00CD5106">
            <w:pPr>
              <w:jc w:val="center"/>
            </w:pPr>
            <w:r>
              <w:rPr>
                <w:rFonts w:ascii="宋体" w:hAnsi="宋体"/>
                <w:color w:val="000000"/>
                <w:kern w:val="0"/>
              </w:rPr>
              <w:t>2018/7/1-2018/9/30</w:t>
            </w:r>
          </w:p>
        </w:tc>
        <w:tc>
          <w:tcPr>
            <w:tcW w:w="851" w:type="dxa"/>
            <w:vAlign w:val="center"/>
          </w:tcPr>
          <w:p w:rsidR="004C411E" w:rsidRDefault="00CD5106">
            <w:pPr>
              <w:jc w:val="center"/>
            </w:pPr>
            <w:r>
              <w:rPr>
                <w:rFonts w:ascii="宋体" w:hAnsi="宋体"/>
                <w:color w:val="000000"/>
                <w:kern w:val="0"/>
              </w:rPr>
              <w:t>300,039,500.00</w:t>
            </w:r>
          </w:p>
        </w:tc>
        <w:tc>
          <w:tcPr>
            <w:tcW w:w="850" w:type="dxa"/>
            <w:vAlign w:val="center"/>
          </w:tcPr>
          <w:p w:rsidR="004C411E" w:rsidRDefault="00CD5106">
            <w:pPr>
              <w:jc w:val="center"/>
            </w:pPr>
            <w:r>
              <w:rPr>
                <w:rFonts w:ascii="宋体" w:hAnsi="宋体"/>
                <w:color w:val="000000"/>
                <w:kern w:val="0"/>
              </w:rPr>
              <w:t>-</w:t>
            </w:r>
          </w:p>
        </w:tc>
        <w:tc>
          <w:tcPr>
            <w:tcW w:w="1134" w:type="dxa"/>
            <w:vAlign w:val="center"/>
          </w:tcPr>
          <w:p w:rsidR="004C411E" w:rsidRDefault="00CD5106">
            <w:pPr>
              <w:jc w:val="center"/>
            </w:pPr>
            <w:r>
              <w:rPr>
                <w:rFonts w:ascii="宋体" w:hAnsi="宋体"/>
                <w:color w:val="000000"/>
                <w:kern w:val="0"/>
              </w:rPr>
              <w:t>295,000,000.00</w:t>
            </w:r>
          </w:p>
        </w:tc>
        <w:tc>
          <w:tcPr>
            <w:tcW w:w="1419" w:type="dxa"/>
            <w:vAlign w:val="center"/>
          </w:tcPr>
          <w:p w:rsidR="004C411E" w:rsidRDefault="00CD5106">
            <w:pPr>
              <w:jc w:val="center"/>
            </w:pPr>
            <w:r>
              <w:rPr>
                <w:rFonts w:ascii="宋体" w:hAnsi="宋体"/>
                <w:color w:val="000000"/>
                <w:kern w:val="0"/>
              </w:rPr>
              <w:t>5,039,500.00</w:t>
            </w:r>
          </w:p>
        </w:tc>
        <w:tc>
          <w:tcPr>
            <w:tcW w:w="1130" w:type="dxa"/>
            <w:vAlign w:val="center"/>
          </w:tcPr>
          <w:p w:rsidR="004C411E" w:rsidRDefault="00CD5106">
            <w:pPr>
              <w:jc w:val="center"/>
            </w:pPr>
            <w:r>
              <w:rPr>
                <w:rFonts w:ascii="宋体" w:hAnsi="宋体"/>
                <w:color w:val="000000"/>
                <w:kern w:val="0"/>
              </w:rPr>
              <w:t>99.91%</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center"/>
              <w:rPr>
                <w:rFonts w:ascii="宋体" w:hAnsi="宋体"/>
                <w:kern w:val="0"/>
              </w:rPr>
            </w:pPr>
            <w:r w:rsidRPr="004F4D27">
              <w:rPr>
                <w:rFonts w:ascii="宋体" w:hAnsi="宋体"/>
                <w:color w:val="000000"/>
                <w:kern w:val="0"/>
              </w:rPr>
              <w:t>产品特有风险</w:t>
            </w:r>
          </w:p>
        </w:tc>
      </w:tr>
      <w:tr w:rsidR="003C50AD" w:rsidRPr="004F4D27" w:rsidTr="00424D30">
        <w:tc>
          <w:tcPr>
            <w:tcW w:w="9212" w:type="dxa"/>
            <w:gridSpan w:val="8"/>
            <w:vAlign w:val="center"/>
          </w:tcPr>
          <w:p w:rsidR="003C50AD" w:rsidRPr="004F4D27" w:rsidRDefault="003C50AD" w:rsidP="00424D30">
            <w:pPr>
              <w:autoSpaceDE w:val="0"/>
              <w:autoSpaceDN w:val="0"/>
              <w:adjustRightInd w:val="0"/>
              <w:jc w:val="left"/>
              <w:rPr>
                <w:rFonts w:ascii="宋体" w:hAnsi="宋体"/>
                <w:kern w:val="0"/>
              </w:rPr>
            </w:pPr>
            <w:r w:rsidRPr="004F4D27">
              <w:rPr>
                <w:rFonts w:ascii="宋体" w:hAnsi="宋体" w:hint="eastAsia"/>
                <w:kern w:val="0"/>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897940" w:rsidRDefault="00897940" w:rsidP="003C50AD">
      <w:pPr>
        <w:autoSpaceDE w:val="0"/>
        <w:autoSpaceDN w:val="0"/>
        <w:adjustRightInd w:val="0"/>
        <w:spacing w:line="360" w:lineRule="auto"/>
        <w:jc w:val="left"/>
        <w:rPr>
          <w:rFonts w:ascii="宋体" w:hAnsi="宋体"/>
          <w:b/>
          <w:bCs/>
          <w:color w:val="000000"/>
          <w:kern w:val="0"/>
          <w:sz w:val="24"/>
          <w:szCs w:val="24"/>
        </w:rPr>
      </w:pPr>
    </w:p>
    <w:p w:rsidR="003C50AD" w:rsidRPr="00753917" w:rsidRDefault="003C50AD" w:rsidP="003C50AD">
      <w:pPr>
        <w:autoSpaceDE w:val="0"/>
        <w:autoSpaceDN w:val="0"/>
        <w:adjustRightInd w:val="0"/>
        <w:spacing w:line="360" w:lineRule="auto"/>
        <w:jc w:val="left"/>
        <w:rPr>
          <w:b/>
          <w:bCs/>
          <w:color w:val="000000"/>
          <w:kern w:val="0"/>
          <w:sz w:val="24"/>
          <w:szCs w:val="24"/>
        </w:rPr>
      </w:pPr>
      <w:r w:rsidRPr="00753917">
        <w:rPr>
          <w:b/>
          <w:bCs/>
          <w:color w:val="000000"/>
          <w:kern w:val="0"/>
          <w:sz w:val="24"/>
          <w:szCs w:val="24"/>
        </w:rPr>
        <w:t xml:space="preserve">9.2 </w:t>
      </w:r>
      <w:r w:rsidRPr="00753917">
        <w:rPr>
          <w:rFonts w:hint="eastAsia"/>
          <w:b/>
          <w:bCs/>
          <w:color w:val="000000"/>
          <w:kern w:val="0"/>
          <w:sz w:val="24"/>
          <w:szCs w:val="24"/>
        </w:rPr>
        <w:t>影响投资者决策的其他重要信息</w:t>
      </w:r>
    </w:p>
    <w:p w:rsidR="003C50AD" w:rsidRPr="00753917" w:rsidRDefault="003C50AD" w:rsidP="00753917">
      <w:pPr>
        <w:spacing w:line="360" w:lineRule="auto"/>
        <w:ind w:firstLineChars="200" w:firstLine="480"/>
        <w:rPr>
          <w:color w:val="000000"/>
        </w:rPr>
      </w:pPr>
      <w:r w:rsidRPr="00753917">
        <w:rPr>
          <w:color w:val="000000"/>
          <w:sz w:val="24"/>
          <w:szCs w:val="24"/>
        </w:rPr>
        <w:t>根据基金合同约定，本基金以封闭期和开放期滚动的方式运作，第三个开放期的时间为</w:t>
      </w:r>
      <w:r w:rsidRPr="00753917">
        <w:rPr>
          <w:color w:val="000000"/>
          <w:sz w:val="24"/>
          <w:szCs w:val="24"/>
        </w:rPr>
        <w:t>2018</w:t>
      </w:r>
      <w:r w:rsidRPr="00753917">
        <w:rPr>
          <w:color w:val="000000"/>
          <w:sz w:val="24"/>
          <w:szCs w:val="24"/>
        </w:rPr>
        <w:t>年</w:t>
      </w:r>
      <w:r w:rsidRPr="00753917">
        <w:rPr>
          <w:color w:val="000000"/>
          <w:sz w:val="24"/>
          <w:szCs w:val="24"/>
        </w:rPr>
        <w:t>7</w:t>
      </w:r>
      <w:r w:rsidRPr="00753917">
        <w:rPr>
          <w:color w:val="000000"/>
          <w:sz w:val="24"/>
          <w:szCs w:val="24"/>
        </w:rPr>
        <w:t>月</w:t>
      </w:r>
      <w:r w:rsidRPr="00753917">
        <w:rPr>
          <w:color w:val="000000"/>
          <w:sz w:val="24"/>
          <w:szCs w:val="24"/>
        </w:rPr>
        <w:t>5</w:t>
      </w:r>
      <w:r w:rsidRPr="00753917">
        <w:rPr>
          <w:color w:val="000000"/>
          <w:sz w:val="24"/>
          <w:szCs w:val="24"/>
        </w:rPr>
        <w:t>日至</w:t>
      </w:r>
      <w:r w:rsidRPr="00753917">
        <w:rPr>
          <w:color w:val="000000"/>
          <w:sz w:val="24"/>
          <w:szCs w:val="24"/>
        </w:rPr>
        <w:t>2018</w:t>
      </w:r>
      <w:r w:rsidRPr="00753917">
        <w:rPr>
          <w:color w:val="000000"/>
          <w:sz w:val="24"/>
          <w:szCs w:val="24"/>
        </w:rPr>
        <w:t>年</w:t>
      </w:r>
      <w:r w:rsidRPr="00753917">
        <w:rPr>
          <w:color w:val="000000"/>
          <w:sz w:val="24"/>
          <w:szCs w:val="24"/>
        </w:rPr>
        <w:t>7</w:t>
      </w:r>
      <w:r w:rsidRPr="00753917">
        <w:rPr>
          <w:color w:val="000000"/>
          <w:sz w:val="24"/>
          <w:szCs w:val="24"/>
        </w:rPr>
        <w:t>月</w:t>
      </w:r>
      <w:r w:rsidRPr="00753917">
        <w:rPr>
          <w:color w:val="000000"/>
          <w:sz w:val="24"/>
          <w:szCs w:val="24"/>
        </w:rPr>
        <w:t>11</w:t>
      </w:r>
      <w:r w:rsidRPr="00753917">
        <w:rPr>
          <w:color w:val="000000"/>
          <w:sz w:val="24"/>
          <w:szCs w:val="24"/>
        </w:rPr>
        <w:t>日。</w:t>
      </w:r>
      <w:r w:rsidRPr="00753917">
        <w:rPr>
          <w:color w:val="000000"/>
          <w:sz w:val="24"/>
          <w:szCs w:val="24"/>
        </w:rPr>
        <w:t>2018</w:t>
      </w:r>
      <w:r w:rsidRPr="00753917">
        <w:rPr>
          <w:color w:val="000000"/>
          <w:sz w:val="24"/>
          <w:szCs w:val="24"/>
        </w:rPr>
        <w:t>年</w:t>
      </w:r>
      <w:r w:rsidRPr="00753917">
        <w:rPr>
          <w:color w:val="000000"/>
          <w:sz w:val="24"/>
          <w:szCs w:val="24"/>
        </w:rPr>
        <w:t>7</w:t>
      </w:r>
      <w:r w:rsidRPr="00753917">
        <w:rPr>
          <w:color w:val="000000"/>
          <w:sz w:val="24"/>
          <w:szCs w:val="24"/>
        </w:rPr>
        <w:t>月</w:t>
      </w:r>
      <w:r w:rsidRPr="00753917">
        <w:rPr>
          <w:color w:val="000000"/>
          <w:sz w:val="24"/>
          <w:szCs w:val="24"/>
        </w:rPr>
        <w:t>12</w:t>
      </w:r>
      <w:r w:rsidRPr="00753917">
        <w:rPr>
          <w:color w:val="000000"/>
          <w:sz w:val="24"/>
          <w:szCs w:val="24"/>
        </w:rPr>
        <w:t>日登记机构完成开放期最后一日（即</w:t>
      </w:r>
      <w:r w:rsidRPr="00753917">
        <w:rPr>
          <w:color w:val="000000"/>
          <w:sz w:val="24"/>
          <w:szCs w:val="24"/>
        </w:rPr>
        <w:t>2018</w:t>
      </w:r>
      <w:r w:rsidRPr="00753917">
        <w:rPr>
          <w:color w:val="000000"/>
          <w:sz w:val="24"/>
          <w:szCs w:val="24"/>
        </w:rPr>
        <w:t>年</w:t>
      </w:r>
      <w:r w:rsidRPr="00753917">
        <w:rPr>
          <w:color w:val="000000"/>
          <w:sz w:val="24"/>
          <w:szCs w:val="24"/>
        </w:rPr>
        <w:t>7</w:t>
      </w:r>
      <w:r w:rsidRPr="00753917">
        <w:rPr>
          <w:color w:val="000000"/>
          <w:sz w:val="24"/>
          <w:szCs w:val="24"/>
        </w:rPr>
        <w:t>月</w:t>
      </w:r>
      <w:r w:rsidRPr="00753917">
        <w:rPr>
          <w:color w:val="000000"/>
          <w:sz w:val="24"/>
          <w:szCs w:val="24"/>
        </w:rPr>
        <w:t>11</w:t>
      </w:r>
      <w:r w:rsidRPr="00753917">
        <w:rPr>
          <w:color w:val="000000"/>
          <w:sz w:val="24"/>
          <w:szCs w:val="24"/>
        </w:rPr>
        <w:t>日）申购、赎回业务申请的确认后，本基金已出现触发基金合同终止的情形，自</w:t>
      </w:r>
      <w:r w:rsidRPr="00753917">
        <w:rPr>
          <w:color w:val="000000"/>
          <w:sz w:val="24"/>
          <w:szCs w:val="24"/>
        </w:rPr>
        <w:t>2018</w:t>
      </w:r>
      <w:r w:rsidRPr="00753917">
        <w:rPr>
          <w:color w:val="000000"/>
          <w:sz w:val="24"/>
          <w:szCs w:val="24"/>
        </w:rPr>
        <w:t>年</w:t>
      </w:r>
      <w:r w:rsidRPr="00753917">
        <w:rPr>
          <w:color w:val="000000"/>
          <w:sz w:val="24"/>
          <w:szCs w:val="24"/>
        </w:rPr>
        <w:t>7</w:t>
      </w:r>
      <w:r w:rsidRPr="00753917">
        <w:rPr>
          <w:color w:val="000000"/>
          <w:sz w:val="24"/>
          <w:szCs w:val="24"/>
        </w:rPr>
        <w:t>月</w:t>
      </w:r>
      <w:r w:rsidRPr="00753917">
        <w:rPr>
          <w:color w:val="000000"/>
          <w:sz w:val="24"/>
          <w:szCs w:val="24"/>
        </w:rPr>
        <w:t>12</w:t>
      </w:r>
      <w:r w:rsidRPr="00753917">
        <w:rPr>
          <w:color w:val="000000"/>
          <w:sz w:val="24"/>
          <w:szCs w:val="24"/>
        </w:rPr>
        <w:t>日起，本基金进入清算程序。本基金进入清算程序后不再进入新的封闭期或开放期，投资者无法再提交赎回申请。基金管理人按照本基金基金合同的约定，组织成立基金财产清算小组履行基金财产清算程序，并将及时公告清算结果。截止本报告期末，本基金尚处于清算程序之中。详情请查阅本基金管理人于</w:t>
      </w:r>
      <w:r w:rsidRPr="00753917">
        <w:rPr>
          <w:color w:val="000000"/>
          <w:sz w:val="24"/>
          <w:szCs w:val="24"/>
        </w:rPr>
        <w:t>2018</w:t>
      </w:r>
      <w:r w:rsidRPr="00753917">
        <w:rPr>
          <w:color w:val="000000"/>
          <w:sz w:val="24"/>
          <w:szCs w:val="24"/>
        </w:rPr>
        <w:t>年</w:t>
      </w:r>
      <w:r w:rsidRPr="00753917">
        <w:rPr>
          <w:color w:val="000000"/>
          <w:sz w:val="24"/>
          <w:szCs w:val="24"/>
        </w:rPr>
        <w:t>7</w:t>
      </w:r>
      <w:r w:rsidRPr="00753917">
        <w:rPr>
          <w:color w:val="000000"/>
          <w:sz w:val="24"/>
          <w:szCs w:val="24"/>
        </w:rPr>
        <w:t>月</w:t>
      </w:r>
      <w:r w:rsidRPr="00753917">
        <w:rPr>
          <w:color w:val="000000"/>
          <w:sz w:val="24"/>
          <w:szCs w:val="24"/>
        </w:rPr>
        <w:t>6</w:t>
      </w:r>
      <w:r w:rsidRPr="00753917">
        <w:rPr>
          <w:color w:val="000000"/>
          <w:sz w:val="24"/>
          <w:szCs w:val="24"/>
        </w:rPr>
        <w:t>日发布的《交银施罗德基金管理有限公司关于交银施罗德瑞景定期开放灵活配置混合型证券投资基金可能触发基金合同终止情形的提示性公告》及</w:t>
      </w:r>
      <w:r w:rsidRPr="00753917">
        <w:rPr>
          <w:color w:val="000000"/>
          <w:sz w:val="24"/>
          <w:szCs w:val="24"/>
        </w:rPr>
        <w:t>2018</w:t>
      </w:r>
      <w:r w:rsidRPr="00753917">
        <w:rPr>
          <w:color w:val="000000"/>
          <w:sz w:val="24"/>
          <w:szCs w:val="24"/>
        </w:rPr>
        <w:t>年</w:t>
      </w:r>
      <w:r w:rsidRPr="00753917">
        <w:rPr>
          <w:color w:val="000000"/>
          <w:sz w:val="24"/>
          <w:szCs w:val="24"/>
        </w:rPr>
        <w:t>7</w:t>
      </w:r>
      <w:r w:rsidRPr="00753917">
        <w:rPr>
          <w:color w:val="000000"/>
          <w:sz w:val="24"/>
          <w:szCs w:val="24"/>
        </w:rPr>
        <w:t>月</w:t>
      </w:r>
      <w:r w:rsidRPr="00753917">
        <w:rPr>
          <w:color w:val="000000"/>
          <w:sz w:val="24"/>
          <w:szCs w:val="24"/>
        </w:rPr>
        <w:t>13</w:t>
      </w:r>
      <w:r w:rsidRPr="00753917">
        <w:rPr>
          <w:color w:val="000000"/>
          <w:sz w:val="24"/>
          <w:szCs w:val="24"/>
        </w:rPr>
        <w:t>日发布的《交银施罗德基金管理有限公司关于交银施罗德瑞景定期开放灵活配置混合型证券投资基金基金合同触发终止情形及进入基金财产清算程序的公告》。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11537B">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10</w:t>
      </w:r>
      <w:r w:rsidR="00834E74">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4C411E" w:rsidRDefault="00CD5106">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、中国证监会准予交银施罗德瑞景定期开放灵活配置混合型证券投资基金募集注册的文件；</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、《交银施罗德瑞景定期开放灵活配置混合型证券投资基金基金合同》；</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lastRenderedPageBreak/>
        <w:t>3</w:t>
      </w:r>
      <w:r>
        <w:rPr>
          <w:color w:val="000000"/>
          <w:sz w:val="24"/>
          <w:szCs w:val="24"/>
        </w:rPr>
        <w:t>、《交银施罗德瑞景定期开放灵活配置混合型证券投资基金招募说明书》；</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、《交银施罗德瑞景定期开放灵活配置混合型证券投资基金托管协议》；</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、关于申请募集注册交银施罗德瑞景定期开放灵活配置混合型证券投资基金的法律意见书；</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4C411E" w:rsidRDefault="00CD5106">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、报告期内交银施罗德瑞景定期开放灵活配置混合型证券投资基金在指定报刊上各项公告的原稿。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10</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4C411E" w:rsidRDefault="00CD5106">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126F" w:rsidRDefault="002E126F" w:rsidP="00876D65">
      <w:r>
        <w:separator/>
      </w:r>
    </w:p>
  </w:endnote>
  <w:endnote w:type="continuationSeparator" w:id="0">
    <w:p w:rsidR="002E126F" w:rsidRDefault="002E126F"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753917">
      <w:rPr>
        <w:noProof/>
        <w:kern w:val="0"/>
        <w:szCs w:val="21"/>
      </w:rPr>
      <w:t>4</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753917">
      <w:rPr>
        <w:noProof/>
        <w:kern w:val="0"/>
        <w:szCs w:val="21"/>
      </w:rPr>
      <w:t>13</w:t>
    </w:r>
    <w:r w:rsidR="00381EE8">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126F" w:rsidRDefault="002E126F" w:rsidP="00876D65">
      <w:r>
        <w:separator/>
      </w:r>
    </w:p>
  </w:footnote>
  <w:footnote w:type="continuationSeparator" w:id="0">
    <w:p w:rsidR="002E126F" w:rsidRDefault="002E126F"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DC456F" w:rsidRDefault="00DC456F" w:rsidP="00090A26">
    <w:pPr>
      <w:pStyle w:val="a9"/>
      <w:pBdr>
        <w:bottom w:val="single" w:sz="6" w:space="0" w:color="auto"/>
      </w:pBdr>
      <w:jc w:val="right"/>
      <w:rPr>
        <w:sz w:val="24"/>
        <w:szCs w:val="24"/>
      </w:rPr>
    </w:pPr>
    <w:r w:rsidRPr="003E676C">
      <w:rPr>
        <w:sz w:val="24"/>
        <w:szCs w:val="24"/>
      </w:rPr>
      <w:t>交银施罗德瑞景定期开放灵活配置混合型证券投资基金</w:t>
    </w:r>
    <w:r w:rsidRPr="003E676C">
      <w:rPr>
        <w:sz w:val="24"/>
        <w:szCs w:val="24"/>
      </w:rPr>
      <w:t>2018</w:t>
    </w:r>
    <w:r w:rsidRPr="003E676C">
      <w:rPr>
        <w:sz w:val="24"/>
        <w:szCs w:val="24"/>
      </w:rPr>
      <w:t>年第</w:t>
    </w:r>
    <w:r w:rsidRPr="003E676C">
      <w:rPr>
        <w:sz w:val="24"/>
        <w:szCs w:val="24"/>
      </w:rPr>
      <w:t>3</w:t>
    </w:r>
    <w:r w:rsidRPr="003E676C">
      <w:rPr>
        <w:sz w:val="24"/>
        <w:szCs w:val="24"/>
      </w:rPr>
      <w:t>季度报告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126F"/>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81EE8"/>
    <w:rsid w:val="0039085F"/>
    <w:rsid w:val="00394069"/>
    <w:rsid w:val="00396809"/>
    <w:rsid w:val="003A58DC"/>
    <w:rsid w:val="003A6061"/>
    <w:rsid w:val="003B3494"/>
    <w:rsid w:val="003B5E08"/>
    <w:rsid w:val="003B6FBC"/>
    <w:rsid w:val="003C32C0"/>
    <w:rsid w:val="003C50AD"/>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B2AF4"/>
    <w:rsid w:val="004C0914"/>
    <w:rsid w:val="004C411E"/>
    <w:rsid w:val="004C702F"/>
    <w:rsid w:val="004D340C"/>
    <w:rsid w:val="004D495A"/>
    <w:rsid w:val="004D7D22"/>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9FA"/>
    <w:rsid w:val="005B2E9C"/>
    <w:rsid w:val="005B3CC0"/>
    <w:rsid w:val="005B4F93"/>
    <w:rsid w:val="005B73D2"/>
    <w:rsid w:val="005D2B36"/>
    <w:rsid w:val="005D2DCD"/>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3917"/>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B5F21"/>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97940"/>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395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106"/>
    <w:rsid w:val="00CD5707"/>
    <w:rsid w:val="00CD7702"/>
    <w:rsid w:val="00CE29EA"/>
    <w:rsid w:val="00CE473F"/>
    <w:rsid w:val="00CF04CF"/>
    <w:rsid w:val="00CF2D3E"/>
    <w:rsid w:val="00CF6572"/>
    <w:rsid w:val="00D01FE6"/>
    <w:rsid w:val="00D02347"/>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E27F7"/>
    <w:rsid w:val="00DE4B43"/>
    <w:rsid w:val="00E02660"/>
    <w:rsid w:val="00E04BE1"/>
    <w:rsid w:val="00E12DBF"/>
    <w:rsid w:val="00E20C3C"/>
    <w:rsid w:val="00E215BA"/>
    <w:rsid w:val="00E36549"/>
    <w:rsid w:val="00E40D31"/>
    <w:rsid w:val="00E41260"/>
    <w:rsid w:val="00E41C1D"/>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1BDC"/>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E207E2D-90E0-4D54-BE1F-3630C830E8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D32F-F696-4CCD-8338-B24DB5A0E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1816</TotalTime>
  <Pages>1</Pages>
  <Words>1093</Words>
  <Characters>6234</Characters>
  <Application>Microsoft Office Word</Application>
  <DocSecurity>0</DocSecurity>
  <Lines>51</Lines>
  <Paragraphs>14</Paragraphs>
  <ScaleCrop>false</ScaleCrop>
  <Company/>
  <LinksUpToDate>false</LinksUpToDate>
  <CharactersWithSpaces>7313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585</cp:revision>
  <dcterms:created xsi:type="dcterms:W3CDTF">2012-10-16T06:07:00Z</dcterms:created>
  <dcterms:modified xsi:type="dcterms:W3CDTF">2018-10-22T08:12:00Z</dcterms:modified>
</cp:coreProperties>
</file>