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交银施罗德裕盈纯债债券型证券投资基金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2018</w:t>
      </w:r>
      <w:r w:rsidRPr="005858C2">
        <w:rPr>
          <w:rFonts w:eastAsiaTheme="minorEastAsia"/>
          <w:b/>
          <w:sz w:val="36"/>
          <w:szCs w:val="36"/>
        </w:rPr>
        <w:t>年第</w:t>
      </w:r>
      <w:r w:rsidRPr="005858C2">
        <w:rPr>
          <w:rFonts w:eastAsiaTheme="minorEastAsia"/>
          <w:b/>
          <w:sz w:val="36"/>
          <w:szCs w:val="36"/>
        </w:rPr>
        <w:t>3</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2018</w:t>
      </w:r>
      <w:r w:rsidRPr="005858C2">
        <w:rPr>
          <w:b/>
          <w:sz w:val="36"/>
          <w:szCs w:val="36"/>
        </w:rPr>
        <w:t>年</w:t>
      </w:r>
      <w:r w:rsidRPr="005858C2">
        <w:rPr>
          <w:b/>
          <w:sz w:val="36"/>
          <w:szCs w:val="36"/>
        </w:rPr>
        <w:t>9</w:t>
      </w:r>
      <w:r w:rsidRPr="005858C2">
        <w:rPr>
          <w:b/>
          <w:sz w:val="36"/>
          <w:szCs w:val="36"/>
        </w:rPr>
        <w:t>月</w:t>
      </w:r>
      <w:r w:rsidRPr="005858C2">
        <w:rPr>
          <w:b/>
          <w:sz w:val="36"/>
          <w:szCs w:val="36"/>
        </w:rPr>
        <w:t>30</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兴业银行股份有限公司</w:t>
      </w:r>
    </w:p>
    <w:p w:rsidR="009A2283" w:rsidRPr="005858C2" w:rsidRDefault="009A2283" w:rsidP="007C14DF">
      <w:pPr>
        <w:spacing w:before="29" w:line="288" w:lineRule="auto"/>
        <w:ind w:firstLineChars="900" w:firstLine="2168"/>
        <w:rPr>
          <w:b/>
          <w:sz w:val="24"/>
        </w:rPr>
        <w:sectPr w:rsidR="009A2283" w:rsidRPr="005858C2" w:rsidSect="00D3445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5858C2">
        <w:rPr>
          <w:b/>
          <w:color w:val="000000"/>
          <w:sz w:val="24"/>
        </w:rPr>
        <w:t>报告送出日期：</w:t>
      </w:r>
      <w:r w:rsidR="00D04410" w:rsidRPr="005858C2">
        <w:rPr>
          <w:b/>
          <w:color w:val="000000"/>
          <w:sz w:val="24"/>
        </w:rPr>
        <w:t>二〇一八年十月二十六日</w:t>
      </w:r>
    </w:p>
    <w:p w:rsidR="009238DB" w:rsidRPr="007F52FA" w:rsidRDefault="009238DB" w:rsidP="000A2988">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0C4E5D" w:rsidRDefault="00683E2A">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0C4E5D" w:rsidRDefault="00683E2A">
      <w:pPr>
        <w:spacing w:before="29" w:line="288" w:lineRule="auto"/>
        <w:ind w:firstLineChars="200" w:firstLine="480"/>
        <w:rPr>
          <w:rFonts w:eastAsiaTheme="minorEastAsia"/>
          <w:color w:val="000000"/>
          <w:sz w:val="24"/>
        </w:rPr>
      </w:pPr>
      <w:r>
        <w:rPr>
          <w:rFonts w:eastAsiaTheme="minorEastAsia"/>
          <w:color w:val="000000"/>
          <w:sz w:val="24"/>
        </w:rPr>
        <w:t>基金托管人兴业银行股份有限公司根据本基金合同规定，于</w:t>
      </w:r>
      <w:r>
        <w:rPr>
          <w:rFonts w:eastAsiaTheme="minorEastAsia"/>
          <w:color w:val="000000"/>
          <w:sz w:val="24"/>
        </w:rPr>
        <w:t>2018</w:t>
      </w:r>
      <w:r>
        <w:rPr>
          <w:rFonts w:eastAsiaTheme="minorEastAsia"/>
          <w:color w:val="000000"/>
          <w:sz w:val="24"/>
        </w:rPr>
        <w:t>年</w:t>
      </w:r>
      <w:r>
        <w:rPr>
          <w:rFonts w:eastAsiaTheme="minorEastAsia"/>
          <w:color w:val="000000"/>
          <w:sz w:val="24"/>
        </w:rPr>
        <w:t>10</w:t>
      </w:r>
      <w:r>
        <w:rPr>
          <w:rFonts w:eastAsiaTheme="minorEastAsia"/>
          <w:color w:val="000000"/>
          <w:sz w:val="24"/>
        </w:rPr>
        <w:t>月</w:t>
      </w:r>
      <w:r>
        <w:rPr>
          <w:rFonts w:eastAsiaTheme="minorEastAsia"/>
          <w:color w:val="000000"/>
          <w:sz w:val="24"/>
        </w:rPr>
        <w:t>25</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0C4E5D" w:rsidRDefault="00683E2A">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0C4E5D" w:rsidRDefault="00683E2A">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0C4E5D" w:rsidRDefault="00683E2A">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2018</w:t>
      </w:r>
      <w:r w:rsidRPr="007F52FA">
        <w:rPr>
          <w:rFonts w:eastAsiaTheme="minorEastAsia"/>
          <w:color w:val="000000"/>
          <w:sz w:val="24"/>
        </w:rPr>
        <w:t>年</w:t>
      </w:r>
      <w:r w:rsidRPr="007F52FA">
        <w:rPr>
          <w:rFonts w:eastAsiaTheme="minorEastAsia"/>
          <w:color w:val="000000"/>
          <w:sz w:val="24"/>
        </w:rPr>
        <w:t>7</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9</w:t>
      </w:r>
      <w:r w:rsidRPr="007F52FA">
        <w:rPr>
          <w:rFonts w:eastAsiaTheme="minorEastAsia"/>
          <w:color w:val="000000"/>
          <w:sz w:val="24"/>
        </w:rPr>
        <w:t>月</w:t>
      </w:r>
      <w:r w:rsidRPr="007F52FA">
        <w:rPr>
          <w:rFonts w:eastAsiaTheme="minorEastAsia"/>
          <w:color w:val="000000"/>
          <w:sz w:val="24"/>
        </w:rPr>
        <w:t>30</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0A2988">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交银裕盈纯债债券</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519776</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2016</w:t>
            </w:r>
            <w:r w:rsidRPr="007F52FA">
              <w:rPr>
                <w:color w:val="000000"/>
                <w:kern w:val="0"/>
                <w:sz w:val="24"/>
              </w:rPr>
              <w:t>年</w:t>
            </w:r>
            <w:r w:rsidRPr="007F52FA">
              <w:rPr>
                <w:color w:val="000000"/>
                <w:kern w:val="0"/>
                <w:sz w:val="24"/>
              </w:rPr>
              <w:t>11</w:t>
            </w:r>
            <w:r w:rsidRPr="007F52FA">
              <w:rPr>
                <w:color w:val="000000"/>
                <w:kern w:val="0"/>
                <w:sz w:val="24"/>
              </w:rPr>
              <w:t>月</w:t>
            </w:r>
            <w:r w:rsidRPr="007F52FA">
              <w:rPr>
                <w:color w:val="000000"/>
                <w:kern w:val="0"/>
                <w:sz w:val="24"/>
              </w:rPr>
              <w:t>4</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1,002,777,987.35</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本基金在严格控制风险和保持资产流动性的基础上，通过积极主动的投资管理，追求基金资产的长期稳健增值，力争实现超越业绩比较基准的投资回报。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基金管理人的研究优势，对宏观经济运行趋势、财政以及货币政策变化趋势作出分析和判断，对未来市场利率趋势及市场信用环境变化作出预测，动态调整大类金融资产比例，自上而下决定债券组合久期、期限结构、债券类别配置策略，在严谨深入的分析基础上，综合考虑不同债券品种的收益率水平、供求关系、信用风险的大小和流动性的好坏等影响因素，深入挖掘价值被低估的标的券种。</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中债综合全价指数</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本基金是一只债券型基金，其风险与预期收益高于货币</w:t>
            </w:r>
            <w:r w:rsidRPr="007F52FA">
              <w:rPr>
                <w:color w:val="000000"/>
                <w:kern w:val="0"/>
                <w:sz w:val="24"/>
              </w:rPr>
              <w:lastRenderedPageBreak/>
              <w:t>市场基金，低于混合型基金和股票型基金，属于证券投资基金中中等风险的品种。</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兴业银行股份有限公司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交银裕盈纯债债券</w:t>
            </w:r>
            <w:r w:rsidRPr="007F52FA">
              <w:rPr>
                <w:sz w:val="24"/>
              </w:rPr>
              <w:t>A</w:t>
            </w:r>
          </w:p>
        </w:tc>
        <w:tc>
          <w:tcPr>
            <w:tcW w:w="3048" w:type="dxa"/>
            <w:vAlign w:val="center"/>
          </w:tcPr>
          <w:p w:rsidR="008532F3" w:rsidRPr="007F52FA" w:rsidRDefault="008532F3" w:rsidP="007C14DF">
            <w:pPr>
              <w:spacing w:before="29" w:line="288" w:lineRule="auto"/>
              <w:jc w:val="left"/>
              <w:rPr>
                <w:sz w:val="24"/>
              </w:rPr>
            </w:pPr>
            <w:r w:rsidRPr="007F52FA">
              <w:rPr>
                <w:sz w:val="24"/>
              </w:rPr>
              <w:t>交银裕盈纯债债券</w:t>
            </w:r>
            <w:r w:rsidRPr="007F52FA">
              <w:rPr>
                <w:sz w:val="24"/>
              </w:rPr>
              <w:t>C</w:t>
            </w:r>
          </w:p>
        </w:tc>
      </w:tr>
      <w:tr w:rsidR="00C23B30" w:rsidRPr="007F52FA" w:rsidTr="009416C9">
        <w:trPr>
          <w:jc w:val="center"/>
        </w:trPr>
        <w:tc>
          <w:tcPr>
            <w:tcW w:w="3023" w:type="dxa"/>
            <w:vAlign w:val="center"/>
          </w:tcPr>
          <w:p w:rsidR="00C23B30" w:rsidRDefault="007C3DC6" w:rsidP="007C14DF">
            <w:pPr>
              <w:adjustRightInd w:val="0"/>
              <w:spacing w:before="29" w:line="288" w:lineRule="auto"/>
              <w:ind w:left="17"/>
              <w:jc w:val="left"/>
              <w:rPr>
                <w:color w:val="000000"/>
                <w:sz w:val="24"/>
              </w:rPr>
            </w:pPr>
            <w:r w:rsidRPr="007F52FA">
              <w:rPr>
                <w:color w:val="000000"/>
                <w:sz w:val="24"/>
              </w:rPr>
              <w:t>下属两级基金的交易代码</w:t>
            </w:r>
          </w:p>
          <w:p w:rsidR="00C01EF2" w:rsidRPr="007F52FA" w:rsidRDefault="00C01EF2" w:rsidP="00C01EF2">
            <w:pPr>
              <w:adjustRightInd w:val="0"/>
              <w:spacing w:before="29" w:line="288" w:lineRule="auto"/>
              <w:ind w:left="17"/>
              <w:jc w:val="left"/>
              <w:rPr>
                <w:color w:val="000000"/>
                <w:sz w:val="24"/>
              </w:rPr>
            </w:pPr>
          </w:p>
        </w:tc>
        <w:tc>
          <w:tcPr>
            <w:tcW w:w="2922" w:type="dxa"/>
            <w:vAlign w:val="center"/>
          </w:tcPr>
          <w:p w:rsidR="00C23B30" w:rsidRPr="000E4C40" w:rsidRDefault="00C23B30" w:rsidP="007F50FB">
            <w:pPr>
              <w:spacing w:before="29" w:line="288" w:lineRule="auto"/>
              <w:jc w:val="left"/>
              <w:rPr>
                <w:sz w:val="24"/>
              </w:rPr>
            </w:pPr>
            <w:r w:rsidRPr="000E4C40">
              <w:rPr>
                <w:sz w:val="24"/>
              </w:rPr>
              <w:t>519776</w:t>
            </w:r>
          </w:p>
        </w:tc>
        <w:tc>
          <w:tcPr>
            <w:tcW w:w="3048" w:type="dxa"/>
            <w:vAlign w:val="center"/>
          </w:tcPr>
          <w:p w:rsidR="00C23B30" w:rsidRPr="000E4C40" w:rsidRDefault="00C23B30" w:rsidP="00A52A9E">
            <w:pPr>
              <w:spacing w:before="29" w:line="288" w:lineRule="auto"/>
              <w:jc w:val="left"/>
              <w:rPr>
                <w:sz w:val="24"/>
              </w:rPr>
            </w:pPr>
            <w:r w:rsidRPr="000E4C40">
              <w:rPr>
                <w:sz w:val="24"/>
              </w:rPr>
              <w:t>519777</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1,000,233,467.32</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2,544,520.03</w:t>
            </w:r>
            <w:r w:rsidRPr="007F52FA">
              <w:rPr>
                <w:color w:val="000000"/>
                <w:kern w:val="0"/>
                <w:sz w:val="24"/>
              </w:rPr>
              <w:t>份</w:t>
            </w:r>
          </w:p>
        </w:tc>
      </w:tr>
    </w:tbl>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0A2988">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BF5A58" w:rsidRPr="00414345" w:rsidRDefault="00BF5A58" w:rsidP="00BF5A58">
            <w:pPr>
              <w:adjustRightInd w:val="0"/>
              <w:spacing w:before="29" w:line="288" w:lineRule="auto"/>
              <w:ind w:left="17"/>
              <w:jc w:val="center"/>
              <w:rPr>
                <w:color w:val="000000"/>
                <w:sz w:val="24"/>
              </w:rPr>
            </w:pPr>
            <w:r w:rsidRPr="00414345">
              <w:rPr>
                <w:color w:val="000000"/>
                <w:sz w:val="24"/>
              </w:rPr>
              <w:t>报告期</w:t>
            </w:r>
          </w:p>
          <w:p w:rsidR="009E549D" w:rsidRPr="007F52FA" w:rsidRDefault="00BF5A58" w:rsidP="00BF5A58">
            <w:pPr>
              <w:adjustRightInd w:val="0"/>
              <w:spacing w:before="29" w:line="288" w:lineRule="auto"/>
              <w:ind w:left="17"/>
              <w:jc w:val="center"/>
              <w:rPr>
                <w:color w:val="000000"/>
                <w:sz w:val="24"/>
              </w:rPr>
            </w:pPr>
            <w:r w:rsidRPr="00414345">
              <w:rPr>
                <w:color w:val="000000"/>
                <w:sz w:val="24"/>
              </w:rPr>
              <w:t>(2018</w:t>
            </w:r>
            <w:r w:rsidRPr="00414345">
              <w:rPr>
                <w:color w:val="000000"/>
                <w:sz w:val="24"/>
              </w:rPr>
              <w:t>年</w:t>
            </w:r>
            <w:r w:rsidRPr="00414345">
              <w:rPr>
                <w:color w:val="000000"/>
                <w:sz w:val="24"/>
              </w:rPr>
              <w:t>7</w:t>
            </w:r>
            <w:r w:rsidRPr="00414345">
              <w:rPr>
                <w:color w:val="000000"/>
                <w:sz w:val="24"/>
              </w:rPr>
              <w:t>月</w:t>
            </w:r>
            <w:r w:rsidRPr="00414345">
              <w:rPr>
                <w:color w:val="000000"/>
                <w:sz w:val="24"/>
              </w:rPr>
              <w:t>1</w:t>
            </w:r>
            <w:r w:rsidRPr="00414345">
              <w:rPr>
                <w:color w:val="000000"/>
                <w:sz w:val="24"/>
              </w:rPr>
              <w:t>日</w:t>
            </w:r>
            <w:r w:rsidRPr="00414345">
              <w:rPr>
                <w:color w:val="000000"/>
                <w:sz w:val="24"/>
              </w:rPr>
              <w:t>-2018</w:t>
            </w:r>
            <w:r w:rsidRPr="00414345">
              <w:rPr>
                <w:color w:val="000000"/>
                <w:sz w:val="24"/>
              </w:rPr>
              <w:t>年</w:t>
            </w:r>
            <w:r w:rsidRPr="00414345">
              <w:rPr>
                <w:color w:val="000000"/>
                <w:sz w:val="24"/>
              </w:rPr>
              <w:t>9</w:t>
            </w:r>
            <w:r w:rsidRPr="00414345">
              <w:rPr>
                <w:color w:val="000000"/>
                <w:sz w:val="24"/>
              </w:rPr>
              <w:t>月</w:t>
            </w:r>
            <w:r w:rsidRPr="00414345">
              <w:rPr>
                <w:color w:val="000000"/>
                <w:sz w:val="24"/>
              </w:rPr>
              <w:t>30</w:t>
            </w:r>
            <w:r w:rsidRPr="00414345">
              <w:rPr>
                <w:color w:val="000000"/>
                <w:sz w:val="24"/>
              </w:rPr>
              <w:t>日</w:t>
            </w:r>
            <w:r w:rsidRPr="00414345">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交银裕盈纯债债券</w:t>
            </w:r>
            <w:r w:rsidRPr="007F52FA">
              <w:rPr>
                <w:sz w:val="24"/>
              </w:rPr>
              <w:t>A</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交银裕盈纯债债券</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11,622,310.57</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23,662.38</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24,885,840.89</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18,671.65</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0.0249</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0.0085</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1,081,844,152.69</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2,766,927.47</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1.082</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1.087</w:t>
            </w:r>
          </w:p>
        </w:tc>
      </w:tr>
    </w:tbl>
    <w:p w:rsidR="000C4E5D" w:rsidRDefault="00683E2A">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、上述基金业绩指标不包括持有人认购或交易基金的各项费用，计入费用后的实际收益水平要低于所列数字；</w:t>
      </w:r>
      <w:r>
        <w:rPr>
          <w:rFonts w:eastAsiaTheme="minorEastAsia"/>
          <w:color w:val="000000"/>
          <w:sz w:val="24"/>
        </w:rPr>
        <w:t xml:space="preserve"> </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7F52FA">
          <w:rPr>
            <w:b/>
            <w:color w:val="000000"/>
            <w:kern w:val="0"/>
            <w:sz w:val="24"/>
          </w:rPr>
          <w:t>3.2.1</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交银裕盈纯债债券</w:t>
      </w:r>
      <w:r w:rsidR="00A5643A" w:rsidRPr="007F52FA">
        <w:rPr>
          <w:b/>
          <w:color w:val="000000"/>
          <w:kern w:val="0"/>
          <w:sz w:val="24"/>
        </w:rPr>
        <w:t>A</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0C4E5D">
        <w:trPr>
          <w:jc w:val="center"/>
        </w:trPr>
        <w:tc>
          <w:tcPr>
            <w:tcW w:w="1266" w:type="dxa"/>
            <w:vAlign w:val="center"/>
          </w:tcPr>
          <w:p w:rsidR="000C4E5D" w:rsidRDefault="00683E2A">
            <w:pPr>
              <w:jc w:val="left"/>
            </w:pPr>
            <w:r>
              <w:rPr>
                <w:color w:val="000000"/>
                <w:sz w:val="24"/>
              </w:rPr>
              <w:lastRenderedPageBreak/>
              <w:t>过去三个月</w:t>
            </w:r>
          </w:p>
        </w:tc>
        <w:tc>
          <w:tcPr>
            <w:tcW w:w="1267" w:type="dxa"/>
            <w:vAlign w:val="center"/>
          </w:tcPr>
          <w:p w:rsidR="000C4E5D" w:rsidRDefault="00683E2A">
            <w:pPr>
              <w:jc w:val="center"/>
            </w:pPr>
            <w:r>
              <w:rPr>
                <w:color w:val="000000"/>
                <w:sz w:val="24"/>
              </w:rPr>
              <w:t>2.37%</w:t>
            </w:r>
          </w:p>
        </w:tc>
        <w:tc>
          <w:tcPr>
            <w:tcW w:w="1267" w:type="dxa"/>
            <w:vAlign w:val="center"/>
          </w:tcPr>
          <w:p w:rsidR="000C4E5D" w:rsidRDefault="00683E2A">
            <w:pPr>
              <w:jc w:val="center"/>
            </w:pPr>
            <w:r>
              <w:rPr>
                <w:color w:val="000000"/>
                <w:sz w:val="24"/>
              </w:rPr>
              <w:t>0.07%</w:t>
            </w:r>
          </w:p>
        </w:tc>
        <w:tc>
          <w:tcPr>
            <w:tcW w:w="1267" w:type="dxa"/>
            <w:vAlign w:val="center"/>
          </w:tcPr>
          <w:p w:rsidR="000C4E5D" w:rsidRDefault="00683E2A">
            <w:pPr>
              <w:jc w:val="center"/>
            </w:pPr>
            <w:r>
              <w:rPr>
                <w:color w:val="000000"/>
                <w:sz w:val="24"/>
              </w:rPr>
              <w:t>0.57%</w:t>
            </w:r>
          </w:p>
        </w:tc>
        <w:tc>
          <w:tcPr>
            <w:tcW w:w="1267" w:type="dxa"/>
            <w:vAlign w:val="center"/>
          </w:tcPr>
          <w:p w:rsidR="000C4E5D" w:rsidRDefault="00683E2A">
            <w:pPr>
              <w:jc w:val="center"/>
            </w:pPr>
            <w:r>
              <w:rPr>
                <w:color w:val="000000"/>
                <w:sz w:val="24"/>
              </w:rPr>
              <w:t>0.07</w:t>
            </w:r>
            <w:r>
              <w:rPr>
                <w:color w:val="000000"/>
                <w:sz w:val="24"/>
              </w:rPr>
              <w:t>%</w:t>
            </w:r>
          </w:p>
        </w:tc>
        <w:tc>
          <w:tcPr>
            <w:tcW w:w="1267" w:type="dxa"/>
            <w:vAlign w:val="center"/>
          </w:tcPr>
          <w:p w:rsidR="000C4E5D" w:rsidRDefault="00683E2A">
            <w:pPr>
              <w:jc w:val="center"/>
            </w:pPr>
            <w:r>
              <w:rPr>
                <w:color w:val="000000"/>
                <w:sz w:val="24"/>
              </w:rPr>
              <w:t>1.80%</w:t>
            </w:r>
          </w:p>
        </w:tc>
        <w:tc>
          <w:tcPr>
            <w:tcW w:w="1267" w:type="dxa"/>
            <w:vAlign w:val="center"/>
          </w:tcPr>
          <w:p w:rsidR="000C4E5D" w:rsidRDefault="00683E2A">
            <w:pPr>
              <w:jc w:val="center"/>
            </w:pPr>
            <w:r>
              <w:rPr>
                <w:color w:val="000000"/>
                <w:sz w:val="24"/>
              </w:rPr>
              <w:t>0.00</w:t>
            </w:r>
            <w:r>
              <w:rPr>
                <w:color w:val="000000"/>
                <w:sz w:val="24"/>
              </w:rPr>
              <w:t>%</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交银裕盈纯债债券</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0C4E5D">
        <w:trPr>
          <w:jc w:val="center"/>
        </w:trPr>
        <w:tc>
          <w:tcPr>
            <w:tcW w:w="1266" w:type="dxa"/>
            <w:vAlign w:val="center"/>
          </w:tcPr>
          <w:p w:rsidR="000C4E5D" w:rsidRDefault="00683E2A">
            <w:pPr>
              <w:jc w:val="left"/>
            </w:pPr>
            <w:r>
              <w:rPr>
                <w:color w:val="000000"/>
                <w:sz w:val="24"/>
              </w:rPr>
              <w:t>过去三个月</w:t>
            </w:r>
          </w:p>
        </w:tc>
        <w:tc>
          <w:tcPr>
            <w:tcW w:w="1267" w:type="dxa"/>
            <w:vAlign w:val="center"/>
          </w:tcPr>
          <w:p w:rsidR="000C4E5D" w:rsidRDefault="00683E2A">
            <w:pPr>
              <w:jc w:val="center"/>
            </w:pPr>
            <w:r>
              <w:rPr>
                <w:color w:val="000000"/>
                <w:sz w:val="24"/>
              </w:rPr>
              <w:t>2.16%</w:t>
            </w:r>
          </w:p>
        </w:tc>
        <w:tc>
          <w:tcPr>
            <w:tcW w:w="1267" w:type="dxa"/>
            <w:vAlign w:val="center"/>
          </w:tcPr>
          <w:p w:rsidR="000C4E5D" w:rsidRDefault="00683E2A">
            <w:pPr>
              <w:jc w:val="center"/>
            </w:pPr>
            <w:r>
              <w:rPr>
                <w:color w:val="000000"/>
                <w:sz w:val="24"/>
              </w:rPr>
              <w:t>0.07%</w:t>
            </w:r>
          </w:p>
        </w:tc>
        <w:tc>
          <w:tcPr>
            <w:tcW w:w="1267" w:type="dxa"/>
            <w:vAlign w:val="center"/>
          </w:tcPr>
          <w:p w:rsidR="000C4E5D" w:rsidRDefault="00683E2A">
            <w:pPr>
              <w:jc w:val="center"/>
            </w:pPr>
            <w:r>
              <w:rPr>
                <w:color w:val="000000"/>
                <w:sz w:val="24"/>
              </w:rPr>
              <w:t>0.57%</w:t>
            </w:r>
          </w:p>
        </w:tc>
        <w:tc>
          <w:tcPr>
            <w:tcW w:w="1267" w:type="dxa"/>
            <w:vAlign w:val="center"/>
          </w:tcPr>
          <w:p w:rsidR="000C4E5D" w:rsidRDefault="00683E2A">
            <w:pPr>
              <w:jc w:val="center"/>
            </w:pPr>
            <w:r>
              <w:rPr>
                <w:color w:val="000000"/>
                <w:sz w:val="24"/>
              </w:rPr>
              <w:t>0.07</w:t>
            </w:r>
            <w:r>
              <w:rPr>
                <w:color w:val="000000"/>
                <w:sz w:val="24"/>
              </w:rPr>
              <w:t>%</w:t>
            </w:r>
          </w:p>
        </w:tc>
        <w:tc>
          <w:tcPr>
            <w:tcW w:w="1267" w:type="dxa"/>
            <w:vAlign w:val="center"/>
          </w:tcPr>
          <w:p w:rsidR="000C4E5D" w:rsidRDefault="00683E2A">
            <w:pPr>
              <w:jc w:val="center"/>
            </w:pPr>
            <w:r>
              <w:rPr>
                <w:color w:val="000000"/>
                <w:sz w:val="24"/>
              </w:rPr>
              <w:t>1.59%</w:t>
            </w:r>
          </w:p>
        </w:tc>
        <w:tc>
          <w:tcPr>
            <w:tcW w:w="1267" w:type="dxa"/>
            <w:vAlign w:val="center"/>
          </w:tcPr>
          <w:p w:rsidR="000C4E5D" w:rsidRDefault="00683E2A">
            <w:pPr>
              <w:jc w:val="center"/>
            </w:pPr>
            <w:r>
              <w:rPr>
                <w:color w:val="000000"/>
                <w:sz w:val="24"/>
              </w:rPr>
              <w:t>0.00</w:t>
            </w:r>
            <w:bookmarkStart w:id="0" w:name="_GoBack"/>
            <w:bookmarkEnd w:id="0"/>
            <w:r>
              <w:rPr>
                <w:color w:val="000000"/>
                <w:sz w:val="24"/>
              </w:rPr>
              <w:t>%</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交银施罗德裕盈纯债债券型证券投资基金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2016</w:t>
      </w:r>
      <w:r w:rsidR="00D04410" w:rsidRPr="007F52FA">
        <w:rPr>
          <w:rFonts w:ascii="Times New Roman" w:hAnsi="Times New Roman"/>
          <w:sz w:val="24"/>
          <w:szCs w:val="24"/>
        </w:rPr>
        <w:t>年</w:t>
      </w:r>
      <w:r w:rsidR="00D04410" w:rsidRPr="007F52FA">
        <w:rPr>
          <w:rFonts w:ascii="Times New Roman" w:hAnsi="Times New Roman"/>
          <w:sz w:val="24"/>
          <w:szCs w:val="24"/>
        </w:rPr>
        <w:t>11</w:t>
      </w:r>
      <w:r w:rsidR="00D04410" w:rsidRPr="007F52FA">
        <w:rPr>
          <w:rFonts w:ascii="Times New Roman" w:hAnsi="Times New Roman"/>
          <w:sz w:val="24"/>
          <w:szCs w:val="24"/>
        </w:rPr>
        <w:t>月</w:t>
      </w:r>
      <w:r w:rsidR="00D04410" w:rsidRPr="007F52FA">
        <w:rPr>
          <w:rFonts w:ascii="Times New Roman" w:hAnsi="Times New Roman"/>
          <w:sz w:val="24"/>
          <w:szCs w:val="24"/>
        </w:rPr>
        <w:t>4</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2018</w:t>
      </w:r>
      <w:r w:rsidRPr="007F52FA">
        <w:rPr>
          <w:rFonts w:ascii="Times New Roman" w:hAnsi="Times New Roman"/>
          <w:sz w:val="24"/>
          <w:szCs w:val="24"/>
        </w:rPr>
        <w:t>年</w:t>
      </w:r>
      <w:r w:rsidRPr="007F52FA">
        <w:rPr>
          <w:rFonts w:ascii="Times New Roman" w:hAnsi="Times New Roman"/>
          <w:sz w:val="24"/>
          <w:szCs w:val="24"/>
        </w:rPr>
        <w:t>9</w:t>
      </w:r>
      <w:r w:rsidRPr="007F52FA">
        <w:rPr>
          <w:rFonts w:ascii="Times New Roman" w:hAnsi="Times New Roman"/>
          <w:sz w:val="24"/>
          <w:szCs w:val="24"/>
        </w:rPr>
        <w:t>月</w:t>
      </w:r>
      <w:r w:rsidRPr="007F52FA">
        <w:rPr>
          <w:rFonts w:ascii="Times New Roman" w:hAnsi="Times New Roman"/>
          <w:sz w:val="24"/>
          <w:szCs w:val="24"/>
        </w:rPr>
        <w:t>30</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交银裕盈纯债债券</w:t>
      </w:r>
      <w:r w:rsidR="0042785F" w:rsidRPr="007F52FA">
        <w:rPr>
          <w:color w:val="000000"/>
          <w:sz w:val="24"/>
        </w:rPr>
        <w:t>A</w:t>
      </w:r>
    </w:p>
    <w:p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t>2</w:t>
      </w:r>
      <w:r w:rsidRPr="007F52FA">
        <w:rPr>
          <w:color w:val="000000"/>
          <w:sz w:val="24"/>
        </w:rPr>
        <w:t>．</w:t>
      </w:r>
      <w:r w:rsidR="00FE7FBD" w:rsidRPr="007F52FA">
        <w:rPr>
          <w:color w:val="000000"/>
          <w:sz w:val="24"/>
        </w:rPr>
        <w:t>交银裕盈纯债债券</w:t>
      </w:r>
      <w:r w:rsidR="00FE7FBD" w:rsidRPr="007F52FA">
        <w:rPr>
          <w:color w:val="000000"/>
          <w:sz w:val="24"/>
        </w:rPr>
        <w:t>C</w:t>
      </w:r>
    </w:p>
    <w:p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5" cstate="print"/>
                    <a:stretch>
                      <a:fillRect/>
                    </a:stretch>
                  </pic:blipFill>
                  <pic:spPr>
                    <a:xfrm>
                      <a:off x="0" y="0"/>
                      <a:ext cx="5731510" cy="3356610"/>
                    </a:xfrm>
                    <a:prstGeom prst="rect">
                      <a:avLst/>
                    </a:prstGeom>
                  </pic:spPr>
                </pic:pic>
              </a:graphicData>
            </a:graphic>
          </wp:inline>
        </w:drawing>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757FD7" w:rsidRPr="007F52FA" w:rsidRDefault="00757FD7" w:rsidP="007C14DF">
      <w:pPr>
        <w:spacing w:before="29" w:line="288" w:lineRule="auto"/>
        <w:ind w:firstLineChars="200" w:firstLine="480"/>
        <w:rPr>
          <w:color w:val="000000"/>
          <w:sz w:val="24"/>
        </w:rPr>
      </w:pPr>
    </w:p>
    <w:p w:rsidR="00973B57" w:rsidRPr="007F52FA" w:rsidRDefault="00973B57" w:rsidP="007C14DF">
      <w:pPr>
        <w:pStyle w:val="20"/>
        <w:spacing w:before="29" w:line="288" w:lineRule="auto"/>
        <w:ind w:firstLineChars="0" w:firstLine="0"/>
        <w:jc w:val="left"/>
        <w:rPr>
          <w:rFonts w:ascii="Times New Roman" w:eastAsiaTheme="minorEastAsia" w:hAnsi="Times New Roman"/>
          <w:color w:val="000000"/>
        </w:rPr>
      </w:pPr>
    </w:p>
    <w:p w:rsidR="006C5BC9" w:rsidRPr="007F52FA" w:rsidRDefault="006C5BC9" w:rsidP="007C14DF">
      <w:pPr>
        <w:tabs>
          <w:tab w:val="left" w:pos="1800"/>
        </w:tabs>
        <w:spacing w:before="29" w:line="288" w:lineRule="auto"/>
        <w:rPr>
          <w:rFonts w:eastAsiaTheme="minorEastAsia"/>
          <w:color w:val="000000"/>
          <w:sz w:val="24"/>
        </w:rPr>
      </w:pPr>
    </w:p>
    <w:p w:rsidR="009238DB" w:rsidRPr="007F52FA" w:rsidRDefault="009238DB" w:rsidP="000A2988">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0C4E5D">
        <w:trPr>
          <w:jc w:val="center"/>
        </w:trPr>
        <w:tc>
          <w:tcPr>
            <w:tcW w:w="946" w:type="dxa"/>
            <w:vAlign w:val="center"/>
          </w:tcPr>
          <w:p w:rsidR="000C4E5D" w:rsidRDefault="00683E2A">
            <w:pPr>
              <w:jc w:val="center"/>
            </w:pPr>
            <w:r>
              <w:rPr>
                <w:color w:val="000000"/>
                <w:sz w:val="24"/>
              </w:rPr>
              <w:t>连端清</w:t>
            </w:r>
          </w:p>
        </w:tc>
        <w:tc>
          <w:tcPr>
            <w:tcW w:w="924" w:type="dxa"/>
            <w:vAlign w:val="center"/>
          </w:tcPr>
          <w:p w:rsidR="000C4E5D" w:rsidRDefault="00683E2A">
            <w:pPr>
              <w:jc w:val="center"/>
            </w:pPr>
            <w:r>
              <w:rPr>
                <w:color w:val="000000"/>
                <w:sz w:val="24"/>
              </w:rPr>
              <w:t>交银货币、交银理财</w:t>
            </w:r>
            <w:r>
              <w:rPr>
                <w:color w:val="000000"/>
                <w:sz w:val="24"/>
              </w:rPr>
              <w:t>60</w:t>
            </w:r>
            <w:r>
              <w:rPr>
                <w:color w:val="000000"/>
                <w:sz w:val="24"/>
              </w:rPr>
              <w:t>天债券、交银丰盈收益债券、交银现金宝货币、交银丰润收益债券、交银活期通货币、交银天利宝货币、交银裕盈纯债债券、交银裕利纯债债券、交银裕隆纯债债券、交银天鑫宝货币、交银天益宝货币、交银境尚收益债券、交银天运宝货币的基金经理</w:t>
            </w:r>
          </w:p>
        </w:tc>
        <w:tc>
          <w:tcPr>
            <w:tcW w:w="1202" w:type="dxa"/>
            <w:vAlign w:val="center"/>
          </w:tcPr>
          <w:p w:rsidR="000C4E5D" w:rsidRDefault="00683E2A">
            <w:pPr>
              <w:jc w:val="center"/>
            </w:pPr>
            <w:r>
              <w:rPr>
                <w:color w:val="000000"/>
                <w:sz w:val="24"/>
              </w:rPr>
              <w:t>2017-03-31</w:t>
            </w:r>
          </w:p>
        </w:tc>
        <w:tc>
          <w:tcPr>
            <w:tcW w:w="1300" w:type="dxa"/>
            <w:vAlign w:val="center"/>
          </w:tcPr>
          <w:p w:rsidR="000C4E5D" w:rsidRDefault="00683E2A">
            <w:pPr>
              <w:jc w:val="center"/>
            </w:pPr>
            <w:r>
              <w:rPr>
                <w:color w:val="000000"/>
                <w:sz w:val="24"/>
              </w:rPr>
              <w:t>-</w:t>
            </w:r>
          </w:p>
        </w:tc>
        <w:tc>
          <w:tcPr>
            <w:tcW w:w="1245" w:type="dxa"/>
            <w:vAlign w:val="center"/>
          </w:tcPr>
          <w:p w:rsidR="000C4E5D" w:rsidRDefault="00683E2A">
            <w:pPr>
              <w:jc w:val="center"/>
            </w:pPr>
            <w:r>
              <w:rPr>
                <w:color w:val="000000"/>
                <w:sz w:val="24"/>
              </w:rPr>
              <w:t>5</w:t>
            </w:r>
            <w:r>
              <w:rPr>
                <w:color w:val="000000"/>
                <w:sz w:val="24"/>
              </w:rPr>
              <w:t>年</w:t>
            </w:r>
          </w:p>
        </w:tc>
        <w:tc>
          <w:tcPr>
            <w:tcW w:w="3251" w:type="dxa"/>
            <w:vAlign w:val="center"/>
          </w:tcPr>
          <w:p w:rsidR="000C4E5D" w:rsidRDefault="00683E2A">
            <w:r>
              <w:rPr>
                <w:color w:val="000000"/>
                <w:sz w:val="24"/>
              </w:rPr>
              <w:t>连端清先生，复旦大学经济学博士。历任交通银行总行金融市场部、湘财证券研究所研究员、中航信托资产管理部投资经理。</w:t>
            </w:r>
            <w:r>
              <w:rPr>
                <w:color w:val="000000"/>
                <w:sz w:val="24"/>
              </w:rPr>
              <w:t>2015</w:t>
            </w:r>
            <w:r>
              <w:rPr>
                <w:color w:val="000000"/>
                <w:sz w:val="24"/>
              </w:rPr>
              <w:t>年加入交银施罗德基金管理有限公司。</w:t>
            </w:r>
            <w:r>
              <w:rPr>
                <w:color w:val="000000"/>
                <w:sz w:val="24"/>
              </w:rPr>
              <w:t>2017</w:t>
            </w:r>
            <w:r>
              <w:rPr>
                <w:color w:val="000000"/>
                <w:sz w:val="24"/>
              </w:rPr>
              <w:t>年</w:t>
            </w:r>
            <w:r>
              <w:rPr>
                <w:color w:val="000000"/>
                <w:sz w:val="24"/>
              </w:rPr>
              <w:t>3</w:t>
            </w:r>
            <w:r>
              <w:rPr>
                <w:color w:val="000000"/>
                <w:sz w:val="24"/>
              </w:rPr>
              <w:t>月</w:t>
            </w:r>
            <w:r>
              <w:rPr>
                <w:color w:val="000000"/>
                <w:sz w:val="24"/>
              </w:rPr>
              <w:t>31</w:t>
            </w:r>
            <w:r>
              <w:rPr>
                <w:color w:val="000000"/>
                <w:sz w:val="24"/>
              </w:rPr>
              <w:t>日至</w:t>
            </w:r>
            <w:r>
              <w:rPr>
                <w:color w:val="000000"/>
                <w:sz w:val="24"/>
              </w:rPr>
              <w:t>2018</w:t>
            </w:r>
            <w:r>
              <w:rPr>
                <w:color w:val="000000"/>
                <w:sz w:val="24"/>
              </w:rPr>
              <w:t>年</w:t>
            </w:r>
            <w:r>
              <w:rPr>
                <w:color w:val="000000"/>
                <w:sz w:val="24"/>
              </w:rPr>
              <w:t>8</w:t>
            </w:r>
            <w:r>
              <w:rPr>
                <w:color w:val="000000"/>
                <w:sz w:val="24"/>
              </w:rPr>
              <w:t>月</w:t>
            </w:r>
            <w:r>
              <w:rPr>
                <w:color w:val="000000"/>
                <w:sz w:val="24"/>
              </w:rPr>
              <w:t>23</w:t>
            </w:r>
            <w:r>
              <w:rPr>
                <w:color w:val="000000"/>
                <w:sz w:val="24"/>
              </w:rPr>
              <w:t>日担任交银施罗德裕兴纯债债券型证券投资基金的基金经理。</w:t>
            </w:r>
          </w:p>
        </w:tc>
      </w:tr>
    </w:tbl>
    <w:p w:rsidR="000C4E5D" w:rsidRDefault="00683E2A">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、本表所列基金经理（助理）任职日期和离职日期均以基金合同生效日或公司作出决定并公告</w:t>
      </w:r>
      <w:r>
        <w:rPr>
          <w:color w:val="000000"/>
          <w:sz w:val="24"/>
        </w:rPr>
        <w:t>(</w:t>
      </w:r>
      <w:r>
        <w:rPr>
          <w:color w:val="000000"/>
          <w:sz w:val="24"/>
        </w:rPr>
        <w:t>如适用</w:t>
      </w:r>
      <w:r>
        <w:rPr>
          <w:color w:val="000000"/>
          <w:sz w:val="24"/>
        </w:rPr>
        <w:t>)</w:t>
      </w:r>
      <w:r>
        <w:rPr>
          <w:color w:val="000000"/>
          <w:sz w:val="24"/>
        </w:rPr>
        <w:t>之日为准；</w:t>
      </w:r>
    </w:p>
    <w:p w:rsidR="000C4E5D" w:rsidRDefault="00683E2A">
      <w:pPr>
        <w:autoSpaceDE w:val="0"/>
        <w:autoSpaceDN w:val="0"/>
        <w:adjustRightInd w:val="0"/>
        <w:spacing w:before="29" w:line="288" w:lineRule="auto"/>
        <w:jc w:val="left"/>
        <w:rPr>
          <w:color w:val="000000"/>
          <w:sz w:val="24"/>
        </w:rPr>
      </w:pPr>
      <w:r>
        <w:rPr>
          <w:color w:val="000000"/>
          <w:sz w:val="24"/>
        </w:rPr>
        <w:t>2</w:t>
      </w:r>
      <w:r>
        <w:rPr>
          <w:color w:val="000000"/>
          <w:sz w:val="24"/>
        </w:rPr>
        <w:t>、本表所列基金经理（助理）证券从业年限中的</w:t>
      </w:r>
      <w:r>
        <w:rPr>
          <w:color w:val="000000"/>
          <w:sz w:val="24"/>
        </w:rPr>
        <w:t>“</w:t>
      </w:r>
      <w:r>
        <w:rPr>
          <w:color w:val="000000"/>
          <w:sz w:val="24"/>
        </w:rPr>
        <w:t>证券从业</w:t>
      </w:r>
      <w:r>
        <w:rPr>
          <w:color w:val="000000"/>
          <w:sz w:val="24"/>
        </w:rPr>
        <w:t>”</w:t>
      </w:r>
      <w:r>
        <w:rPr>
          <w:color w:val="000000"/>
          <w:sz w:val="24"/>
        </w:rPr>
        <w:t>的含义遵从中国证券业协会《证券业从业人员资格管理办法》的相关规定；</w:t>
      </w:r>
      <w:r>
        <w:rPr>
          <w:color w:val="000000"/>
          <w:sz w:val="24"/>
        </w:rPr>
        <w:t xml:space="preserve"> </w:t>
      </w:r>
    </w:p>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t>3</w:t>
      </w:r>
      <w:r w:rsidRPr="007F52FA">
        <w:rPr>
          <w:color w:val="000000"/>
          <w:sz w:val="24"/>
        </w:rPr>
        <w:t>、基金经理（或基金经理小组）期后变动（如有）敬请关注基金管理人发布的相关公告。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7F52FA">
          <w:rPr>
            <w:sz w:val="24"/>
          </w:rPr>
          <w:t>4.3.1</w:t>
        </w:r>
      </w:smartTag>
      <w:r w:rsidRPr="007F52FA">
        <w:rPr>
          <w:sz w:val="24"/>
        </w:rPr>
        <w:t>公平交易制度的执行情况</w:t>
      </w:r>
    </w:p>
    <w:p w:rsidR="000C4E5D" w:rsidRDefault="00683E2A">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0C4E5D" w:rsidRDefault="00683E2A">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w:t>
      </w:r>
      <w:r>
        <w:rPr>
          <w:color w:val="000000"/>
          <w:sz w:val="24"/>
        </w:rPr>
        <w:t>按事前独立确定的投资方案对交易结果进行分配。</w:t>
      </w:r>
    </w:p>
    <w:p w:rsidR="000C4E5D" w:rsidRDefault="00683E2A">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rsidR="000C4E5D" w:rsidRDefault="00683E2A">
      <w:pPr>
        <w:spacing w:before="29" w:line="288" w:lineRule="auto"/>
        <w:ind w:firstLineChars="200" w:firstLine="480"/>
        <w:rPr>
          <w:color w:val="000000"/>
          <w:sz w:val="24"/>
        </w:rPr>
      </w:pPr>
      <w:r>
        <w:rPr>
          <w:color w:val="000000"/>
          <w:sz w:val="24"/>
        </w:rPr>
        <w:t>2018</w:t>
      </w:r>
      <w:r>
        <w:rPr>
          <w:color w:val="000000"/>
          <w:sz w:val="24"/>
        </w:rPr>
        <w:t>年三季度，国内经济延续稳中放缓态势，同时通胀压力有所上升，中美贸易战进一步扩大，国内经济政策稳字当头。国内制造业景气度仍保持高位扩张但已呈现减弱势头。制造业</w:t>
      </w:r>
      <w:r>
        <w:rPr>
          <w:color w:val="000000"/>
          <w:sz w:val="24"/>
        </w:rPr>
        <w:t>FAI</w:t>
      </w:r>
      <w:r>
        <w:rPr>
          <w:color w:val="000000"/>
          <w:sz w:val="24"/>
        </w:rPr>
        <w:t>同比增速继续提高，房地产投资仍保</w:t>
      </w:r>
      <w:r>
        <w:rPr>
          <w:color w:val="000000"/>
          <w:sz w:val="24"/>
        </w:rPr>
        <w:t>持较高增速，但基建投资增速继续下滑，导致固定资产投资持续下行。</w:t>
      </w:r>
      <w:r>
        <w:rPr>
          <w:color w:val="000000"/>
          <w:sz w:val="24"/>
        </w:rPr>
        <w:t>9</w:t>
      </w:r>
      <w:r>
        <w:rPr>
          <w:color w:val="000000"/>
          <w:sz w:val="24"/>
        </w:rPr>
        <w:t>月</w:t>
      </w:r>
      <w:r>
        <w:rPr>
          <w:color w:val="000000"/>
          <w:sz w:val="24"/>
        </w:rPr>
        <w:t>24</w:t>
      </w:r>
      <w:r>
        <w:rPr>
          <w:color w:val="000000"/>
          <w:sz w:val="24"/>
        </w:rPr>
        <w:t>日美国对</w:t>
      </w:r>
      <w:r>
        <w:rPr>
          <w:color w:val="000000"/>
          <w:sz w:val="24"/>
        </w:rPr>
        <w:t>2000</w:t>
      </w:r>
      <w:r>
        <w:rPr>
          <w:color w:val="000000"/>
          <w:sz w:val="24"/>
        </w:rPr>
        <w:t>亿美元输美中国商品加征关税，中美贸易战升级，负面影响在加大。三季度中采</w:t>
      </w:r>
      <w:r>
        <w:rPr>
          <w:color w:val="000000"/>
          <w:sz w:val="24"/>
        </w:rPr>
        <w:t>PMI</w:t>
      </w:r>
      <w:r>
        <w:rPr>
          <w:color w:val="000000"/>
          <w:sz w:val="24"/>
        </w:rPr>
        <w:t>分项指标新出口订单不断下滑，且九月份下滑幅度扩大。物价方面，三季度受灾害及原油价格攀升等问题影响，</w:t>
      </w:r>
      <w:r>
        <w:rPr>
          <w:color w:val="000000"/>
          <w:sz w:val="24"/>
        </w:rPr>
        <w:t>CPI</w:t>
      </w:r>
      <w:r>
        <w:rPr>
          <w:color w:val="000000"/>
          <w:sz w:val="24"/>
        </w:rPr>
        <w:t>再次回升至</w:t>
      </w:r>
      <w:r>
        <w:rPr>
          <w:color w:val="000000"/>
          <w:sz w:val="24"/>
        </w:rPr>
        <w:t>2%</w:t>
      </w:r>
      <w:r>
        <w:rPr>
          <w:color w:val="000000"/>
          <w:sz w:val="24"/>
        </w:rPr>
        <w:t>以上且短期内仍有上升压力。货币政策上，三季度央行维持中性偏松的货币政策，央行主要通过公开市场逆回购与</w:t>
      </w:r>
      <w:r>
        <w:rPr>
          <w:color w:val="000000"/>
          <w:sz w:val="24"/>
        </w:rPr>
        <w:t>MLF</w:t>
      </w:r>
      <w:r>
        <w:rPr>
          <w:color w:val="000000"/>
          <w:sz w:val="24"/>
        </w:rPr>
        <w:t>操作净投放</w:t>
      </w:r>
      <w:r>
        <w:rPr>
          <w:color w:val="000000"/>
          <w:sz w:val="24"/>
        </w:rPr>
        <w:t>4925</w:t>
      </w:r>
      <w:r>
        <w:rPr>
          <w:color w:val="000000"/>
          <w:sz w:val="24"/>
        </w:rPr>
        <w:t>亿元，以维持货币市场资金面宽松。但是，短期内央行进一步宽松的空间受到人民币贬值压力及货币政策传导机制阻塞等问</w:t>
      </w:r>
      <w:r>
        <w:rPr>
          <w:color w:val="000000"/>
          <w:sz w:val="24"/>
        </w:rPr>
        <w:t>题制约，八月下旬至九月上旬曾一度暂停逆回购操作。</w:t>
      </w:r>
    </w:p>
    <w:p w:rsidR="000C4E5D" w:rsidRDefault="00683E2A">
      <w:pPr>
        <w:spacing w:before="29" w:line="288" w:lineRule="auto"/>
        <w:ind w:firstLineChars="200" w:firstLine="480"/>
        <w:rPr>
          <w:color w:val="000000"/>
          <w:sz w:val="24"/>
        </w:rPr>
      </w:pPr>
      <w:r>
        <w:rPr>
          <w:color w:val="000000"/>
          <w:sz w:val="24"/>
        </w:rPr>
        <w:t>资金面上，三季度货币市场流动性整体上非常宽裕，银行间市场</w:t>
      </w:r>
      <w:r>
        <w:rPr>
          <w:color w:val="000000"/>
          <w:sz w:val="24"/>
        </w:rPr>
        <w:t>R001</w:t>
      </w:r>
      <w:r>
        <w:rPr>
          <w:color w:val="000000"/>
          <w:sz w:val="24"/>
        </w:rPr>
        <w:t>曾在八月上旬一度降至</w:t>
      </w:r>
      <w:r>
        <w:rPr>
          <w:color w:val="000000"/>
          <w:sz w:val="24"/>
        </w:rPr>
        <w:t>1.5%</w:t>
      </w:r>
      <w:r>
        <w:rPr>
          <w:color w:val="000000"/>
          <w:sz w:val="24"/>
        </w:rPr>
        <w:t>以下，随后有所回调，但依然处于较低水平，九月底</w:t>
      </w:r>
      <w:r>
        <w:rPr>
          <w:color w:val="000000"/>
          <w:sz w:val="24"/>
        </w:rPr>
        <w:t>R001</w:t>
      </w:r>
      <w:r>
        <w:rPr>
          <w:color w:val="000000"/>
          <w:sz w:val="24"/>
        </w:rPr>
        <w:t>较六月底下降</w:t>
      </w:r>
      <w:r>
        <w:rPr>
          <w:color w:val="000000"/>
          <w:sz w:val="24"/>
        </w:rPr>
        <w:t>45</w:t>
      </w:r>
      <w:r>
        <w:rPr>
          <w:color w:val="000000"/>
          <w:sz w:val="24"/>
        </w:rPr>
        <w:t>个</w:t>
      </w:r>
      <w:r>
        <w:rPr>
          <w:color w:val="000000"/>
          <w:sz w:val="24"/>
        </w:rPr>
        <w:t>BP</w:t>
      </w:r>
      <w:r>
        <w:rPr>
          <w:color w:val="000000"/>
          <w:sz w:val="24"/>
        </w:rPr>
        <w:t>以上。三季度同业存款存单利率全线大幅下行，八月上旬同业存单利率降至历史最低位，股份制行三个月同业存单利率降至</w:t>
      </w:r>
      <w:r>
        <w:rPr>
          <w:color w:val="000000"/>
          <w:sz w:val="24"/>
        </w:rPr>
        <w:t>1.9%</w:t>
      </w:r>
      <w:r>
        <w:rPr>
          <w:color w:val="000000"/>
          <w:sz w:val="24"/>
        </w:rPr>
        <w:t>，尽管后续有所回升，但基本上处于</w:t>
      </w:r>
      <w:r>
        <w:rPr>
          <w:color w:val="000000"/>
          <w:sz w:val="24"/>
        </w:rPr>
        <w:t>3%</w:t>
      </w:r>
      <w:r>
        <w:rPr>
          <w:color w:val="000000"/>
          <w:sz w:val="24"/>
        </w:rPr>
        <w:t>以下较低位置。同业存款市场需求低迷，价格比存单更差。三季度债市整体上经历了大幅上涨再回调的波澜壮阔行情，受流动性宽松及经济悲观预期影响债市先大</w:t>
      </w:r>
      <w:r>
        <w:rPr>
          <w:color w:val="000000"/>
          <w:sz w:val="24"/>
        </w:rPr>
        <w:t>幅上涨，之后受流动性宽松边际暂停及</w:t>
      </w:r>
      <w:r>
        <w:rPr>
          <w:color w:val="000000"/>
          <w:sz w:val="24"/>
        </w:rPr>
        <w:t>CPI</w:t>
      </w:r>
      <w:r>
        <w:rPr>
          <w:color w:val="000000"/>
          <w:sz w:val="24"/>
        </w:rPr>
        <w:t>上涨压力凸现等利空因素影响，八月中旬开始债市持续回调，及至九月下旬长端利率债再次回暖。</w:t>
      </w:r>
    </w:p>
    <w:p w:rsidR="000C4E5D" w:rsidRDefault="00683E2A">
      <w:pPr>
        <w:spacing w:before="29" w:line="288" w:lineRule="auto"/>
        <w:ind w:firstLineChars="200" w:firstLine="480"/>
        <w:rPr>
          <w:color w:val="000000"/>
          <w:sz w:val="24"/>
        </w:rPr>
      </w:pPr>
      <w:r>
        <w:rPr>
          <w:color w:val="000000"/>
          <w:sz w:val="24"/>
        </w:rPr>
        <w:t>基金操作方面，报告期内本基金把握市场走势，调整组合杠杆与持仓债券，管控信用风险，为持有人创造稳健的回报。</w:t>
      </w:r>
    </w:p>
    <w:p w:rsidR="00952A72" w:rsidRPr="007F52FA" w:rsidRDefault="00323F25" w:rsidP="007C14DF">
      <w:pPr>
        <w:spacing w:before="29" w:line="288" w:lineRule="auto"/>
        <w:ind w:firstLineChars="200" w:firstLine="480"/>
        <w:rPr>
          <w:color w:val="000000"/>
          <w:sz w:val="24"/>
        </w:rPr>
      </w:pPr>
      <w:r w:rsidRPr="007F52FA">
        <w:rPr>
          <w:color w:val="000000"/>
          <w:sz w:val="24"/>
        </w:rPr>
        <w:t>展望</w:t>
      </w:r>
      <w:r w:rsidRPr="007F52FA">
        <w:rPr>
          <w:color w:val="000000"/>
          <w:sz w:val="24"/>
        </w:rPr>
        <w:t>2018</w:t>
      </w:r>
      <w:r w:rsidRPr="007F52FA">
        <w:rPr>
          <w:color w:val="000000"/>
          <w:sz w:val="24"/>
        </w:rPr>
        <w:t>年四季度，考虑中美贸易战升级，宽裕货币向信贷传导的机制仍待疏通，以及地方政府债务融资约束加强等问题，我们预计经济下行压力可能加大。但七月底中央政治局会议已提出</w:t>
      </w:r>
      <w:r w:rsidRPr="007F52FA">
        <w:rPr>
          <w:color w:val="000000"/>
          <w:sz w:val="24"/>
        </w:rPr>
        <w:t>“</w:t>
      </w:r>
      <w:r w:rsidRPr="007F52FA">
        <w:rPr>
          <w:color w:val="000000"/>
          <w:sz w:val="24"/>
        </w:rPr>
        <w:t>要保持社会经济大局稳定</w:t>
      </w:r>
      <w:r w:rsidRPr="007F52FA">
        <w:rPr>
          <w:color w:val="000000"/>
          <w:sz w:val="24"/>
        </w:rPr>
        <w:t>”</w:t>
      </w:r>
      <w:r w:rsidRPr="007F52FA">
        <w:rPr>
          <w:color w:val="000000"/>
          <w:sz w:val="24"/>
        </w:rPr>
        <w:t>，</w:t>
      </w:r>
      <w:r w:rsidRPr="007F52FA">
        <w:rPr>
          <w:color w:val="000000"/>
          <w:sz w:val="24"/>
        </w:rPr>
        <w:t>“</w:t>
      </w:r>
      <w:r w:rsidRPr="007F52FA">
        <w:rPr>
          <w:color w:val="000000"/>
          <w:sz w:val="24"/>
        </w:rPr>
        <w:t>要做好稳就业、稳金融、稳外贸、稳外资、稳投资、稳预期工作</w:t>
      </w:r>
      <w:r w:rsidRPr="007F52FA">
        <w:rPr>
          <w:color w:val="000000"/>
          <w:sz w:val="24"/>
        </w:rPr>
        <w:t>”</w:t>
      </w:r>
      <w:r w:rsidRPr="007F52FA">
        <w:rPr>
          <w:color w:val="000000"/>
          <w:sz w:val="24"/>
        </w:rPr>
        <w:t>的要求，经济政策托底工作可能进一步加强，我们预计四季度国内经济延续稳中放缓的概率较大，</w:t>
      </w:r>
      <w:r w:rsidRPr="007F52FA">
        <w:rPr>
          <w:color w:val="000000"/>
          <w:sz w:val="24"/>
        </w:rPr>
        <w:t>CPI</w:t>
      </w:r>
      <w:r w:rsidRPr="007F52FA">
        <w:rPr>
          <w:color w:val="000000"/>
          <w:sz w:val="24"/>
        </w:rPr>
        <w:t>短期内仍有上行压力。央行短期内仍可能坚持中性偏松的货币政策。我们将密切关注中美贸易战升级对四季度经济走势的影响。组合管理方面，本基金将努力研判宏观经济走势，密切跟踪央行货币政策操作与监管政策动态，管控风险，积极跟踪把握市场机会，努力为份额持有人创造稳健的回报。</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本基金（各类）份额净值及业绩表现请见</w:t>
      </w:r>
      <w:r w:rsidRPr="007F52FA">
        <w:rPr>
          <w:color w:val="000000"/>
          <w:sz w:val="24"/>
        </w:rPr>
        <w:t xml:space="preserve">“3.1 </w:t>
      </w:r>
      <w:r w:rsidRPr="007F52FA">
        <w:rPr>
          <w:color w:val="000000"/>
          <w:sz w:val="24"/>
        </w:rPr>
        <w:t>主要财务指标</w:t>
      </w:r>
      <w:r w:rsidRPr="007F52FA">
        <w:rPr>
          <w:color w:val="000000"/>
          <w:sz w:val="24"/>
        </w:rPr>
        <w:t xml:space="preserve">” </w:t>
      </w:r>
      <w:r w:rsidRPr="007F52FA">
        <w:rPr>
          <w:color w:val="000000"/>
          <w:sz w:val="24"/>
        </w:rPr>
        <w:t>及</w:t>
      </w:r>
      <w:r w:rsidRPr="007F52FA">
        <w:rPr>
          <w:color w:val="000000"/>
          <w:sz w:val="24"/>
        </w:rPr>
        <w:t>“3.2.1</w:t>
      </w:r>
      <w:r w:rsidRPr="007F52FA">
        <w:rPr>
          <w:color w:val="000000"/>
          <w:sz w:val="24"/>
        </w:rPr>
        <w:t>本报告期基金份额净值增长率及其与同期业绩比较基准收益率的比较</w:t>
      </w:r>
      <w:r w:rsidRPr="007F52FA">
        <w:rPr>
          <w:color w:val="000000"/>
          <w:sz w:val="24"/>
        </w:rPr>
        <w:t>”</w:t>
      </w:r>
      <w:r w:rsidRPr="007F52FA">
        <w:rPr>
          <w:color w:val="000000"/>
          <w:sz w:val="24"/>
        </w:rPr>
        <w:t>部分披露。</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本基金本报告期内无需预警说明。</w:t>
      </w:r>
    </w:p>
    <w:p w:rsidR="00400FA6" w:rsidRPr="007F52FA" w:rsidRDefault="00400FA6" w:rsidP="007C14DF">
      <w:pPr>
        <w:spacing w:before="29" w:line="288" w:lineRule="auto"/>
        <w:ind w:firstLineChars="200" w:firstLine="480"/>
        <w:rPr>
          <w:color w:val="000000"/>
          <w:sz w:val="24"/>
        </w:rPr>
      </w:pPr>
    </w:p>
    <w:p w:rsidR="009238DB" w:rsidRPr="007C6127" w:rsidRDefault="009238DB" w:rsidP="000A2988">
      <w:pPr>
        <w:pStyle w:val="1"/>
        <w:spacing w:beforeLines="100" w:before="312" w:afterLines="100" w:after="312" w:line="288" w:lineRule="auto"/>
        <w:jc w:val="center"/>
        <w:rPr>
          <w:rFonts w:eastAsiaTheme="minorEastAsia"/>
          <w:color w:val="000000"/>
          <w:kern w:val="0"/>
          <w:sz w:val="24"/>
          <w:szCs w:val="24"/>
        </w:rPr>
      </w:pPr>
      <w:r w:rsidRPr="007C6127">
        <w:rPr>
          <w:rFonts w:eastAsiaTheme="minorEastAsia"/>
          <w:color w:val="000000"/>
          <w:kern w:val="0"/>
          <w:sz w:val="24"/>
          <w:szCs w:val="24"/>
        </w:rPr>
        <w:t xml:space="preserve">§5  </w:t>
      </w:r>
      <w:r w:rsidRPr="007C6127">
        <w:rPr>
          <w:rFonts w:eastAsiaTheme="minorEastAsia"/>
          <w:color w:val="000000"/>
          <w:kern w:val="0"/>
          <w:sz w:val="24"/>
          <w:szCs w:val="24"/>
        </w:rPr>
        <w:t>投资组合报告</w:t>
      </w:r>
    </w:p>
    <w:p w:rsidR="00C51B4E" w:rsidRPr="0028293E" w:rsidRDefault="00C51B4E" w:rsidP="00C51B4E">
      <w:pPr>
        <w:autoSpaceDE w:val="0"/>
        <w:autoSpaceDN w:val="0"/>
        <w:adjustRightInd w:val="0"/>
        <w:spacing w:line="360" w:lineRule="auto"/>
        <w:jc w:val="left"/>
        <w:rPr>
          <w:rFonts w:eastAsiaTheme="minorEastAsia"/>
          <w:b/>
          <w:color w:val="000000" w:themeColor="text1"/>
          <w:kern w:val="0"/>
          <w:sz w:val="24"/>
        </w:rPr>
      </w:pPr>
      <w:r w:rsidRPr="0028293E">
        <w:rPr>
          <w:rFonts w:eastAsiaTheme="minorEastAsia"/>
          <w:b/>
          <w:color w:val="000000" w:themeColor="text1"/>
          <w:kern w:val="0"/>
          <w:sz w:val="24"/>
        </w:rPr>
        <w:t xml:space="preserve">5.1 </w:t>
      </w:r>
      <w:r w:rsidRPr="0028293E">
        <w:rPr>
          <w:rFonts w:eastAsiaTheme="minorEastAsia"/>
          <w:b/>
          <w:color w:val="000000" w:themeColor="text1"/>
          <w:kern w:val="0"/>
          <w:sz w:val="24"/>
        </w:rPr>
        <w:t>报告期末基金资产组合情况</w:t>
      </w:r>
    </w:p>
    <w:tbl>
      <w:tblPr>
        <w:tblStyle w:val="af2"/>
        <w:tblW w:w="8897" w:type="dxa"/>
        <w:tblInd w:w="108" w:type="dxa"/>
        <w:tblLayout w:type="fixed"/>
        <w:tblLook w:val="04A0" w:firstRow="1" w:lastRow="0" w:firstColumn="1" w:lastColumn="0" w:noHBand="0" w:noVBand="1"/>
      </w:tblPr>
      <w:tblGrid>
        <w:gridCol w:w="720"/>
        <w:gridCol w:w="2824"/>
        <w:gridCol w:w="2552"/>
        <w:gridCol w:w="2801"/>
      </w:tblGrid>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序号</w:t>
            </w:r>
          </w:p>
        </w:tc>
        <w:tc>
          <w:tcPr>
            <w:tcW w:w="2824"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项目</w:t>
            </w:r>
          </w:p>
        </w:tc>
        <w:tc>
          <w:tcPr>
            <w:tcW w:w="2552"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金额</w:t>
            </w:r>
            <w:r w:rsidRPr="0028293E">
              <w:rPr>
                <w:rFonts w:eastAsiaTheme="minorEastAsia"/>
                <w:color w:val="000000" w:themeColor="text1"/>
                <w:sz w:val="24"/>
              </w:rPr>
              <w:t>(</w:t>
            </w:r>
            <w:r w:rsidRPr="0028293E">
              <w:rPr>
                <w:rFonts w:eastAsiaTheme="minorEastAsia"/>
                <w:color w:val="000000" w:themeColor="text1"/>
                <w:sz w:val="24"/>
              </w:rPr>
              <w:t>元</w:t>
            </w: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占基金总资产的比例</w:t>
            </w: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1</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权益投资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其中：股票</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2</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ascii="宋体" w:hAnsi="宋体" w:hint="eastAsia"/>
                <w:sz w:val="24"/>
              </w:rPr>
              <w:t>基金投资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hint="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hint="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3</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固定收益投资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1,443,803,000.00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97.64</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其中：债券</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1,443,803,000.00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97.64</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8293E">
            <w:pPr>
              <w:autoSpaceDE w:val="0"/>
              <w:autoSpaceDN w:val="0"/>
              <w:adjustRightInd w:val="0"/>
              <w:spacing w:before="29" w:line="360" w:lineRule="auto"/>
              <w:ind w:left="17" w:firstLineChars="300" w:firstLine="720"/>
              <w:jc w:val="left"/>
              <w:rPr>
                <w:rFonts w:eastAsiaTheme="minorEastAsia"/>
                <w:color w:val="000000" w:themeColor="text1"/>
                <w:sz w:val="24"/>
              </w:rPr>
            </w:pPr>
            <w:r w:rsidRPr="0028293E">
              <w:rPr>
                <w:rFonts w:eastAsiaTheme="minorEastAsia"/>
                <w:color w:val="000000" w:themeColor="text1"/>
                <w:sz w:val="24"/>
              </w:rPr>
              <w:t>资产支持证券</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4</w:t>
            </w:r>
          </w:p>
        </w:tc>
        <w:tc>
          <w:tcPr>
            <w:tcW w:w="2824" w:type="dxa"/>
            <w:vAlign w:val="center"/>
          </w:tcPr>
          <w:p w:rsidR="00C51B4E" w:rsidRPr="0028293E" w:rsidRDefault="00C51B4E" w:rsidP="002D2971">
            <w:pPr>
              <w:spacing w:before="29" w:line="360" w:lineRule="auto"/>
              <w:ind w:leftChars="50" w:left="105"/>
              <w:rPr>
                <w:rFonts w:eastAsiaTheme="minorEastAsia"/>
                <w:color w:val="000000" w:themeColor="text1"/>
                <w:sz w:val="24"/>
              </w:rPr>
            </w:pPr>
            <w:r w:rsidRPr="0028293E">
              <w:rPr>
                <w:rFonts w:eastAsiaTheme="minorEastAsia"/>
                <w:color w:val="000000" w:themeColor="text1"/>
                <w:sz w:val="24"/>
              </w:rPr>
              <w:t>贵金属投资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5</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金融衍生品投资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6</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买入返售金融资产</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其中：买断式回购的买入返售金融资产</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7</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银行存款和结算备付金合计</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1,754,154.96</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0.12</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8</w:t>
            </w:r>
          </w:p>
        </w:tc>
        <w:tc>
          <w:tcPr>
            <w:tcW w:w="2824" w:type="dxa"/>
            <w:vAlign w:val="center"/>
          </w:tcPr>
          <w:p w:rsidR="00C51B4E" w:rsidRPr="0028293E" w:rsidRDefault="00C51B4E" w:rsidP="002D2971">
            <w:pPr>
              <w:spacing w:line="360" w:lineRule="auto"/>
              <w:rPr>
                <w:rFonts w:eastAsiaTheme="minorEastAsia"/>
                <w:color w:val="000000" w:themeColor="text1"/>
                <w:sz w:val="24"/>
              </w:rPr>
            </w:pPr>
            <w:r w:rsidRPr="0028293E">
              <w:rPr>
                <w:rFonts w:eastAsiaTheme="minorEastAsia"/>
                <w:color w:val="000000" w:themeColor="text1"/>
                <w:sz w:val="24"/>
              </w:rPr>
              <w:t>其他各项资产</w:t>
            </w:r>
          </w:p>
        </w:tc>
        <w:tc>
          <w:tcPr>
            <w:tcW w:w="2552"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33,092,580.98</w:t>
            </w:r>
          </w:p>
        </w:tc>
        <w:tc>
          <w:tcPr>
            <w:tcW w:w="2801"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2.24</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9</w:t>
            </w:r>
          </w:p>
        </w:tc>
        <w:tc>
          <w:tcPr>
            <w:tcW w:w="2824" w:type="dxa"/>
            <w:vAlign w:val="center"/>
          </w:tcPr>
          <w:p w:rsidR="00C51B4E" w:rsidRPr="0028293E" w:rsidRDefault="00C51B4E" w:rsidP="002D2971">
            <w:pPr>
              <w:spacing w:line="360" w:lineRule="auto"/>
              <w:rPr>
                <w:rFonts w:eastAsiaTheme="minorEastAsia"/>
                <w:color w:val="000000" w:themeColor="text1"/>
                <w:sz w:val="24"/>
              </w:rPr>
            </w:pPr>
            <w:r w:rsidRPr="0028293E">
              <w:rPr>
                <w:rFonts w:eastAsiaTheme="minorEastAsia"/>
                <w:color w:val="000000" w:themeColor="text1"/>
                <w:sz w:val="24"/>
              </w:rPr>
              <w:t>合计</w:t>
            </w:r>
          </w:p>
        </w:tc>
        <w:tc>
          <w:tcPr>
            <w:tcW w:w="2552"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1,478,649,735.94</w:t>
            </w:r>
          </w:p>
        </w:tc>
        <w:tc>
          <w:tcPr>
            <w:tcW w:w="2801"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1A5D39" w:rsidRPr="001A5D39" w:rsidRDefault="001A5D39" w:rsidP="001A5D39">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1A5D39" w:rsidRPr="008A409E" w:rsidRDefault="001A5D39" w:rsidP="001A5D39">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BE251D">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1A5D39" w:rsidRDefault="001A5D39" w:rsidP="001A5D39">
      <w:pPr>
        <w:spacing w:before="29" w:line="360" w:lineRule="auto"/>
        <w:ind w:left="17"/>
        <w:rPr>
          <w:color w:val="000000"/>
          <w:sz w:val="24"/>
        </w:rPr>
      </w:pPr>
      <w:r w:rsidRPr="00FF0BBF">
        <w:rPr>
          <w:color w:val="000000"/>
          <w:sz w:val="24"/>
        </w:rPr>
        <w:t>本基金本报告期末未持有通过港股通投资的股票。</w:t>
      </w:r>
    </w:p>
    <w:p w:rsidR="009238DB" w:rsidRPr="001A5D39"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135,299,500.00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12.47</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135,299,500.00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12.47</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44,932,000.00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4.14</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737,146,500.00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67.96</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514118" w:rsidRPr="007F52FA" w:rsidTr="000F7468">
        <w:trPr>
          <w:jc w:val="center"/>
        </w:trPr>
        <w:tc>
          <w:tcPr>
            <w:tcW w:w="817"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26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835" w:type="dxa"/>
            <w:vAlign w:val="center"/>
          </w:tcPr>
          <w:p w:rsidR="00514118" w:rsidRPr="007F52FA" w:rsidRDefault="001936D7" w:rsidP="007C14DF">
            <w:pPr>
              <w:spacing w:before="29" w:line="288" w:lineRule="auto"/>
              <w:ind w:left="17"/>
              <w:jc w:val="right"/>
              <w:rPr>
                <w:color w:val="000000"/>
                <w:sz w:val="24"/>
              </w:rPr>
            </w:pPr>
            <w:r w:rsidRPr="00AF0CAB">
              <w:rPr>
                <w:rFonts w:hint="eastAsia"/>
                <w:color w:val="000000"/>
                <w:sz w:val="24"/>
              </w:rPr>
              <w:t>526,425,000.00</w:t>
            </w:r>
          </w:p>
        </w:tc>
        <w:tc>
          <w:tcPr>
            <w:tcW w:w="1616" w:type="dxa"/>
            <w:vAlign w:val="center"/>
          </w:tcPr>
          <w:p w:rsidR="00514118" w:rsidRPr="007F52FA" w:rsidRDefault="00FC6F53" w:rsidP="007C14DF">
            <w:pPr>
              <w:spacing w:before="29" w:line="288" w:lineRule="auto"/>
              <w:ind w:left="17"/>
              <w:jc w:val="right"/>
              <w:rPr>
                <w:color w:val="000000"/>
                <w:sz w:val="24"/>
              </w:rPr>
            </w:pPr>
            <w:r w:rsidRPr="00AF0CAB">
              <w:rPr>
                <w:rFonts w:hint="eastAsia"/>
                <w:color w:val="000000"/>
                <w:sz w:val="24"/>
              </w:rPr>
              <w:t>48.54</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10</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1,443,803,000.00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133.12</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0C4E5D">
        <w:trPr>
          <w:jc w:val="center"/>
        </w:trPr>
        <w:tc>
          <w:tcPr>
            <w:tcW w:w="1075" w:type="dxa"/>
            <w:vAlign w:val="center"/>
          </w:tcPr>
          <w:p w:rsidR="000C4E5D" w:rsidRDefault="00683E2A">
            <w:pPr>
              <w:jc w:val="center"/>
            </w:pPr>
            <w:r>
              <w:rPr>
                <w:color w:val="000000"/>
                <w:sz w:val="24"/>
              </w:rPr>
              <w:t>1</w:t>
            </w:r>
          </w:p>
        </w:tc>
        <w:tc>
          <w:tcPr>
            <w:tcW w:w="1533" w:type="dxa"/>
            <w:vAlign w:val="center"/>
          </w:tcPr>
          <w:p w:rsidR="000C4E5D" w:rsidRDefault="00683E2A">
            <w:pPr>
              <w:jc w:val="center"/>
            </w:pPr>
            <w:r>
              <w:rPr>
                <w:color w:val="000000"/>
                <w:sz w:val="24"/>
              </w:rPr>
              <w:t>111712304</w:t>
            </w:r>
          </w:p>
        </w:tc>
        <w:tc>
          <w:tcPr>
            <w:tcW w:w="1533" w:type="dxa"/>
            <w:vAlign w:val="center"/>
          </w:tcPr>
          <w:p w:rsidR="000C4E5D" w:rsidRDefault="00683E2A">
            <w:pPr>
              <w:jc w:val="center"/>
            </w:pPr>
            <w:r>
              <w:rPr>
                <w:color w:val="000000"/>
                <w:sz w:val="24"/>
              </w:rPr>
              <w:t>17</w:t>
            </w:r>
            <w:r>
              <w:rPr>
                <w:color w:val="000000"/>
                <w:sz w:val="24"/>
              </w:rPr>
              <w:t>北京银行</w:t>
            </w:r>
            <w:r>
              <w:rPr>
                <w:color w:val="000000"/>
                <w:sz w:val="24"/>
              </w:rPr>
              <w:t>CD304</w:t>
            </w:r>
          </w:p>
        </w:tc>
        <w:tc>
          <w:tcPr>
            <w:tcW w:w="1394" w:type="dxa"/>
            <w:vAlign w:val="center"/>
          </w:tcPr>
          <w:p w:rsidR="000C4E5D" w:rsidRDefault="00683E2A">
            <w:pPr>
              <w:jc w:val="right"/>
            </w:pPr>
            <w:r>
              <w:rPr>
                <w:color w:val="000000"/>
                <w:sz w:val="24"/>
              </w:rPr>
              <w:t>1,000,000</w:t>
            </w:r>
          </w:p>
        </w:tc>
        <w:tc>
          <w:tcPr>
            <w:tcW w:w="1944" w:type="dxa"/>
            <w:vAlign w:val="center"/>
          </w:tcPr>
          <w:p w:rsidR="000C4E5D" w:rsidRDefault="00683E2A">
            <w:pPr>
              <w:jc w:val="right"/>
            </w:pPr>
            <w:r>
              <w:rPr>
                <w:color w:val="000000"/>
                <w:sz w:val="24"/>
              </w:rPr>
              <w:t>95,620,000.00</w:t>
            </w:r>
          </w:p>
        </w:tc>
        <w:tc>
          <w:tcPr>
            <w:tcW w:w="1389" w:type="dxa"/>
            <w:vAlign w:val="center"/>
          </w:tcPr>
          <w:p w:rsidR="000C4E5D" w:rsidRDefault="00683E2A">
            <w:pPr>
              <w:jc w:val="right"/>
            </w:pPr>
            <w:r>
              <w:rPr>
                <w:color w:val="000000"/>
                <w:sz w:val="24"/>
              </w:rPr>
              <w:t>8.82</w:t>
            </w:r>
          </w:p>
        </w:tc>
      </w:tr>
      <w:tr w:rsidR="000C4E5D">
        <w:trPr>
          <w:jc w:val="center"/>
        </w:trPr>
        <w:tc>
          <w:tcPr>
            <w:tcW w:w="1075" w:type="dxa"/>
            <w:vAlign w:val="center"/>
          </w:tcPr>
          <w:p w:rsidR="000C4E5D" w:rsidRDefault="00683E2A">
            <w:pPr>
              <w:jc w:val="center"/>
            </w:pPr>
            <w:r>
              <w:rPr>
                <w:color w:val="000000"/>
                <w:sz w:val="24"/>
              </w:rPr>
              <w:t>2</w:t>
            </w:r>
          </w:p>
        </w:tc>
        <w:tc>
          <w:tcPr>
            <w:tcW w:w="1533" w:type="dxa"/>
            <w:vAlign w:val="center"/>
          </w:tcPr>
          <w:p w:rsidR="000C4E5D" w:rsidRDefault="00683E2A">
            <w:pPr>
              <w:jc w:val="center"/>
            </w:pPr>
            <w:r>
              <w:rPr>
                <w:color w:val="000000"/>
                <w:sz w:val="24"/>
              </w:rPr>
              <w:t>101761002</w:t>
            </w:r>
          </w:p>
        </w:tc>
        <w:tc>
          <w:tcPr>
            <w:tcW w:w="1533" w:type="dxa"/>
            <w:vAlign w:val="center"/>
          </w:tcPr>
          <w:p w:rsidR="000C4E5D" w:rsidRDefault="00683E2A">
            <w:pPr>
              <w:jc w:val="center"/>
            </w:pPr>
            <w:r>
              <w:rPr>
                <w:color w:val="000000"/>
                <w:sz w:val="24"/>
              </w:rPr>
              <w:t>17</w:t>
            </w:r>
            <w:r>
              <w:rPr>
                <w:color w:val="000000"/>
                <w:sz w:val="24"/>
              </w:rPr>
              <w:t>光大集团</w:t>
            </w:r>
            <w:r>
              <w:rPr>
                <w:color w:val="000000"/>
                <w:sz w:val="24"/>
              </w:rPr>
              <w:t>MTN001</w:t>
            </w:r>
          </w:p>
        </w:tc>
        <w:tc>
          <w:tcPr>
            <w:tcW w:w="1394" w:type="dxa"/>
            <w:vAlign w:val="center"/>
          </w:tcPr>
          <w:p w:rsidR="000C4E5D" w:rsidRDefault="00683E2A">
            <w:pPr>
              <w:jc w:val="right"/>
            </w:pPr>
            <w:r>
              <w:rPr>
                <w:color w:val="000000"/>
                <w:sz w:val="24"/>
              </w:rPr>
              <w:t>800,000</w:t>
            </w:r>
          </w:p>
        </w:tc>
        <w:tc>
          <w:tcPr>
            <w:tcW w:w="1944" w:type="dxa"/>
            <w:vAlign w:val="center"/>
          </w:tcPr>
          <w:p w:rsidR="000C4E5D" w:rsidRDefault="00683E2A">
            <w:pPr>
              <w:jc w:val="right"/>
            </w:pPr>
            <w:r>
              <w:rPr>
                <w:color w:val="000000"/>
                <w:sz w:val="24"/>
              </w:rPr>
              <w:t>81,000,000.00</w:t>
            </w:r>
          </w:p>
        </w:tc>
        <w:tc>
          <w:tcPr>
            <w:tcW w:w="1389" w:type="dxa"/>
            <w:vAlign w:val="center"/>
          </w:tcPr>
          <w:p w:rsidR="000C4E5D" w:rsidRDefault="00683E2A">
            <w:pPr>
              <w:jc w:val="right"/>
            </w:pPr>
            <w:r>
              <w:rPr>
                <w:color w:val="000000"/>
                <w:sz w:val="24"/>
              </w:rPr>
              <w:t>7.47</w:t>
            </w:r>
          </w:p>
        </w:tc>
      </w:tr>
      <w:tr w:rsidR="000C4E5D">
        <w:trPr>
          <w:jc w:val="center"/>
        </w:trPr>
        <w:tc>
          <w:tcPr>
            <w:tcW w:w="1075" w:type="dxa"/>
            <w:vAlign w:val="center"/>
          </w:tcPr>
          <w:p w:rsidR="000C4E5D" w:rsidRDefault="00683E2A">
            <w:pPr>
              <w:jc w:val="center"/>
            </w:pPr>
            <w:r>
              <w:rPr>
                <w:color w:val="000000"/>
                <w:sz w:val="24"/>
              </w:rPr>
              <w:t>3</w:t>
            </w:r>
          </w:p>
        </w:tc>
        <w:tc>
          <w:tcPr>
            <w:tcW w:w="1533" w:type="dxa"/>
            <w:vAlign w:val="center"/>
          </w:tcPr>
          <w:p w:rsidR="000C4E5D" w:rsidRDefault="00683E2A">
            <w:pPr>
              <w:jc w:val="center"/>
            </w:pPr>
            <w:r>
              <w:rPr>
                <w:color w:val="000000"/>
                <w:sz w:val="24"/>
              </w:rPr>
              <w:t>111819091</w:t>
            </w:r>
          </w:p>
        </w:tc>
        <w:tc>
          <w:tcPr>
            <w:tcW w:w="1533" w:type="dxa"/>
            <w:vAlign w:val="center"/>
          </w:tcPr>
          <w:p w:rsidR="000C4E5D" w:rsidRDefault="00683E2A">
            <w:pPr>
              <w:jc w:val="center"/>
            </w:pPr>
            <w:r>
              <w:rPr>
                <w:color w:val="000000"/>
                <w:sz w:val="24"/>
              </w:rPr>
              <w:t>18</w:t>
            </w:r>
            <w:r>
              <w:rPr>
                <w:color w:val="000000"/>
                <w:sz w:val="24"/>
              </w:rPr>
              <w:t>恒丰银行</w:t>
            </w:r>
            <w:r>
              <w:rPr>
                <w:color w:val="000000"/>
                <w:sz w:val="24"/>
              </w:rPr>
              <w:t>CD091</w:t>
            </w:r>
          </w:p>
        </w:tc>
        <w:tc>
          <w:tcPr>
            <w:tcW w:w="1394" w:type="dxa"/>
            <w:vAlign w:val="center"/>
          </w:tcPr>
          <w:p w:rsidR="000C4E5D" w:rsidRDefault="00683E2A">
            <w:pPr>
              <w:jc w:val="right"/>
            </w:pPr>
            <w:r>
              <w:rPr>
                <w:color w:val="000000"/>
                <w:sz w:val="24"/>
              </w:rPr>
              <w:t>700,000</w:t>
            </w:r>
          </w:p>
        </w:tc>
        <w:tc>
          <w:tcPr>
            <w:tcW w:w="1944" w:type="dxa"/>
            <w:vAlign w:val="center"/>
          </w:tcPr>
          <w:p w:rsidR="000C4E5D" w:rsidRDefault="00683E2A">
            <w:pPr>
              <w:jc w:val="right"/>
            </w:pPr>
            <w:r>
              <w:rPr>
                <w:color w:val="000000"/>
                <w:sz w:val="24"/>
              </w:rPr>
              <w:t>67,032,000.00</w:t>
            </w:r>
          </w:p>
        </w:tc>
        <w:tc>
          <w:tcPr>
            <w:tcW w:w="1389" w:type="dxa"/>
            <w:vAlign w:val="center"/>
          </w:tcPr>
          <w:p w:rsidR="000C4E5D" w:rsidRDefault="00683E2A">
            <w:pPr>
              <w:jc w:val="right"/>
            </w:pPr>
            <w:r>
              <w:rPr>
                <w:color w:val="000000"/>
                <w:sz w:val="24"/>
              </w:rPr>
              <w:t>6.18</w:t>
            </w:r>
          </w:p>
        </w:tc>
      </w:tr>
      <w:tr w:rsidR="000C4E5D">
        <w:trPr>
          <w:jc w:val="center"/>
        </w:trPr>
        <w:tc>
          <w:tcPr>
            <w:tcW w:w="1075" w:type="dxa"/>
            <w:vAlign w:val="center"/>
          </w:tcPr>
          <w:p w:rsidR="000C4E5D" w:rsidRDefault="00683E2A">
            <w:pPr>
              <w:jc w:val="center"/>
            </w:pPr>
            <w:r>
              <w:rPr>
                <w:color w:val="000000"/>
                <w:sz w:val="24"/>
              </w:rPr>
              <w:t>4</w:t>
            </w:r>
          </w:p>
        </w:tc>
        <w:tc>
          <w:tcPr>
            <w:tcW w:w="1533" w:type="dxa"/>
            <w:vAlign w:val="center"/>
          </w:tcPr>
          <w:p w:rsidR="000C4E5D" w:rsidRDefault="00683E2A">
            <w:pPr>
              <w:jc w:val="center"/>
            </w:pPr>
            <w:r>
              <w:rPr>
                <w:color w:val="000000"/>
                <w:sz w:val="24"/>
              </w:rPr>
              <w:t>101564026</w:t>
            </w:r>
          </w:p>
        </w:tc>
        <w:tc>
          <w:tcPr>
            <w:tcW w:w="1533" w:type="dxa"/>
            <w:vAlign w:val="center"/>
          </w:tcPr>
          <w:p w:rsidR="000C4E5D" w:rsidRDefault="00683E2A">
            <w:pPr>
              <w:jc w:val="center"/>
            </w:pPr>
            <w:r>
              <w:rPr>
                <w:color w:val="000000"/>
                <w:sz w:val="24"/>
              </w:rPr>
              <w:t>15</w:t>
            </w:r>
            <w:r>
              <w:rPr>
                <w:color w:val="000000"/>
                <w:sz w:val="24"/>
              </w:rPr>
              <w:t>赣水投</w:t>
            </w:r>
            <w:r>
              <w:rPr>
                <w:color w:val="000000"/>
                <w:sz w:val="24"/>
              </w:rPr>
              <w:t>MTN001</w:t>
            </w:r>
          </w:p>
        </w:tc>
        <w:tc>
          <w:tcPr>
            <w:tcW w:w="1394" w:type="dxa"/>
            <w:vAlign w:val="center"/>
          </w:tcPr>
          <w:p w:rsidR="000C4E5D" w:rsidRDefault="00683E2A">
            <w:pPr>
              <w:jc w:val="right"/>
            </w:pPr>
            <w:r>
              <w:rPr>
                <w:color w:val="000000"/>
                <w:sz w:val="24"/>
              </w:rPr>
              <w:t>600,000</w:t>
            </w:r>
          </w:p>
        </w:tc>
        <w:tc>
          <w:tcPr>
            <w:tcW w:w="1944" w:type="dxa"/>
            <w:vAlign w:val="center"/>
          </w:tcPr>
          <w:p w:rsidR="000C4E5D" w:rsidRDefault="00683E2A">
            <w:pPr>
              <w:jc w:val="right"/>
            </w:pPr>
            <w:r>
              <w:rPr>
                <w:color w:val="000000"/>
                <w:sz w:val="24"/>
              </w:rPr>
              <w:t>61,248,000.00</w:t>
            </w:r>
          </w:p>
        </w:tc>
        <w:tc>
          <w:tcPr>
            <w:tcW w:w="1389" w:type="dxa"/>
            <w:vAlign w:val="center"/>
          </w:tcPr>
          <w:p w:rsidR="000C4E5D" w:rsidRDefault="00683E2A">
            <w:pPr>
              <w:jc w:val="right"/>
            </w:pPr>
            <w:r>
              <w:rPr>
                <w:color w:val="000000"/>
                <w:sz w:val="24"/>
              </w:rPr>
              <w:t>5.65</w:t>
            </w:r>
          </w:p>
        </w:tc>
      </w:tr>
      <w:tr w:rsidR="000C4E5D">
        <w:trPr>
          <w:jc w:val="center"/>
        </w:trPr>
        <w:tc>
          <w:tcPr>
            <w:tcW w:w="1075" w:type="dxa"/>
            <w:vAlign w:val="center"/>
          </w:tcPr>
          <w:p w:rsidR="000C4E5D" w:rsidRDefault="00683E2A">
            <w:pPr>
              <w:jc w:val="center"/>
            </w:pPr>
            <w:r>
              <w:rPr>
                <w:color w:val="000000"/>
                <w:sz w:val="24"/>
              </w:rPr>
              <w:t>5</w:t>
            </w:r>
          </w:p>
        </w:tc>
        <w:tc>
          <w:tcPr>
            <w:tcW w:w="1533" w:type="dxa"/>
            <w:vAlign w:val="center"/>
          </w:tcPr>
          <w:p w:rsidR="000C4E5D" w:rsidRDefault="00683E2A">
            <w:pPr>
              <w:jc w:val="center"/>
            </w:pPr>
            <w:r>
              <w:rPr>
                <w:color w:val="000000"/>
                <w:sz w:val="24"/>
              </w:rPr>
              <w:t>180404</w:t>
            </w:r>
          </w:p>
        </w:tc>
        <w:tc>
          <w:tcPr>
            <w:tcW w:w="1533" w:type="dxa"/>
            <w:vAlign w:val="center"/>
          </w:tcPr>
          <w:p w:rsidR="000C4E5D" w:rsidRDefault="00683E2A">
            <w:pPr>
              <w:jc w:val="center"/>
            </w:pPr>
            <w:r>
              <w:rPr>
                <w:color w:val="000000"/>
                <w:sz w:val="24"/>
              </w:rPr>
              <w:t>18</w:t>
            </w:r>
            <w:r>
              <w:rPr>
                <w:color w:val="000000"/>
                <w:sz w:val="24"/>
              </w:rPr>
              <w:t>农发</w:t>
            </w:r>
            <w:r>
              <w:rPr>
                <w:color w:val="000000"/>
                <w:sz w:val="24"/>
              </w:rPr>
              <w:t>04</w:t>
            </w:r>
          </w:p>
        </w:tc>
        <w:tc>
          <w:tcPr>
            <w:tcW w:w="1394" w:type="dxa"/>
            <w:vAlign w:val="center"/>
          </w:tcPr>
          <w:p w:rsidR="000C4E5D" w:rsidRDefault="00683E2A">
            <w:pPr>
              <w:jc w:val="right"/>
            </w:pPr>
            <w:r>
              <w:rPr>
                <w:color w:val="000000"/>
                <w:sz w:val="24"/>
              </w:rPr>
              <w:t>550,000</w:t>
            </w:r>
          </w:p>
        </w:tc>
        <w:tc>
          <w:tcPr>
            <w:tcW w:w="1944" w:type="dxa"/>
            <w:vAlign w:val="center"/>
          </w:tcPr>
          <w:p w:rsidR="000C4E5D" w:rsidRDefault="00683E2A">
            <w:pPr>
              <w:jc w:val="right"/>
            </w:pPr>
            <w:r>
              <w:rPr>
                <w:color w:val="000000"/>
                <w:sz w:val="24"/>
              </w:rPr>
              <w:t>55,269,500.00</w:t>
            </w:r>
          </w:p>
        </w:tc>
        <w:tc>
          <w:tcPr>
            <w:tcW w:w="1389" w:type="dxa"/>
            <w:vAlign w:val="center"/>
          </w:tcPr>
          <w:p w:rsidR="000C4E5D" w:rsidRDefault="00683E2A">
            <w:pPr>
              <w:jc w:val="right"/>
            </w:pPr>
            <w:r>
              <w:rPr>
                <w:color w:val="000000"/>
                <w:sz w:val="24"/>
              </w:rPr>
              <w:t>5.10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R="009238DB"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7C14DF">
      <w:pPr>
        <w:autoSpaceDE w:val="0"/>
        <w:autoSpaceDN w:val="0"/>
        <w:adjustRightInd w:val="0"/>
        <w:spacing w:before="29" w:line="288" w:lineRule="auto"/>
        <w:ind w:firstLineChars="50" w:firstLine="120"/>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E84F32" w:rsidRPr="007F52FA">
        <w:rPr>
          <w:kern w:val="0"/>
          <w:sz w:val="24"/>
        </w:rPr>
        <w:t>其他</w:t>
      </w:r>
      <w:r w:rsidRPr="007F52FA">
        <w:rPr>
          <w:kern w:val="0"/>
          <w:sz w:val="24"/>
        </w:rPr>
        <w:t>资产构成</w:t>
      </w:r>
    </w:p>
    <w:tbl>
      <w:tblPr>
        <w:tblStyle w:val="af2"/>
        <w:tblW w:w="8868" w:type="dxa"/>
        <w:jc w:val="center"/>
        <w:tblLook w:val="04A0" w:firstRow="1" w:lastRow="0" w:firstColumn="1" w:lastColumn="0" w:noHBand="0" w:noVBand="1"/>
      </w:tblPr>
      <w:tblGrid>
        <w:gridCol w:w="1246"/>
        <w:gridCol w:w="2775"/>
        <w:gridCol w:w="4847"/>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33,036,226.50</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56,354.48</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33,092,580.98</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Pr="007F52FA">
        <w:rPr>
          <w:kern w:val="0"/>
          <w:sz w:val="24"/>
        </w:rPr>
        <w:t>报告期末持有的处于转股期的可转换债券明细</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R="001D5CD0" w:rsidRPr="007F52FA" w:rsidRDefault="001D5CD0"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Pr="007F52FA">
        <w:rPr>
          <w:rFonts w:eastAsiaTheme="minorEastAsia"/>
          <w:bCs/>
          <w:sz w:val="24"/>
        </w:rPr>
        <w:t>报告期末前十名股票中存在流通受限情况的说明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本基金本报告期末前十名股票中不存在流通受限情况。</w:t>
      </w:r>
    </w:p>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Pr="007F52FA">
        <w:rPr>
          <w:rFonts w:eastAsiaTheme="minorEastAsia"/>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C51B4E" w:rsidRPr="00C51B4E" w:rsidRDefault="00C51B4E" w:rsidP="000A2988">
      <w:pPr>
        <w:pStyle w:val="1"/>
        <w:spacing w:beforeLines="100" w:before="312" w:afterLines="100" w:after="312" w:line="360" w:lineRule="auto"/>
        <w:jc w:val="center"/>
        <w:rPr>
          <w:rFonts w:eastAsiaTheme="minorEastAsia"/>
          <w:color w:val="000000" w:themeColor="text1"/>
          <w:kern w:val="0"/>
          <w:sz w:val="21"/>
          <w:szCs w:val="21"/>
        </w:rPr>
      </w:pPr>
      <w:r w:rsidRPr="00C51B4E">
        <w:rPr>
          <w:rFonts w:eastAsiaTheme="minorEastAsia"/>
          <w:color w:val="000000" w:themeColor="text1"/>
          <w:kern w:val="0"/>
          <w:sz w:val="21"/>
          <w:szCs w:val="21"/>
        </w:rPr>
        <w:t>§6</w:t>
      </w:r>
      <w:r w:rsidRPr="00C51B4E">
        <w:rPr>
          <w:rFonts w:eastAsiaTheme="minorEastAsia" w:hint="eastAsia"/>
          <w:color w:val="000000" w:themeColor="text1"/>
          <w:kern w:val="0"/>
          <w:sz w:val="21"/>
          <w:szCs w:val="21"/>
        </w:rPr>
        <w:t xml:space="preserve">  </w:t>
      </w:r>
      <w:r w:rsidRPr="00C51B4E">
        <w:rPr>
          <w:rFonts w:eastAsiaTheme="minorEastAsia" w:hint="eastAsia"/>
          <w:color w:val="000000" w:themeColor="text1"/>
          <w:kern w:val="0"/>
          <w:sz w:val="21"/>
          <w:szCs w:val="21"/>
        </w:rPr>
        <w:t>基金中基金</w:t>
      </w:r>
    </w:p>
    <w:p w:rsidR="00C51B4E" w:rsidRPr="00C51B4E" w:rsidRDefault="00C51B4E" w:rsidP="00C51B4E">
      <w:pPr>
        <w:adjustRightInd w:val="0"/>
        <w:snapToGrid w:val="0"/>
        <w:spacing w:line="360" w:lineRule="auto"/>
        <w:rPr>
          <w:rFonts w:eastAsiaTheme="minorEastAsia"/>
          <w:b/>
          <w:color w:val="000000" w:themeColor="text1"/>
          <w:kern w:val="0"/>
          <w:szCs w:val="21"/>
        </w:rPr>
      </w:pPr>
      <w:r w:rsidRPr="00C51B4E">
        <w:rPr>
          <w:rFonts w:eastAsiaTheme="minorEastAsia"/>
          <w:b/>
          <w:color w:val="000000" w:themeColor="text1"/>
          <w:kern w:val="0"/>
          <w:szCs w:val="21"/>
        </w:rPr>
        <w:t>6.1</w:t>
      </w:r>
      <w:r w:rsidRPr="00C51B4E">
        <w:rPr>
          <w:rFonts w:eastAsiaTheme="minorEastAsia" w:hint="eastAsia"/>
          <w:b/>
          <w:color w:val="000000" w:themeColor="text1"/>
          <w:kern w:val="0"/>
          <w:szCs w:val="21"/>
        </w:rPr>
        <w:t xml:space="preserve"> </w:t>
      </w:r>
      <w:r w:rsidRPr="00C51B4E">
        <w:rPr>
          <w:rFonts w:eastAsiaTheme="minorEastAsia" w:hint="eastAsia"/>
          <w:b/>
          <w:color w:val="000000" w:themeColor="text1"/>
          <w:kern w:val="0"/>
          <w:szCs w:val="21"/>
        </w:rPr>
        <w:t>报告期末按公允价值占基金资产净值比例大小排序的前十名基金投资明细</w:t>
      </w:r>
    </w:p>
    <w:p w:rsidR="00C51B4E" w:rsidRPr="00C51B4E" w:rsidRDefault="00C51B4E" w:rsidP="00C51B4E">
      <w:pPr>
        <w:autoSpaceDE w:val="0"/>
        <w:autoSpaceDN w:val="0"/>
        <w:adjustRightInd w:val="0"/>
        <w:spacing w:line="360" w:lineRule="auto"/>
        <w:ind w:firstLineChars="200" w:firstLine="420"/>
        <w:jc w:val="left"/>
        <w:rPr>
          <w:rFonts w:eastAsiaTheme="minorEastAsia"/>
          <w:color w:val="000000" w:themeColor="text1"/>
          <w:szCs w:val="21"/>
        </w:rPr>
      </w:pPr>
      <w:r w:rsidRPr="00C51B4E">
        <w:rPr>
          <w:rFonts w:eastAsiaTheme="minorEastAsia"/>
          <w:color w:val="000000" w:themeColor="text1"/>
          <w:szCs w:val="21"/>
        </w:rPr>
        <w:t>本基金本报告期末未持有基金。</w:t>
      </w:r>
    </w:p>
    <w:p w:rsidR="00C51B4E" w:rsidRPr="00C51B4E" w:rsidRDefault="00C51B4E" w:rsidP="000A2988">
      <w:pPr>
        <w:adjustRightInd w:val="0"/>
        <w:snapToGrid w:val="0"/>
        <w:spacing w:beforeLines="50" w:before="156" w:line="360" w:lineRule="auto"/>
        <w:rPr>
          <w:rFonts w:eastAsiaTheme="minorEastAsia"/>
          <w:b/>
          <w:color w:val="000000" w:themeColor="text1"/>
          <w:kern w:val="0"/>
          <w:szCs w:val="21"/>
        </w:rPr>
      </w:pPr>
      <w:r w:rsidRPr="00C51B4E">
        <w:rPr>
          <w:rFonts w:eastAsiaTheme="minorEastAsia"/>
          <w:b/>
          <w:color w:val="000000" w:themeColor="text1"/>
          <w:kern w:val="0"/>
          <w:szCs w:val="21"/>
        </w:rPr>
        <w:t>6.2</w:t>
      </w:r>
      <w:r w:rsidRPr="00C51B4E">
        <w:rPr>
          <w:rFonts w:eastAsiaTheme="minorEastAsia" w:hint="eastAsia"/>
          <w:b/>
          <w:color w:val="000000" w:themeColor="text1"/>
          <w:kern w:val="0"/>
          <w:szCs w:val="21"/>
        </w:rPr>
        <w:t xml:space="preserve"> </w:t>
      </w:r>
      <w:r w:rsidRPr="00C51B4E">
        <w:rPr>
          <w:rFonts w:eastAsiaTheme="minorEastAsia" w:hint="eastAsia"/>
          <w:b/>
          <w:color w:val="000000" w:themeColor="text1"/>
          <w:kern w:val="0"/>
          <w:szCs w:val="21"/>
        </w:rPr>
        <w:t>当期交易及持有基金产生的费用</w:t>
      </w:r>
    </w:p>
    <w:p w:rsidR="00C51B4E" w:rsidRPr="00C51B4E" w:rsidRDefault="00C51B4E" w:rsidP="00C51B4E">
      <w:pPr>
        <w:autoSpaceDE w:val="0"/>
        <w:autoSpaceDN w:val="0"/>
        <w:adjustRightInd w:val="0"/>
        <w:spacing w:line="360" w:lineRule="auto"/>
        <w:ind w:firstLineChars="200" w:firstLine="420"/>
        <w:jc w:val="left"/>
        <w:rPr>
          <w:rFonts w:eastAsiaTheme="minorEastAsia"/>
          <w:color w:val="000000" w:themeColor="text1"/>
          <w:szCs w:val="21"/>
        </w:rPr>
      </w:pPr>
      <w:r w:rsidRPr="00C51B4E">
        <w:rPr>
          <w:rFonts w:eastAsiaTheme="minorEastAsia"/>
          <w:color w:val="000000" w:themeColor="text1"/>
          <w:szCs w:val="21"/>
        </w:rPr>
        <w:t>本基金本报告期内未交易或持有基金。</w:t>
      </w:r>
    </w:p>
    <w:p w:rsidR="00C51B4E" w:rsidRPr="00C51B4E" w:rsidRDefault="00C51B4E" w:rsidP="000A2988">
      <w:pPr>
        <w:adjustRightInd w:val="0"/>
        <w:snapToGrid w:val="0"/>
        <w:spacing w:beforeLines="50" w:before="156" w:line="360" w:lineRule="auto"/>
        <w:rPr>
          <w:rFonts w:eastAsiaTheme="minorEastAsia"/>
          <w:b/>
          <w:color w:val="000000" w:themeColor="text1"/>
          <w:kern w:val="0"/>
          <w:szCs w:val="21"/>
        </w:rPr>
      </w:pPr>
      <w:r w:rsidRPr="00C51B4E">
        <w:rPr>
          <w:rFonts w:eastAsiaTheme="minorEastAsia"/>
          <w:b/>
          <w:color w:val="000000" w:themeColor="text1"/>
          <w:kern w:val="0"/>
          <w:szCs w:val="21"/>
        </w:rPr>
        <w:t>6.3</w:t>
      </w:r>
      <w:r w:rsidRPr="00C51B4E">
        <w:rPr>
          <w:rFonts w:eastAsiaTheme="minorEastAsia" w:hint="eastAsia"/>
          <w:b/>
          <w:color w:val="000000" w:themeColor="text1"/>
          <w:kern w:val="0"/>
          <w:szCs w:val="21"/>
        </w:rPr>
        <w:t xml:space="preserve"> </w:t>
      </w:r>
      <w:r w:rsidRPr="00C51B4E">
        <w:rPr>
          <w:rFonts w:eastAsiaTheme="minorEastAsia" w:hint="eastAsia"/>
          <w:b/>
          <w:color w:val="000000" w:themeColor="text1"/>
          <w:kern w:val="0"/>
          <w:szCs w:val="21"/>
        </w:rPr>
        <w:t>本报告期持有的基金发生的重大影响事件</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6"/>
      </w:tblGrid>
      <w:tr w:rsidR="00C51B4E" w:rsidRPr="00C51B4E" w:rsidTr="00F103C8">
        <w:tc>
          <w:tcPr>
            <w:tcW w:w="9036" w:type="dxa"/>
          </w:tcPr>
          <w:p w:rsidR="00C51B4E" w:rsidRPr="00C51B4E" w:rsidRDefault="00C51B4E" w:rsidP="00C51B4E">
            <w:pPr>
              <w:autoSpaceDE w:val="0"/>
              <w:autoSpaceDN w:val="0"/>
              <w:adjustRightInd w:val="0"/>
              <w:spacing w:line="360" w:lineRule="auto"/>
              <w:ind w:firstLineChars="200" w:firstLine="420"/>
              <w:jc w:val="left"/>
              <w:rPr>
                <w:rFonts w:eastAsiaTheme="minorEastAsia"/>
                <w:color w:val="000000" w:themeColor="text1"/>
                <w:szCs w:val="21"/>
              </w:rPr>
            </w:pPr>
            <w:r w:rsidRPr="00C51B4E">
              <w:rPr>
                <w:rFonts w:eastAsiaTheme="minorEastAsia" w:hint="eastAsia"/>
                <w:color w:val="000000" w:themeColor="text1"/>
                <w:szCs w:val="21"/>
              </w:rPr>
              <w:t>无。</w:t>
            </w:r>
          </w:p>
        </w:tc>
      </w:tr>
    </w:tbl>
    <w:p w:rsidR="009238DB" w:rsidRPr="007F52FA" w:rsidRDefault="00C51B4E" w:rsidP="000A2988">
      <w:pPr>
        <w:pStyle w:val="1"/>
        <w:spacing w:beforeLines="100" w:before="312" w:afterLines="100" w:after="312" w:line="288" w:lineRule="auto"/>
        <w:jc w:val="center"/>
        <w:rPr>
          <w:rFonts w:eastAsiaTheme="minorEastAsia"/>
          <w:color w:val="000000"/>
          <w:kern w:val="0"/>
          <w:sz w:val="24"/>
          <w:szCs w:val="24"/>
        </w:rPr>
      </w:pPr>
      <w:r w:rsidRPr="00C51B4E">
        <w:rPr>
          <w:rFonts w:eastAsiaTheme="minorEastAsia"/>
          <w:color w:val="000000" w:themeColor="text1"/>
          <w:kern w:val="0"/>
          <w:sz w:val="21"/>
          <w:szCs w:val="21"/>
        </w:rPr>
        <w:t>§7</w:t>
      </w:r>
      <w:r w:rsidRPr="00C51B4E">
        <w:rPr>
          <w:rFonts w:eastAsiaTheme="minorEastAsia" w:hint="eastAsia"/>
          <w:color w:val="000000" w:themeColor="text1"/>
          <w:kern w:val="0"/>
          <w:sz w:val="21"/>
          <w:szCs w:val="21"/>
        </w:rPr>
        <w:t xml:space="preserve"> </w:t>
      </w:r>
      <w:r w:rsidR="009238DB" w:rsidRPr="007F52FA">
        <w:rPr>
          <w:rFonts w:eastAsiaTheme="minorEastAsia"/>
          <w:color w:val="000000"/>
          <w:kern w:val="0"/>
          <w:sz w:val="24"/>
          <w:szCs w:val="24"/>
        </w:rPr>
        <w:t xml:space="preserve"> </w:t>
      </w:r>
      <w:r w:rsidR="009238DB"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交银裕盈纯债债券</w:t>
            </w:r>
            <w:r w:rsidRPr="007F52FA">
              <w:rPr>
                <w:rFonts w:eastAsiaTheme="minorEastAsia"/>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交银裕盈纯债债券</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997,188,831.47</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31,829.21</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3,937,137.58</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4,914,585.76</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892,501.73</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2,401,894.94</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1,000,233,467.32</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2,544,520.03</w:t>
            </w:r>
          </w:p>
        </w:tc>
      </w:tr>
    </w:tbl>
    <w:p w:rsidR="000C4E5D" w:rsidRDefault="00683E2A">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C51B4E" w:rsidP="000A2988">
      <w:pPr>
        <w:pStyle w:val="1"/>
        <w:tabs>
          <w:tab w:val="center" w:pos="4156"/>
          <w:tab w:val="right" w:pos="8312"/>
        </w:tabs>
        <w:spacing w:beforeLines="100" w:before="312" w:afterLines="100" w:after="312" w:line="288" w:lineRule="auto"/>
        <w:jc w:val="center"/>
        <w:rPr>
          <w:sz w:val="24"/>
          <w:szCs w:val="24"/>
        </w:rPr>
      </w:pPr>
      <w:r>
        <w:rPr>
          <w:color w:val="000000"/>
          <w:kern w:val="0"/>
          <w:sz w:val="24"/>
          <w:szCs w:val="24"/>
        </w:rPr>
        <w:t>§</w:t>
      </w:r>
      <w:r w:rsidR="000673DA" w:rsidRPr="000673DA">
        <w:rPr>
          <w:color w:val="000000"/>
          <w:kern w:val="0"/>
          <w:sz w:val="24"/>
          <w:szCs w:val="24"/>
        </w:rPr>
        <w:t xml:space="preserve">8  </w:t>
      </w:r>
      <w:r w:rsidR="000673DA"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8.1 </w:t>
      </w:r>
      <w:r w:rsidRPr="000673DA">
        <w:rPr>
          <w:rFonts w:hAnsi="宋体"/>
          <w:b/>
          <w:sz w:val="24"/>
        </w:rPr>
        <w:t>基金管理人持有本基金份额变动情况</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8</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ED0E09" w:rsidRDefault="00ED0E09" w:rsidP="000A2988">
      <w:pPr>
        <w:pStyle w:val="1"/>
        <w:spacing w:beforeLines="100" w:before="312" w:afterLines="100" w:after="312"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§9 </w:t>
      </w:r>
      <w:r w:rsidR="00F139D5">
        <w:rPr>
          <w:rFonts w:eastAsiaTheme="minorEastAsia"/>
          <w:color w:val="000000" w:themeColor="text1"/>
          <w:kern w:val="0"/>
          <w:sz w:val="21"/>
          <w:szCs w:val="21"/>
        </w:rPr>
        <w:t xml:space="preserve"> </w:t>
      </w:r>
      <w:r>
        <w:rPr>
          <w:rFonts w:eastAsiaTheme="minorEastAsia" w:hint="eastAsia"/>
          <w:color w:val="000000" w:themeColor="text1"/>
          <w:kern w:val="0"/>
          <w:sz w:val="21"/>
          <w:szCs w:val="21"/>
        </w:rPr>
        <w:t>影响投资者决策的其他重要信息</w:t>
      </w:r>
    </w:p>
    <w:p w:rsidR="00ED0E09" w:rsidRDefault="00ED0E09" w:rsidP="00ED0E09">
      <w:pPr>
        <w:autoSpaceDE w:val="0"/>
        <w:autoSpaceDN w:val="0"/>
        <w:adjustRightInd w:val="0"/>
        <w:spacing w:line="360" w:lineRule="auto"/>
        <w:jc w:val="left"/>
        <w:rPr>
          <w:rFonts w:ascii="宋体" w:hAnsi="宋体"/>
          <w:b/>
          <w:bCs/>
          <w:color w:val="000000"/>
          <w:kern w:val="0"/>
          <w:szCs w:val="21"/>
        </w:rPr>
      </w:pPr>
      <w:r>
        <w:rPr>
          <w:rFonts w:ascii="宋体" w:hAnsi="宋体" w:hint="eastAsia"/>
          <w:b/>
          <w:bCs/>
          <w:color w:val="000000"/>
          <w:kern w:val="0"/>
          <w:szCs w:val="21"/>
        </w:rPr>
        <w:t>9.1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ED0E09" w:rsidTr="00ED0E09">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ED0E09" w:rsidTr="00ED0E09">
        <w:tc>
          <w:tcPr>
            <w:tcW w:w="993" w:type="dxa"/>
            <w:vMerge/>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left"/>
              <w:rPr>
                <w:rFonts w:ascii="宋体" w:hAnsi="宋体"/>
                <w:b/>
                <w:bCs/>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0C4E5D">
        <w:tc>
          <w:tcPr>
            <w:tcW w:w="992" w:type="dxa"/>
            <w:vMerge w:val="restart"/>
          </w:tcPr>
          <w:p w:rsidR="000C4E5D" w:rsidRDefault="000C4E5D"/>
          <w:p w:rsidR="000C4E5D" w:rsidRDefault="00683E2A">
            <w:r>
              <w:rPr>
                <w:rFonts w:ascii="宋体" w:hAnsi="宋体" w:hint="eastAsia"/>
                <w:bCs/>
                <w:color w:val="000000"/>
                <w:kern w:val="0"/>
                <w:szCs w:val="21"/>
              </w:rPr>
              <w:t>机构</w:t>
            </w:r>
          </w:p>
        </w:tc>
        <w:tc>
          <w:tcPr>
            <w:tcW w:w="991" w:type="dxa"/>
            <w:vAlign w:val="center"/>
          </w:tcPr>
          <w:p w:rsidR="000C4E5D" w:rsidRDefault="00683E2A">
            <w:pPr>
              <w:jc w:val="center"/>
            </w:pPr>
            <w:r>
              <w:rPr>
                <w:rFonts w:ascii="宋体" w:hAnsi="宋体" w:hint="eastAsia"/>
                <w:color w:val="000000"/>
                <w:kern w:val="0"/>
                <w:szCs w:val="21"/>
              </w:rPr>
              <w:t>1</w:t>
            </w:r>
          </w:p>
        </w:tc>
        <w:tc>
          <w:tcPr>
            <w:tcW w:w="1843" w:type="dxa"/>
            <w:vAlign w:val="center"/>
          </w:tcPr>
          <w:p w:rsidR="000C4E5D" w:rsidRDefault="00683E2A">
            <w:pPr>
              <w:jc w:val="center"/>
            </w:pPr>
            <w:r>
              <w:rPr>
                <w:rFonts w:ascii="宋体" w:hAnsi="宋体" w:hint="eastAsia"/>
                <w:color w:val="000000"/>
                <w:kern w:val="0"/>
                <w:szCs w:val="21"/>
              </w:rPr>
              <w:t>2018/7/1-2018/9/30</w:t>
            </w:r>
          </w:p>
        </w:tc>
        <w:tc>
          <w:tcPr>
            <w:tcW w:w="851" w:type="dxa"/>
            <w:vAlign w:val="center"/>
          </w:tcPr>
          <w:p w:rsidR="000C4E5D" w:rsidRDefault="00683E2A">
            <w:pPr>
              <w:jc w:val="center"/>
            </w:pPr>
            <w:r>
              <w:rPr>
                <w:rFonts w:ascii="宋体" w:hAnsi="宋体" w:hint="eastAsia"/>
                <w:color w:val="000000"/>
                <w:kern w:val="0"/>
                <w:szCs w:val="21"/>
              </w:rPr>
              <w:t>996,820,252.99</w:t>
            </w:r>
          </w:p>
        </w:tc>
        <w:tc>
          <w:tcPr>
            <w:tcW w:w="850" w:type="dxa"/>
            <w:vAlign w:val="center"/>
          </w:tcPr>
          <w:p w:rsidR="000C4E5D" w:rsidRDefault="00683E2A">
            <w:pPr>
              <w:jc w:val="center"/>
            </w:pPr>
            <w:r>
              <w:rPr>
                <w:rFonts w:ascii="宋体" w:hAnsi="宋体" w:hint="eastAsia"/>
                <w:color w:val="000000"/>
                <w:kern w:val="0"/>
                <w:szCs w:val="21"/>
              </w:rPr>
              <w:t>-</w:t>
            </w:r>
          </w:p>
        </w:tc>
        <w:tc>
          <w:tcPr>
            <w:tcW w:w="1134" w:type="dxa"/>
            <w:vAlign w:val="center"/>
          </w:tcPr>
          <w:p w:rsidR="000C4E5D" w:rsidRDefault="00683E2A">
            <w:pPr>
              <w:jc w:val="center"/>
            </w:pPr>
            <w:r>
              <w:rPr>
                <w:rFonts w:ascii="宋体" w:hAnsi="宋体" w:hint="eastAsia"/>
                <w:color w:val="000000"/>
                <w:kern w:val="0"/>
                <w:szCs w:val="21"/>
              </w:rPr>
              <w:t>-</w:t>
            </w:r>
          </w:p>
        </w:tc>
        <w:tc>
          <w:tcPr>
            <w:tcW w:w="1419" w:type="dxa"/>
            <w:vAlign w:val="center"/>
          </w:tcPr>
          <w:p w:rsidR="000C4E5D" w:rsidRDefault="00683E2A">
            <w:pPr>
              <w:jc w:val="center"/>
            </w:pPr>
            <w:r>
              <w:rPr>
                <w:rFonts w:ascii="宋体" w:hAnsi="宋体" w:hint="eastAsia"/>
                <w:color w:val="000000"/>
                <w:kern w:val="0"/>
                <w:szCs w:val="21"/>
              </w:rPr>
              <w:t>996,820,252.99</w:t>
            </w:r>
          </w:p>
        </w:tc>
        <w:tc>
          <w:tcPr>
            <w:tcW w:w="1130" w:type="dxa"/>
            <w:vAlign w:val="center"/>
          </w:tcPr>
          <w:p w:rsidR="000C4E5D" w:rsidRDefault="00683E2A">
            <w:pPr>
              <w:jc w:val="center"/>
            </w:pPr>
            <w:r>
              <w:rPr>
                <w:rFonts w:ascii="宋体" w:hAnsi="宋体" w:hint="eastAsia"/>
                <w:color w:val="000000"/>
                <w:kern w:val="0"/>
                <w:szCs w:val="21"/>
              </w:rPr>
              <w:t>99.41%</w:t>
            </w:r>
          </w:p>
        </w:tc>
      </w:tr>
      <w:tr w:rsidR="00ED0E09" w:rsidTr="00ED0E09">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p>
        </w:tc>
      </w:tr>
      <w:tr w:rsidR="00ED0E09" w:rsidTr="00ED0E09">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175E3A" w:rsidRPr="007032A6" w:rsidRDefault="009238DB" w:rsidP="000A2988">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10</w:t>
      </w:r>
      <w:r w:rsidR="00F30496">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10.</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rsidR="000C4E5D" w:rsidRDefault="00683E2A">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、中国证监会准予交银施罗德裕盈纯债债券型证券投资基金募集注册的文件；</w:t>
      </w:r>
      <w:r>
        <w:rPr>
          <w:rFonts w:eastAsiaTheme="minorEastAsia"/>
          <w:color w:val="000000"/>
          <w:sz w:val="24"/>
        </w:rPr>
        <w:t xml:space="preserve"> </w:t>
      </w:r>
    </w:p>
    <w:p w:rsidR="000C4E5D" w:rsidRDefault="00683E2A">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、《交银施罗德裕盈纯债债券型证券投资基金基金合同》；</w:t>
      </w:r>
      <w:r>
        <w:rPr>
          <w:rFonts w:eastAsiaTheme="minorEastAsia"/>
          <w:color w:val="000000"/>
          <w:sz w:val="24"/>
        </w:rPr>
        <w:t xml:space="preserve"> </w:t>
      </w:r>
    </w:p>
    <w:p w:rsidR="000C4E5D" w:rsidRDefault="00683E2A">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、《交银施罗德裕盈纯债债券型证券投资基金招募说明书》；</w:t>
      </w:r>
      <w:r>
        <w:rPr>
          <w:rFonts w:eastAsiaTheme="minorEastAsia"/>
          <w:color w:val="000000"/>
          <w:sz w:val="24"/>
        </w:rPr>
        <w:t xml:space="preserve"> </w:t>
      </w:r>
    </w:p>
    <w:p w:rsidR="000C4E5D" w:rsidRDefault="00683E2A">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、《交银施罗德裕盈纯债债券型证券投资基金托管协议》；</w:t>
      </w:r>
      <w:r>
        <w:rPr>
          <w:rFonts w:eastAsiaTheme="minorEastAsia"/>
          <w:color w:val="000000"/>
          <w:sz w:val="24"/>
        </w:rPr>
        <w:t xml:space="preserve"> </w:t>
      </w:r>
    </w:p>
    <w:p w:rsidR="000C4E5D" w:rsidRDefault="00683E2A">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、关于申请募集注册交银施罗德裕盈纯债债券型证券投资基金的法律意见书；</w:t>
      </w:r>
      <w:r>
        <w:rPr>
          <w:rFonts w:eastAsiaTheme="minorEastAsia"/>
          <w:color w:val="000000"/>
          <w:sz w:val="24"/>
        </w:rPr>
        <w:t xml:space="preserve"> </w:t>
      </w:r>
    </w:p>
    <w:p w:rsidR="000C4E5D" w:rsidRDefault="00683E2A">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0C4E5D" w:rsidRDefault="00683E2A">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、报告期内交银施罗德裕盈纯债债券型证券投资基金在指定报刊上各项公告的原稿。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10.2</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10.3</w:t>
      </w:r>
      <w:r w:rsidR="00FB3C94" w:rsidRPr="007F52FA">
        <w:rPr>
          <w:rFonts w:eastAsiaTheme="minorEastAsia"/>
          <w:b/>
          <w:bCs/>
          <w:color w:val="000000"/>
          <w:kern w:val="0"/>
          <w:sz w:val="24"/>
        </w:rPr>
        <w:t>查阅方式</w:t>
      </w:r>
    </w:p>
    <w:p w:rsidR="000C4E5D" w:rsidRDefault="00683E2A">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查阅。在支付工本费后，</w:t>
      </w:r>
      <w:r>
        <w:rPr>
          <w:rFonts w:eastAsiaTheme="minorEastAsia"/>
          <w:color w:val="000000"/>
          <w:sz w:val="24"/>
        </w:rPr>
        <w:t>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A1E" w:rsidRDefault="001B5A1E">
      <w:r>
        <w:separator/>
      </w:r>
    </w:p>
  </w:endnote>
  <w:endnote w:type="continuationSeparator" w:id="0">
    <w:p w:rsidR="001B5A1E" w:rsidRDefault="001B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sidR="0042114A">
      <w:rPr>
        <w:kern w:val="0"/>
        <w:szCs w:val="21"/>
      </w:rPr>
      <w:fldChar w:fldCharType="begin"/>
    </w:r>
    <w:r>
      <w:rPr>
        <w:kern w:val="0"/>
        <w:szCs w:val="21"/>
      </w:rPr>
      <w:instrText xml:space="preserve"> PAGE </w:instrText>
    </w:r>
    <w:r w:rsidR="0042114A">
      <w:rPr>
        <w:kern w:val="0"/>
        <w:szCs w:val="21"/>
      </w:rPr>
      <w:fldChar w:fldCharType="separate"/>
    </w:r>
    <w:r w:rsidR="00683E2A">
      <w:rPr>
        <w:noProof/>
        <w:kern w:val="0"/>
        <w:szCs w:val="21"/>
      </w:rPr>
      <w:t>3</w:t>
    </w:r>
    <w:r w:rsidR="0042114A">
      <w:rPr>
        <w:kern w:val="0"/>
        <w:szCs w:val="21"/>
      </w:rPr>
      <w:fldChar w:fldCharType="end"/>
    </w:r>
    <w:r>
      <w:rPr>
        <w:rFonts w:hint="eastAsia"/>
        <w:kern w:val="0"/>
        <w:szCs w:val="21"/>
      </w:rPr>
      <w:t>页共</w:t>
    </w:r>
    <w:r w:rsidR="0042114A">
      <w:rPr>
        <w:kern w:val="0"/>
        <w:szCs w:val="21"/>
      </w:rPr>
      <w:fldChar w:fldCharType="begin"/>
    </w:r>
    <w:r>
      <w:rPr>
        <w:kern w:val="0"/>
        <w:szCs w:val="21"/>
      </w:rPr>
      <w:instrText xml:space="preserve"> NUMPAGES </w:instrText>
    </w:r>
    <w:r w:rsidR="0042114A">
      <w:rPr>
        <w:kern w:val="0"/>
        <w:szCs w:val="21"/>
      </w:rPr>
      <w:fldChar w:fldCharType="separate"/>
    </w:r>
    <w:r w:rsidR="00683E2A">
      <w:rPr>
        <w:noProof/>
        <w:kern w:val="0"/>
        <w:szCs w:val="21"/>
      </w:rPr>
      <w:t>14</w:t>
    </w:r>
    <w:r w:rsidR="0042114A">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42114A">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A1E" w:rsidRDefault="001B5A1E">
      <w:r>
        <w:separator/>
      </w:r>
    </w:p>
  </w:footnote>
  <w:footnote w:type="continuationSeparator" w:id="0">
    <w:p w:rsidR="001B5A1E" w:rsidRDefault="001B5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D3445F" w:rsidRDefault="00D3445F" w:rsidP="00D3445F">
    <w:pPr>
      <w:spacing w:before="29" w:line="288" w:lineRule="auto"/>
      <w:jc w:val="right"/>
      <w:rPr>
        <w:rFonts w:eastAsiaTheme="minorEastAsia"/>
        <w:sz w:val="24"/>
      </w:rPr>
    </w:pPr>
    <w:r w:rsidRPr="00D3445F">
      <w:rPr>
        <w:rFonts w:eastAsiaTheme="minorEastAsia"/>
        <w:sz w:val="24"/>
      </w:rPr>
      <w:t>交银施罗德裕盈纯债债券型证券投资基金</w:t>
    </w:r>
    <w:r w:rsidRPr="00D3445F">
      <w:rPr>
        <w:rFonts w:eastAsiaTheme="minorEastAsia"/>
        <w:sz w:val="24"/>
      </w:rPr>
      <w:t>2018</w:t>
    </w:r>
    <w:r w:rsidRPr="00D3445F">
      <w:rPr>
        <w:rFonts w:eastAsiaTheme="minorEastAsia"/>
        <w:sz w:val="24"/>
      </w:rPr>
      <w:t>年第</w:t>
    </w:r>
    <w:r w:rsidRPr="00D3445F">
      <w:rPr>
        <w:rFonts w:eastAsiaTheme="minorEastAsia"/>
        <w:sz w:val="24"/>
      </w:rPr>
      <w:t>3</w:t>
    </w:r>
    <w:r w:rsidRPr="00D3445F">
      <w:rPr>
        <w:rFonts w:eastAsiaTheme="minorEastAsia"/>
        <w:sz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2988"/>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4E5D"/>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36D7"/>
    <w:rsid w:val="00194155"/>
    <w:rsid w:val="001949CA"/>
    <w:rsid w:val="00195AFC"/>
    <w:rsid w:val="001A0417"/>
    <w:rsid w:val="001A0B71"/>
    <w:rsid w:val="001A1389"/>
    <w:rsid w:val="001A3016"/>
    <w:rsid w:val="001A3914"/>
    <w:rsid w:val="001A5D39"/>
    <w:rsid w:val="001A5FA6"/>
    <w:rsid w:val="001B053A"/>
    <w:rsid w:val="001B0691"/>
    <w:rsid w:val="001B0C78"/>
    <w:rsid w:val="001B1A13"/>
    <w:rsid w:val="001B22BA"/>
    <w:rsid w:val="001B4CD1"/>
    <w:rsid w:val="001B5A1E"/>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93E"/>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009"/>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1674"/>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14A"/>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57C1"/>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3E2A"/>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252F"/>
    <w:rsid w:val="006B25AD"/>
    <w:rsid w:val="006B2CE8"/>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5B21"/>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127"/>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61C4"/>
    <w:rsid w:val="008F6228"/>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2650"/>
    <w:rsid w:val="009631C1"/>
    <w:rsid w:val="00967FFB"/>
    <w:rsid w:val="00970C69"/>
    <w:rsid w:val="00973B57"/>
    <w:rsid w:val="00973E0D"/>
    <w:rsid w:val="0097403F"/>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2F34"/>
    <w:rsid w:val="00C030B6"/>
    <w:rsid w:val="00C04B38"/>
    <w:rsid w:val="00C067B7"/>
    <w:rsid w:val="00C10A09"/>
    <w:rsid w:val="00C121BC"/>
    <w:rsid w:val="00C13116"/>
    <w:rsid w:val="00C14D92"/>
    <w:rsid w:val="00C158BC"/>
    <w:rsid w:val="00C16739"/>
    <w:rsid w:val="00C17F3F"/>
    <w:rsid w:val="00C220EF"/>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1B4E"/>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2F4E"/>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4695"/>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445F"/>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03C8"/>
    <w:rsid w:val="00F11783"/>
    <w:rsid w:val="00F119AF"/>
    <w:rsid w:val="00F139D5"/>
    <w:rsid w:val="00F1480B"/>
    <w:rsid w:val="00F1498D"/>
    <w:rsid w:val="00F20065"/>
    <w:rsid w:val="00F2038E"/>
    <w:rsid w:val="00F22211"/>
    <w:rsid w:val="00F22297"/>
    <w:rsid w:val="00F22341"/>
    <w:rsid w:val="00F22F1D"/>
    <w:rsid w:val="00F24039"/>
    <w:rsid w:val="00F24E0E"/>
    <w:rsid w:val="00F2646E"/>
    <w:rsid w:val="00F265A5"/>
    <w:rsid w:val="00F26693"/>
    <w:rsid w:val="00F30496"/>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41"/>
    <o:shapelayout v:ext="edit">
      <o:idmap v:ext="edit" data="1"/>
    </o:shapelayout>
  </w:shapeDefaults>
  <w:decimalSymbol w:val="."/>
  <w:listSeparator w:val=","/>
  <w15:docId w15:val="{8A45F915-3623-48F6-90E5-3CB14C3C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uiPriority w:val="99"/>
    <w:semiHidden/>
    <w:rsid w:val="006A4828"/>
    <w:rPr>
      <w:sz w:val="21"/>
      <w:szCs w:val="21"/>
    </w:rPr>
  </w:style>
  <w:style w:type="paragraph" w:styleId="af">
    <w:name w:val="annotation text"/>
    <w:basedOn w:val="a"/>
    <w:link w:val="Char2"/>
    <w:uiPriority w:val="99"/>
    <w:semiHidden/>
    <w:rsid w:val="006A4828"/>
    <w:pPr>
      <w:jc w:val="left"/>
    </w:pPr>
  </w:style>
  <w:style w:type="paragraph" w:styleId="af0">
    <w:name w:val="annotation subject"/>
    <w:basedOn w:val="af"/>
    <w:next w:val="af"/>
    <w:semiHidden/>
    <w:rsid w:val="006A4828"/>
    <w:rPr>
      <w:b/>
      <w:bCs/>
    </w:rPr>
  </w:style>
  <w:style w:type="paragraph" w:customStyle="1" w:styleId="Char3">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4"/>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5">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4">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uiPriority w:val="99"/>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 w:type="character" w:customStyle="1" w:styleId="Char2">
    <w:name w:val="批注文字 Char"/>
    <w:basedOn w:val="a1"/>
    <w:link w:val="af"/>
    <w:uiPriority w:val="99"/>
    <w:semiHidden/>
    <w:rsid w:val="00C51B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E08C6-C2DD-42D7-A93F-8870D35E9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Template>
  <TotalTime>208</TotalTime>
  <Pages>14</Pages>
  <Words>1144</Words>
  <Characters>6521</Characters>
  <Application>Microsoft Office Word</Application>
  <DocSecurity>0</DocSecurity>
  <Lines>54</Lines>
  <Paragraphs>15</Paragraphs>
  <ScaleCrop>false</ScaleCrop>
  <Company>TRT. Ltd. Co.</Company>
  <LinksUpToDate>false</LinksUpToDate>
  <CharactersWithSpaces>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张婉婧</cp:lastModifiedBy>
  <cp:revision>378</cp:revision>
  <cp:lastPrinted>2007-07-19T00:46:00Z</cp:lastPrinted>
  <dcterms:created xsi:type="dcterms:W3CDTF">2014-01-17T06:19:00Z</dcterms:created>
  <dcterms:modified xsi:type="dcterms:W3CDTF">2018-10-17T06:39:00Z</dcterms:modified>
</cp:coreProperties>
</file>