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02CAE" w:rsidRDefault="00054EE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3,399,790,279.79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54EEE" w:rsidRPr="00414345" w:rsidTr="00054EE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54EEE" w:rsidRPr="00414345" w:rsidTr="0005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-468,725,891.08</w:t>
            </w:r>
          </w:p>
        </w:tc>
      </w:tr>
      <w:tr w:rsidR="00054EEE" w:rsidRPr="00414345" w:rsidTr="0005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-440,957,657.56</w:t>
            </w:r>
          </w:p>
        </w:tc>
      </w:tr>
      <w:tr w:rsidR="00054EEE" w:rsidRPr="00414345" w:rsidTr="0005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-0.1309</w:t>
            </w:r>
          </w:p>
        </w:tc>
      </w:tr>
      <w:tr w:rsidR="00054EEE" w:rsidRPr="00414345" w:rsidTr="0005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4,757,676,631.08</w:t>
            </w:r>
          </w:p>
        </w:tc>
      </w:tr>
      <w:tr w:rsidR="00054EEE" w:rsidRPr="00414345" w:rsidTr="00054EE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1.399</w:t>
            </w:r>
          </w:p>
        </w:tc>
      </w:tr>
    </w:tbl>
    <w:p w:rsidR="00C02CAE" w:rsidRDefault="00054EE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02CAE">
        <w:trPr>
          <w:jc w:val="center"/>
        </w:trPr>
        <w:tc>
          <w:tcPr>
            <w:tcW w:w="1701" w:type="dxa"/>
            <w:vAlign w:val="center"/>
          </w:tcPr>
          <w:p w:rsidR="00C02CAE" w:rsidRDefault="00054EEE">
            <w:pPr>
              <w:jc w:val="left"/>
            </w:pPr>
            <w:r>
              <w:rPr>
                <w:color w:val="000000"/>
                <w:sz w:val="24"/>
                <w:szCs w:val="24"/>
              </w:rPr>
              <w:lastRenderedPageBreak/>
              <w:t>过去三个月</w:t>
            </w:r>
          </w:p>
        </w:tc>
        <w:tc>
          <w:tcPr>
            <w:tcW w:w="1045" w:type="dxa"/>
            <w:vAlign w:val="center"/>
          </w:tcPr>
          <w:p w:rsidR="00C02CAE" w:rsidRDefault="00054EEE">
            <w:pPr>
              <w:jc w:val="center"/>
            </w:pPr>
            <w:r>
              <w:rPr>
                <w:color w:val="000000"/>
                <w:sz w:val="24"/>
                <w:szCs w:val="24"/>
              </w:rPr>
              <w:t>-8.62%</w:t>
            </w:r>
          </w:p>
        </w:tc>
        <w:tc>
          <w:tcPr>
            <w:tcW w:w="1344" w:type="dxa"/>
            <w:vAlign w:val="center"/>
          </w:tcPr>
          <w:p w:rsidR="00C02CAE" w:rsidRDefault="00054EEE">
            <w:pPr>
              <w:jc w:val="center"/>
            </w:pPr>
            <w:r>
              <w:rPr>
                <w:color w:val="000000"/>
                <w:sz w:val="24"/>
                <w:szCs w:val="24"/>
              </w:rPr>
              <w:t>1.37%</w:t>
            </w:r>
          </w:p>
        </w:tc>
        <w:tc>
          <w:tcPr>
            <w:tcW w:w="1194" w:type="dxa"/>
            <w:vAlign w:val="center"/>
          </w:tcPr>
          <w:p w:rsidR="00C02CAE" w:rsidRDefault="00054EEE">
            <w:pPr>
              <w:jc w:val="center"/>
            </w:pPr>
            <w:r>
              <w:rPr>
                <w:color w:val="000000"/>
                <w:sz w:val="24"/>
                <w:szCs w:val="24"/>
              </w:rPr>
              <w:t>-0.58%</w:t>
            </w:r>
          </w:p>
        </w:tc>
        <w:tc>
          <w:tcPr>
            <w:tcW w:w="1492" w:type="dxa"/>
            <w:vAlign w:val="center"/>
          </w:tcPr>
          <w:p w:rsidR="00C02CAE" w:rsidRDefault="00054EEE">
            <w:pPr>
              <w:jc w:val="center"/>
            </w:pPr>
            <w:r>
              <w:rPr>
                <w:color w:val="000000"/>
                <w:sz w:val="24"/>
                <w:szCs w:val="24"/>
              </w:rPr>
              <w:t>0.81%</w:t>
            </w:r>
          </w:p>
        </w:tc>
        <w:tc>
          <w:tcPr>
            <w:tcW w:w="1194" w:type="dxa"/>
            <w:vAlign w:val="center"/>
          </w:tcPr>
          <w:p w:rsidR="00C02CAE" w:rsidRDefault="00054EEE">
            <w:pPr>
              <w:jc w:val="center"/>
            </w:pPr>
            <w:r>
              <w:rPr>
                <w:color w:val="000000"/>
                <w:sz w:val="24"/>
                <w:szCs w:val="24"/>
              </w:rPr>
              <w:t>-8.04%</w:t>
            </w:r>
          </w:p>
        </w:tc>
        <w:tc>
          <w:tcPr>
            <w:tcW w:w="898" w:type="dxa"/>
            <w:vAlign w:val="center"/>
          </w:tcPr>
          <w:p w:rsidR="00C02CAE" w:rsidRDefault="00054EEE">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02CAE">
        <w:trPr>
          <w:jc w:val="center"/>
        </w:trPr>
        <w:tc>
          <w:tcPr>
            <w:tcW w:w="846" w:type="dxa"/>
            <w:vAlign w:val="center"/>
          </w:tcPr>
          <w:p w:rsidR="00C02CAE" w:rsidRDefault="00054EEE">
            <w:pPr>
              <w:jc w:val="center"/>
            </w:pPr>
            <w:r>
              <w:rPr>
                <w:color w:val="000000"/>
                <w:sz w:val="24"/>
                <w:szCs w:val="24"/>
              </w:rPr>
              <w:t>杨浩</w:t>
            </w:r>
          </w:p>
        </w:tc>
        <w:tc>
          <w:tcPr>
            <w:tcW w:w="845" w:type="dxa"/>
            <w:vAlign w:val="center"/>
          </w:tcPr>
          <w:p w:rsidR="00C02CAE" w:rsidRDefault="00054EEE">
            <w:pPr>
              <w:jc w:val="center"/>
            </w:pPr>
            <w:r>
              <w:rPr>
                <w:color w:val="000000"/>
                <w:sz w:val="24"/>
                <w:szCs w:val="24"/>
              </w:rPr>
              <w:t>交银定期支付双息平衡混合、交银新生活力灵活配置混合的基金经理</w:t>
            </w:r>
          </w:p>
        </w:tc>
        <w:tc>
          <w:tcPr>
            <w:tcW w:w="1549" w:type="dxa"/>
            <w:vAlign w:val="center"/>
          </w:tcPr>
          <w:p w:rsidR="00C02CAE" w:rsidRDefault="00054EEE">
            <w:pPr>
              <w:jc w:val="center"/>
            </w:pPr>
            <w:r>
              <w:rPr>
                <w:color w:val="000000"/>
                <w:sz w:val="24"/>
                <w:szCs w:val="24"/>
              </w:rPr>
              <w:t>2016-11-11</w:t>
            </w:r>
          </w:p>
        </w:tc>
        <w:tc>
          <w:tcPr>
            <w:tcW w:w="1548" w:type="dxa"/>
            <w:vAlign w:val="center"/>
          </w:tcPr>
          <w:p w:rsidR="00C02CAE" w:rsidRDefault="00054EEE">
            <w:pPr>
              <w:jc w:val="center"/>
            </w:pPr>
            <w:r>
              <w:rPr>
                <w:color w:val="000000"/>
                <w:sz w:val="24"/>
                <w:szCs w:val="24"/>
              </w:rPr>
              <w:t>-</w:t>
            </w:r>
          </w:p>
        </w:tc>
        <w:tc>
          <w:tcPr>
            <w:tcW w:w="1407" w:type="dxa"/>
            <w:vAlign w:val="center"/>
          </w:tcPr>
          <w:p w:rsidR="00C02CAE" w:rsidRDefault="00054EEE">
            <w:pPr>
              <w:jc w:val="center"/>
            </w:pPr>
            <w:r>
              <w:rPr>
                <w:color w:val="000000"/>
                <w:sz w:val="24"/>
                <w:szCs w:val="24"/>
              </w:rPr>
              <w:t>8</w:t>
            </w:r>
            <w:r>
              <w:rPr>
                <w:color w:val="000000"/>
                <w:sz w:val="24"/>
                <w:szCs w:val="24"/>
              </w:rPr>
              <w:t>年</w:t>
            </w:r>
          </w:p>
        </w:tc>
        <w:tc>
          <w:tcPr>
            <w:tcW w:w="2673" w:type="dxa"/>
            <w:vAlign w:val="center"/>
          </w:tcPr>
          <w:p w:rsidR="00C02CAE" w:rsidRDefault="00054EEE">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02CAE" w:rsidRDefault="00054EE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02CAE" w:rsidRDefault="00054EE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02CAE" w:rsidRDefault="00054EE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02CAE" w:rsidRDefault="00054EEE">
      <w:pPr>
        <w:spacing w:before="29" w:line="288" w:lineRule="auto"/>
        <w:ind w:firstLineChars="200" w:firstLine="480"/>
        <w:rPr>
          <w:color w:val="000000"/>
          <w:sz w:val="24"/>
          <w:szCs w:val="24"/>
        </w:rPr>
      </w:pPr>
      <w:r>
        <w:rPr>
          <w:color w:val="000000"/>
          <w:sz w:val="24"/>
          <w:szCs w:val="24"/>
        </w:rPr>
        <w:t>2018</w:t>
      </w:r>
      <w:r>
        <w:rPr>
          <w:color w:val="000000"/>
          <w:sz w:val="24"/>
          <w:szCs w:val="24"/>
        </w:rPr>
        <w:t>年第三季度，宏观基本面更为复杂。中美贸易战激化，全球化倒退，美国经济强势兑现加息，油价和十年期美债持续上行，同时国内在经济政策层面上开始有所积极，改革在摸索中前行。对二级市场而言，呈现出低估值权重板块（金融、能源、材料）等领域表现相对强势，而科技成长消费行业整体受到估值压制，本季度几乎没有表现较好的细分成长行业。本季度，上证</w:t>
      </w:r>
      <w:r>
        <w:rPr>
          <w:color w:val="000000"/>
          <w:sz w:val="24"/>
          <w:szCs w:val="24"/>
        </w:rPr>
        <w:t>50</w:t>
      </w:r>
      <w:r>
        <w:rPr>
          <w:color w:val="000000"/>
          <w:sz w:val="24"/>
          <w:szCs w:val="24"/>
        </w:rPr>
        <w:t>指数表现最佳，上涨</w:t>
      </w:r>
      <w:r>
        <w:rPr>
          <w:color w:val="000000"/>
          <w:sz w:val="24"/>
          <w:szCs w:val="24"/>
        </w:rPr>
        <w:t>5.11%</w:t>
      </w:r>
      <w:r>
        <w:rPr>
          <w:color w:val="000000"/>
          <w:sz w:val="24"/>
          <w:szCs w:val="24"/>
        </w:rPr>
        <w:t>，而创业板指数表现持续低迷，下跌</w:t>
      </w:r>
      <w:r>
        <w:rPr>
          <w:color w:val="000000"/>
          <w:sz w:val="24"/>
          <w:szCs w:val="24"/>
        </w:rPr>
        <w:t>12.16%</w:t>
      </w:r>
      <w:r>
        <w:rPr>
          <w:color w:val="000000"/>
          <w:sz w:val="24"/>
          <w:szCs w:val="24"/>
        </w:rPr>
        <w:t>。</w:t>
      </w:r>
    </w:p>
    <w:p w:rsidR="00C02CAE" w:rsidRDefault="00054EEE">
      <w:pPr>
        <w:spacing w:before="29" w:line="288" w:lineRule="auto"/>
        <w:ind w:firstLineChars="200" w:firstLine="480"/>
        <w:rPr>
          <w:color w:val="000000"/>
          <w:sz w:val="24"/>
          <w:szCs w:val="24"/>
        </w:rPr>
      </w:pPr>
      <w:r>
        <w:rPr>
          <w:color w:val="000000"/>
          <w:sz w:val="24"/>
          <w:szCs w:val="24"/>
        </w:rPr>
        <w:t>本基金在本季度小幅跑输指数，主要源于配置成长性风格占比较多，本季度宏观基本面对高估值板块不利，且上半年有较大超额收益，持有品种普遍回撤。第三季度略降低仓位。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复杂的内外部环境将激励国家更加有力的改革，预期第四季度往后政策会出现更多的积极因素，同时经过三个季度的下跌，市场估值水平处于极低位置。长期来看，代表经济新方向有望在第四季度迎来较好的买点，我们拟伺机增加优质成长股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3,287,729,519.47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3,287,729,519.47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240,741,600.00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240,741,600.00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899,969,669.95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18.40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449,601,438.87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12,033,120.28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4,890,075,348.57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173,991,325.13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948,376,584.04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265,972,784.75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892,635,166.33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196,510.86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277,565,186.41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162,693,207.84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137,831,039.95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428,467,714.16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3,287,729,519.47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69.10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02CAE">
        <w:trPr>
          <w:jc w:val="center"/>
        </w:trPr>
        <w:tc>
          <w:tcPr>
            <w:tcW w:w="855" w:type="dxa"/>
            <w:vAlign w:val="center"/>
          </w:tcPr>
          <w:p w:rsidR="00C02CAE" w:rsidRDefault="00054EEE">
            <w:pPr>
              <w:jc w:val="center"/>
            </w:pPr>
            <w:r>
              <w:rPr>
                <w:color w:val="000000"/>
                <w:sz w:val="24"/>
                <w:szCs w:val="24"/>
              </w:rPr>
              <w:t>1</w:t>
            </w:r>
          </w:p>
        </w:tc>
        <w:tc>
          <w:tcPr>
            <w:tcW w:w="1334" w:type="dxa"/>
            <w:vAlign w:val="center"/>
          </w:tcPr>
          <w:p w:rsidR="00C02CAE" w:rsidRDefault="00054EEE">
            <w:pPr>
              <w:jc w:val="center"/>
            </w:pPr>
            <w:r>
              <w:rPr>
                <w:color w:val="000000"/>
                <w:sz w:val="24"/>
                <w:szCs w:val="24"/>
              </w:rPr>
              <w:t>000681</w:t>
            </w:r>
          </w:p>
        </w:tc>
        <w:tc>
          <w:tcPr>
            <w:tcW w:w="1777" w:type="dxa"/>
            <w:vAlign w:val="center"/>
          </w:tcPr>
          <w:p w:rsidR="00C02CAE" w:rsidRDefault="00054EEE">
            <w:pPr>
              <w:jc w:val="center"/>
            </w:pPr>
            <w:r>
              <w:rPr>
                <w:color w:val="000000"/>
                <w:sz w:val="24"/>
                <w:szCs w:val="24"/>
              </w:rPr>
              <w:t>视觉中国</w:t>
            </w:r>
          </w:p>
        </w:tc>
        <w:tc>
          <w:tcPr>
            <w:tcW w:w="1334" w:type="dxa"/>
            <w:vAlign w:val="center"/>
          </w:tcPr>
          <w:p w:rsidR="00C02CAE" w:rsidRDefault="00054EEE">
            <w:pPr>
              <w:jc w:val="right"/>
            </w:pPr>
            <w:r>
              <w:rPr>
                <w:color w:val="000000"/>
                <w:sz w:val="24"/>
                <w:szCs w:val="24"/>
              </w:rPr>
              <w:t>13,376,872</w:t>
            </w:r>
          </w:p>
        </w:tc>
        <w:tc>
          <w:tcPr>
            <w:tcW w:w="1924" w:type="dxa"/>
            <w:vAlign w:val="center"/>
          </w:tcPr>
          <w:p w:rsidR="00C02CAE" w:rsidRDefault="00054EEE">
            <w:pPr>
              <w:jc w:val="right"/>
            </w:pPr>
            <w:r>
              <w:rPr>
                <w:color w:val="000000"/>
                <w:sz w:val="24"/>
                <w:szCs w:val="24"/>
              </w:rPr>
              <w:t>360,908,006.56</w:t>
            </w:r>
          </w:p>
        </w:tc>
        <w:tc>
          <w:tcPr>
            <w:tcW w:w="1644" w:type="dxa"/>
            <w:vAlign w:val="center"/>
          </w:tcPr>
          <w:p w:rsidR="00C02CAE" w:rsidRDefault="00054EEE">
            <w:pPr>
              <w:jc w:val="right"/>
            </w:pPr>
            <w:r>
              <w:rPr>
                <w:color w:val="000000"/>
                <w:sz w:val="24"/>
                <w:szCs w:val="24"/>
              </w:rPr>
              <w:t>7.59</w:t>
            </w:r>
          </w:p>
        </w:tc>
      </w:tr>
      <w:tr w:rsidR="00C02CAE">
        <w:trPr>
          <w:jc w:val="center"/>
        </w:trPr>
        <w:tc>
          <w:tcPr>
            <w:tcW w:w="855" w:type="dxa"/>
            <w:vAlign w:val="center"/>
          </w:tcPr>
          <w:p w:rsidR="00C02CAE" w:rsidRDefault="00054EEE">
            <w:pPr>
              <w:jc w:val="center"/>
            </w:pPr>
            <w:r>
              <w:rPr>
                <w:color w:val="000000"/>
                <w:sz w:val="24"/>
                <w:szCs w:val="24"/>
              </w:rPr>
              <w:t>2</w:t>
            </w:r>
          </w:p>
        </w:tc>
        <w:tc>
          <w:tcPr>
            <w:tcW w:w="1334" w:type="dxa"/>
            <w:vAlign w:val="center"/>
          </w:tcPr>
          <w:p w:rsidR="00C02CAE" w:rsidRDefault="00054EEE">
            <w:pPr>
              <w:jc w:val="center"/>
            </w:pPr>
            <w:r>
              <w:rPr>
                <w:color w:val="000000"/>
                <w:sz w:val="24"/>
                <w:szCs w:val="24"/>
              </w:rPr>
              <w:t>300413</w:t>
            </w:r>
          </w:p>
        </w:tc>
        <w:tc>
          <w:tcPr>
            <w:tcW w:w="1777" w:type="dxa"/>
            <w:vAlign w:val="center"/>
          </w:tcPr>
          <w:p w:rsidR="00C02CAE" w:rsidRDefault="00054EEE">
            <w:pPr>
              <w:jc w:val="center"/>
            </w:pPr>
            <w:r>
              <w:rPr>
                <w:color w:val="000000"/>
                <w:sz w:val="24"/>
                <w:szCs w:val="24"/>
              </w:rPr>
              <w:t>芒果超媒</w:t>
            </w:r>
          </w:p>
        </w:tc>
        <w:tc>
          <w:tcPr>
            <w:tcW w:w="1334" w:type="dxa"/>
            <w:vAlign w:val="center"/>
          </w:tcPr>
          <w:p w:rsidR="00C02CAE" w:rsidRDefault="00054EEE">
            <w:pPr>
              <w:jc w:val="right"/>
            </w:pPr>
            <w:r>
              <w:rPr>
                <w:color w:val="000000"/>
                <w:sz w:val="24"/>
                <w:szCs w:val="24"/>
              </w:rPr>
              <w:t>7,454,503</w:t>
            </w:r>
          </w:p>
        </w:tc>
        <w:tc>
          <w:tcPr>
            <w:tcW w:w="1924" w:type="dxa"/>
            <w:vAlign w:val="center"/>
          </w:tcPr>
          <w:p w:rsidR="00C02CAE" w:rsidRDefault="00054EEE">
            <w:pPr>
              <w:jc w:val="right"/>
            </w:pPr>
            <w:r>
              <w:rPr>
                <w:color w:val="000000"/>
                <w:sz w:val="24"/>
                <w:szCs w:val="24"/>
              </w:rPr>
              <w:t>251,440,386.19</w:t>
            </w:r>
          </w:p>
        </w:tc>
        <w:tc>
          <w:tcPr>
            <w:tcW w:w="1644" w:type="dxa"/>
            <w:vAlign w:val="center"/>
          </w:tcPr>
          <w:p w:rsidR="00C02CAE" w:rsidRDefault="00054EEE">
            <w:pPr>
              <w:jc w:val="right"/>
            </w:pPr>
            <w:r>
              <w:rPr>
                <w:color w:val="000000"/>
                <w:sz w:val="24"/>
                <w:szCs w:val="24"/>
              </w:rPr>
              <w:t>5.28</w:t>
            </w:r>
          </w:p>
        </w:tc>
      </w:tr>
      <w:tr w:rsidR="00C02CAE">
        <w:trPr>
          <w:jc w:val="center"/>
        </w:trPr>
        <w:tc>
          <w:tcPr>
            <w:tcW w:w="855" w:type="dxa"/>
            <w:vAlign w:val="center"/>
          </w:tcPr>
          <w:p w:rsidR="00C02CAE" w:rsidRDefault="00054EEE">
            <w:pPr>
              <w:jc w:val="center"/>
            </w:pPr>
            <w:r>
              <w:rPr>
                <w:color w:val="000000"/>
                <w:sz w:val="24"/>
                <w:szCs w:val="24"/>
              </w:rPr>
              <w:t>3</w:t>
            </w:r>
          </w:p>
        </w:tc>
        <w:tc>
          <w:tcPr>
            <w:tcW w:w="1334" w:type="dxa"/>
            <w:vAlign w:val="center"/>
          </w:tcPr>
          <w:p w:rsidR="00C02CAE" w:rsidRDefault="00054EEE">
            <w:pPr>
              <w:jc w:val="center"/>
            </w:pPr>
            <w:r>
              <w:rPr>
                <w:color w:val="000000"/>
                <w:sz w:val="24"/>
                <w:szCs w:val="24"/>
              </w:rPr>
              <w:t>300188</w:t>
            </w:r>
          </w:p>
        </w:tc>
        <w:tc>
          <w:tcPr>
            <w:tcW w:w="1777" w:type="dxa"/>
            <w:vAlign w:val="center"/>
          </w:tcPr>
          <w:p w:rsidR="00C02CAE" w:rsidRDefault="00054EEE">
            <w:pPr>
              <w:jc w:val="center"/>
            </w:pPr>
            <w:r>
              <w:rPr>
                <w:color w:val="000000"/>
                <w:sz w:val="24"/>
                <w:szCs w:val="24"/>
              </w:rPr>
              <w:t>美亚柏科</w:t>
            </w:r>
          </w:p>
        </w:tc>
        <w:tc>
          <w:tcPr>
            <w:tcW w:w="1334" w:type="dxa"/>
            <w:vAlign w:val="center"/>
          </w:tcPr>
          <w:p w:rsidR="00C02CAE" w:rsidRDefault="00054EEE">
            <w:pPr>
              <w:jc w:val="right"/>
            </w:pPr>
            <w:r>
              <w:rPr>
                <w:color w:val="000000"/>
                <w:sz w:val="24"/>
                <w:szCs w:val="24"/>
              </w:rPr>
              <w:t>15,754,830</w:t>
            </w:r>
          </w:p>
        </w:tc>
        <w:tc>
          <w:tcPr>
            <w:tcW w:w="1924" w:type="dxa"/>
            <w:vAlign w:val="center"/>
          </w:tcPr>
          <w:p w:rsidR="00C02CAE" w:rsidRDefault="00054EEE">
            <w:pPr>
              <w:jc w:val="right"/>
            </w:pPr>
            <w:r>
              <w:rPr>
                <w:color w:val="000000"/>
                <w:sz w:val="24"/>
                <w:szCs w:val="24"/>
              </w:rPr>
              <w:t>248,796,148.70</w:t>
            </w:r>
          </w:p>
        </w:tc>
        <w:tc>
          <w:tcPr>
            <w:tcW w:w="1644" w:type="dxa"/>
            <w:vAlign w:val="center"/>
          </w:tcPr>
          <w:p w:rsidR="00C02CAE" w:rsidRDefault="00054EEE">
            <w:pPr>
              <w:jc w:val="right"/>
            </w:pPr>
            <w:r>
              <w:rPr>
                <w:color w:val="000000"/>
                <w:sz w:val="24"/>
                <w:szCs w:val="24"/>
              </w:rPr>
              <w:t>5.23</w:t>
            </w:r>
          </w:p>
        </w:tc>
      </w:tr>
      <w:tr w:rsidR="00C02CAE">
        <w:trPr>
          <w:jc w:val="center"/>
        </w:trPr>
        <w:tc>
          <w:tcPr>
            <w:tcW w:w="855" w:type="dxa"/>
            <w:vAlign w:val="center"/>
          </w:tcPr>
          <w:p w:rsidR="00C02CAE" w:rsidRDefault="00054EEE">
            <w:pPr>
              <w:jc w:val="center"/>
            </w:pPr>
            <w:r>
              <w:rPr>
                <w:color w:val="000000"/>
                <w:sz w:val="24"/>
                <w:szCs w:val="24"/>
              </w:rPr>
              <w:t>4</w:t>
            </w:r>
          </w:p>
        </w:tc>
        <w:tc>
          <w:tcPr>
            <w:tcW w:w="1334" w:type="dxa"/>
            <w:vAlign w:val="center"/>
          </w:tcPr>
          <w:p w:rsidR="00C02CAE" w:rsidRDefault="00054EEE">
            <w:pPr>
              <w:jc w:val="center"/>
            </w:pPr>
            <w:r>
              <w:rPr>
                <w:color w:val="000000"/>
                <w:sz w:val="24"/>
                <w:szCs w:val="24"/>
              </w:rPr>
              <w:t>603039</w:t>
            </w:r>
          </w:p>
        </w:tc>
        <w:tc>
          <w:tcPr>
            <w:tcW w:w="1777" w:type="dxa"/>
            <w:vAlign w:val="center"/>
          </w:tcPr>
          <w:p w:rsidR="00C02CAE" w:rsidRDefault="00054EEE">
            <w:pPr>
              <w:jc w:val="center"/>
            </w:pPr>
            <w:r>
              <w:rPr>
                <w:color w:val="000000"/>
                <w:sz w:val="24"/>
                <w:szCs w:val="24"/>
              </w:rPr>
              <w:t>泛微网络</w:t>
            </w:r>
          </w:p>
        </w:tc>
        <w:tc>
          <w:tcPr>
            <w:tcW w:w="1334" w:type="dxa"/>
            <w:vAlign w:val="center"/>
          </w:tcPr>
          <w:p w:rsidR="00C02CAE" w:rsidRDefault="00054EEE">
            <w:pPr>
              <w:jc w:val="right"/>
            </w:pPr>
            <w:r>
              <w:rPr>
                <w:color w:val="000000"/>
                <w:sz w:val="24"/>
                <w:szCs w:val="24"/>
              </w:rPr>
              <w:t>2,116,552</w:t>
            </w:r>
          </w:p>
        </w:tc>
        <w:tc>
          <w:tcPr>
            <w:tcW w:w="1924" w:type="dxa"/>
            <w:vAlign w:val="center"/>
          </w:tcPr>
          <w:p w:rsidR="00C02CAE" w:rsidRDefault="00054EEE">
            <w:pPr>
              <w:jc w:val="right"/>
            </w:pPr>
            <w:r>
              <w:rPr>
                <w:color w:val="000000"/>
                <w:sz w:val="24"/>
                <w:szCs w:val="24"/>
              </w:rPr>
              <w:t>186,320,072.56</w:t>
            </w:r>
          </w:p>
        </w:tc>
        <w:tc>
          <w:tcPr>
            <w:tcW w:w="1644" w:type="dxa"/>
            <w:vAlign w:val="center"/>
          </w:tcPr>
          <w:p w:rsidR="00C02CAE" w:rsidRDefault="00054EEE">
            <w:pPr>
              <w:jc w:val="right"/>
            </w:pPr>
            <w:r>
              <w:rPr>
                <w:color w:val="000000"/>
                <w:sz w:val="24"/>
                <w:szCs w:val="24"/>
              </w:rPr>
              <w:t>3.92</w:t>
            </w:r>
          </w:p>
        </w:tc>
      </w:tr>
      <w:tr w:rsidR="00C02CAE">
        <w:trPr>
          <w:jc w:val="center"/>
        </w:trPr>
        <w:tc>
          <w:tcPr>
            <w:tcW w:w="855" w:type="dxa"/>
            <w:vAlign w:val="center"/>
          </w:tcPr>
          <w:p w:rsidR="00C02CAE" w:rsidRDefault="00054EEE">
            <w:pPr>
              <w:jc w:val="center"/>
            </w:pPr>
            <w:r>
              <w:rPr>
                <w:color w:val="000000"/>
                <w:sz w:val="24"/>
                <w:szCs w:val="24"/>
              </w:rPr>
              <w:t>5</w:t>
            </w:r>
          </w:p>
        </w:tc>
        <w:tc>
          <w:tcPr>
            <w:tcW w:w="1334" w:type="dxa"/>
            <w:vAlign w:val="center"/>
          </w:tcPr>
          <w:p w:rsidR="00C02CAE" w:rsidRDefault="00054EEE">
            <w:pPr>
              <w:jc w:val="center"/>
            </w:pPr>
            <w:r>
              <w:rPr>
                <w:color w:val="000000"/>
                <w:sz w:val="24"/>
                <w:szCs w:val="24"/>
              </w:rPr>
              <w:t>600048</w:t>
            </w:r>
          </w:p>
        </w:tc>
        <w:tc>
          <w:tcPr>
            <w:tcW w:w="1777" w:type="dxa"/>
            <w:vAlign w:val="center"/>
          </w:tcPr>
          <w:p w:rsidR="00C02CAE" w:rsidRDefault="00054EEE">
            <w:pPr>
              <w:jc w:val="center"/>
            </w:pPr>
            <w:r>
              <w:rPr>
                <w:color w:val="000000"/>
                <w:sz w:val="24"/>
                <w:szCs w:val="24"/>
              </w:rPr>
              <w:t>保利地产</w:t>
            </w:r>
          </w:p>
        </w:tc>
        <w:tc>
          <w:tcPr>
            <w:tcW w:w="1334" w:type="dxa"/>
            <w:vAlign w:val="center"/>
          </w:tcPr>
          <w:p w:rsidR="00C02CAE" w:rsidRDefault="00054EEE">
            <w:pPr>
              <w:jc w:val="right"/>
            </w:pPr>
            <w:r>
              <w:rPr>
                <w:color w:val="000000"/>
                <w:sz w:val="24"/>
                <w:szCs w:val="24"/>
              </w:rPr>
              <w:t>14,328,683</w:t>
            </w:r>
          </w:p>
        </w:tc>
        <w:tc>
          <w:tcPr>
            <w:tcW w:w="1924" w:type="dxa"/>
            <w:vAlign w:val="center"/>
          </w:tcPr>
          <w:p w:rsidR="00C02CAE" w:rsidRDefault="00054EEE">
            <w:pPr>
              <w:jc w:val="right"/>
            </w:pPr>
            <w:r>
              <w:rPr>
                <w:color w:val="000000"/>
                <w:sz w:val="24"/>
                <w:szCs w:val="24"/>
              </w:rPr>
              <w:t>174,380,072.11</w:t>
            </w:r>
          </w:p>
        </w:tc>
        <w:tc>
          <w:tcPr>
            <w:tcW w:w="1644" w:type="dxa"/>
            <w:vAlign w:val="center"/>
          </w:tcPr>
          <w:p w:rsidR="00C02CAE" w:rsidRDefault="00054EEE">
            <w:pPr>
              <w:jc w:val="right"/>
            </w:pPr>
            <w:r>
              <w:rPr>
                <w:color w:val="000000"/>
                <w:sz w:val="24"/>
                <w:szCs w:val="24"/>
              </w:rPr>
              <w:t>3.67</w:t>
            </w:r>
          </w:p>
        </w:tc>
      </w:tr>
      <w:tr w:rsidR="00C02CAE">
        <w:trPr>
          <w:jc w:val="center"/>
        </w:trPr>
        <w:tc>
          <w:tcPr>
            <w:tcW w:w="855" w:type="dxa"/>
            <w:vAlign w:val="center"/>
          </w:tcPr>
          <w:p w:rsidR="00C02CAE" w:rsidRDefault="00054EEE">
            <w:pPr>
              <w:jc w:val="center"/>
            </w:pPr>
            <w:r>
              <w:rPr>
                <w:color w:val="000000"/>
                <w:sz w:val="24"/>
                <w:szCs w:val="24"/>
              </w:rPr>
              <w:t>6</w:t>
            </w:r>
          </w:p>
        </w:tc>
        <w:tc>
          <w:tcPr>
            <w:tcW w:w="1334" w:type="dxa"/>
            <w:vAlign w:val="center"/>
          </w:tcPr>
          <w:p w:rsidR="00C02CAE" w:rsidRDefault="00054EEE">
            <w:pPr>
              <w:jc w:val="center"/>
            </w:pPr>
            <w:r>
              <w:rPr>
                <w:color w:val="000000"/>
                <w:sz w:val="24"/>
                <w:szCs w:val="24"/>
              </w:rPr>
              <w:t>600256</w:t>
            </w:r>
          </w:p>
        </w:tc>
        <w:tc>
          <w:tcPr>
            <w:tcW w:w="1777" w:type="dxa"/>
            <w:vAlign w:val="center"/>
          </w:tcPr>
          <w:p w:rsidR="00C02CAE" w:rsidRDefault="00054EEE">
            <w:pPr>
              <w:jc w:val="center"/>
            </w:pPr>
            <w:r>
              <w:rPr>
                <w:color w:val="000000"/>
                <w:sz w:val="24"/>
                <w:szCs w:val="24"/>
              </w:rPr>
              <w:t>广汇能源</w:t>
            </w:r>
          </w:p>
        </w:tc>
        <w:tc>
          <w:tcPr>
            <w:tcW w:w="1334" w:type="dxa"/>
            <w:vAlign w:val="center"/>
          </w:tcPr>
          <w:p w:rsidR="00C02CAE" w:rsidRDefault="00054EEE">
            <w:pPr>
              <w:jc w:val="right"/>
            </w:pPr>
            <w:r>
              <w:rPr>
                <w:color w:val="000000"/>
                <w:sz w:val="24"/>
                <w:szCs w:val="24"/>
              </w:rPr>
              <w:t>34,049,183</w:t>
            </w:r>
          </w:p>
        </w:tc>
        <w:tc>
          <w:tcPr>
            <w:tcW w:w="1924" w:type="dxa"/>
            <w:vAlign w:val="center"/>
          </w:tcPr>
          <w:p w:rsidR="00C02CAE" w:rsidRDefault="00054EEE">
            <w:pPr>
              <w:jc w:val="right"/>
            </w:pPr>
            <w:r>
              <w:rPr>
                <w:color w:val="000000"/>
                <w:sz w:val="24"/>
                <w:szCs w:val="24"/>
              </w:rPr>
              <w:t>173,991,325.13</w:t>
            </w:r>
          </w:p>
        </w:tc>
        <w:tc>
          <w:tcPr>
            <w:tcW w:w="1644" w:type="dxa"/>
            <w:vAlign w:val="center"/>
          </w:tcPr>
          <w:p w:rsidR="00C02CAE" w:rsidRDefault="00054EEE">
            <w:pPr>
              <w:jc w:val="right"/>
            </w:pPr>
            <w:r>
              <w:rPr>
                <w:color w:val="000000"/>
                <w:sz w:val="24"/>
                <w:szCs w:val="24"/>
              </w:rPr>
              <w:t>3.66</w:t>
            </w:r>
          </w:p>
        </w:tc>
      </w:tr>
      <w:tr w:rsidR="00C02CAE">
        <w:trPr>
          <w:jc w:val="center"/>
        </w:trPr>
        <w:tc>
          <w:tcPr>
            <w:tcW w:w="855" w:type="dxa"/>
            <w:vAlign w:val="center"/>
          </w:tcPr>
          <w:p w:rsidR="00C02CAE" w:rsidRDefault="00054EEE">
            <w:pPr>
              <w:jc w:val="center"/>
            </w:pPr>
            <w:r>
              <w:rPr>
                <w:color w:val="000000"/>
                <w:sz w:val="24"/>
                <w:szCs w:val="24"/>
              </w:rPr>
              <w:t>7</w:t>
            </w:r>
          </w:p>
        </w:tc>
        <w:tc>
          <w:tcPr>
            <w:tcW w:w="1334" w:type="dxa"/>
            <w:vAlign w:val="center"/>
          </w:tcPr>
          <w:p w:rsidR="00C02CAE" w:rsidRDefault="00054EEE">
            <w:pPr>
              <w:jc w:val="center"/>
            </w:pPr>
            <w:r>
              <w:rPr>
                <w:color w:val="000000"/>
                <w:sz w:val="24"/>
                <w:szCs w:val="24"/>
              </w:rPr>
              <w:t>002410</w:t>
            </w:r>
          </w:p>
        </w:tc>
        <w:tc>
          <w:tcPr>
            <w:tcW w:w="1777" w:type="dxa"/>
            <w:vAlign w:val="center"/>
          </w:tcPr>
          <w:p w:rsidR="00C02CAE" w:rsidRDefault="00054EEE">
            <w:pPr>
              <w:jc w:val="center"/>
            </w:pPr>
            <w:r>
              <w:rPr>
                <w:color w:val="000000"/>
                <w:sz w:val="24"/>
                <w:szCs w:val="24"/>
              </w:rPr>
              <w:t>广联达</w:t>
            </w:r>
          </w:p>
        </w:tc>
        <w:tc>
          <w:tcPr>
            <w:tcW w:w="1334" w:type="dxa"/>
            <w:vAlign w:val="center"/>
          </w:tcPr>
          <w:p w:rsidR="00C02CAE" w:rsidRDefault="00054EEE">
            <w:pPr>
              <w:jc w:val="right"/>
            </w:pPr>
            <w:r>
              <w:rPr>
                <w:color w:val="000000"/>
                <w:sz w:val="24"/>
                <w:szCs w:val="24"/>
              </w:rPr>
              <w:t>6,306,547</w:t>
            </w:r>
          </w:p>
        </w:tc>
        <w:tc>
          <w:tcPr>
            <w:tcW w:w="1924" w:type="dxa"/>
            <w:vAlign w:val="center"/>
          </w:tcPr>
          <w:p w:rsidR="00C02CAE" w:rsidRDefault="00054EEE">
            <w:pPr>
              <w:jc w:val="right"/>
            </w:pPr>
            <w:r>
              <w:rPr>
                <w:color w:val="000000"/>
                <w:sz w:val="24"/>
                <w:szCs w:val="24"/>
              </w:rPr>
              <w:t>166,557,328.66</w:t>
            </w:r>
          </w:p>
        </w:tc>
        <w:tc>
          <w:tcPr>
            <w:tcW w:w="1644" w:type="dxa"/>
            <w:vAlign w:val="center"/>
          </w:tcPr>
          <w:p w:rsidR="00C02CAE" w:rsidRDefault="00054EEE">
            <w:pPr>
              <w:jc w:val="right"/>
            </w:pPr>
            <w:r>
              <w:rPr>
                <w:color w:val="000000"/>
                <w:sz w:val="24"/>
                <w:szCs w:val="24"/>
              </w:rPr>
              <w:t>3.50</w:t>
            </w:r>
          </w:p>
        </w:tc>
      </w:tr>
      <w:tr w:rsidR="00C02CAE">
        <w:trPr>
          <w:jc w:val="center"/>
        </w:trPr>
        <w:tc>
          <w:tcPr>
            <w:tcW w:w="855" w:type="dxa"/>
            <w:vAlign w:val="center"/>
          </w:tcPr>
          <w:p w:rsidR="00C02CAE" w:rsidRDefault="00054EEE">
            <w:pPr>
              <w:jc w:val="center"/>
            </w:pPr>
            <w:r>
              <w:rPr>
                <w:color w:val="000000"/>
                <w:sz w:val="24"/>
                <w:szCs w:val="24"/>
              </w:rPr>
              <w:t>8</w:t>
            </w:r>
          </w:p>
        </w:tc>
        <w:tc>
          <w:tcPr>
            <w:tcW w:w="1334" w:type="dxa"/>
            <w:vAlign w:val="center"/>
          </w:tcPr>
          <w:p w:rsidR="00C02CAE" w:rsidRDefault="00054EEE">
            <w:pPr>
              <w:jc w:val="center"/>
            </w:pPr>
            <w:r>
              <w:rPr>
                <w:color w:val="000000"/>
                <w:sz w:val="24"/>
                <w:szCs w:val="24"/>
              </w:rPr>
              <w:t>300012</w:t>
            </w:r>
          </w:p>
        </w:tc>
        <w:tc>
          <w:tcPr>
            <w:tcW w:w="1777" w:type="dxa"/>
            <w:vAlign w:val="center"/>
          </w:tcPr>
          <w:p w:rsidR="00C02CAE" w:rsidRDefault="00054EEE">
            <w:pPr>
              <w:jc w:val="center"/>
            </w:pPr>
            <w:r>
              <w:rPr>
                <w:color w:val="000000"/>
                <w:sz w:val="24"/>
                <w:szCs w:val="24"/>
              </w:rPr>
              <w:t>华测检测</w:t>
            </w:r>
          </w:p>
        </w:tc>
        <w:tc>
          <w:tcPr>
            <w:tcW w:w="1334" w:type="dxa"/>
            <w:vAlign w:val="center"/>
          </w:tcPr>
          <w:p w:rsidR="00C02CAE" w:rsidRDefault="00054EEE">
            <w:pPr>
              <w:jc w:val="right"/>
            </w:pPr>
            <w:r>
              <w:rPr>
                <w:color w:val="000000"/>
                <w:sz w:val="24"/>
                <w:szCs w:val="24"/>
              </w:rPr>
              <w:t>27,858,426</w:t>
            </w:r>
          </w:p>
        </w:tc>
        <w:tc>
          <w:tcPr>
            <w:tcW w:w="1924" w:type="dxa"/>
            <w:vAlign w:val="center"/>
          </w:tcPr>
          <w:p w:rsidR="00C02CAE" w:rsidRDefault="00054EEE">
            <w:pPr>
              <w:jc w:val="right"/>
            </w:pPr>
            <w:r>
              <w:rPr>
                <w:color w:val="000000"/>
                <w:sz w:val="24"/>
                <w:szCs w:val="24"/>
              </w:rPr>
              <w:t>162,693,207.84</w:t>
            </w:r>
          </w:p>
        </w:tc>
        <w:tc>
          <w:tcPr>
            <w:tcW w:w="1644" w:type="dxa"/>
            <w:vAlign w:val="center"/>
          </w:tcPr>
          <w:p w:rsidR="00C02CAE" w:rsidRDefault="00054EEE">
            <w:pPr>
              <w:jc w:val="right"/>
            </w:pPr>
            <w:r>
              <w:rPr>
                <w:color w:val="000000"/>
                <w:sz w:val="24"/>
                <w:szCs w:val="24"/>
              </w:rPr>
              <w:t>3.42</w:t>
            </w:r>
          </w:p>
        </w:tc>
      </w:tr>
      <w:tr w:rsidR="00C02CAE">
        <w:trPr>
          <w:jc w:val="center"/>
        </w:trPr>
        <w:tc>
          <w:tcPr>
            <w:tcW w:w="855" w:type="dxa"/>
            <w:vAlign w:val="center"/>
          </w:tcPr>
          <w:p w:rsidR="00C02CAE" w:rsidRDefault="00054EEE">
            <w:pPr>
              <w:jc w:val="center"/>
            </w:pPr>
            <w:r>
              <w:rPr>
                <w:color w:val="000000"/>
                <w:sz w:val="24"/>
                <w:szCs w:val="24"/>
              </w:rPr>
              <w:t>9</w:t>
            </w:r>
          </w:p>
        </w:tc>
        <w:tc>
          <w:tcPr>
            <w:tcW w:w="1334" w:type="dxa"/>
            <w:vAlign w:val="center"/>
          </w:tcPr>
          <w:p w:rsidR="00C02CAE" w:rsidRDefault="00054EEE">
            <w:pPr>
              <w:jc w:val="center"/>
            </w:pPr>
            <w:r>
              <w:rPr>
                <w:color w:val="000000"/>
                <w:sz w:val="24"/>
                <w:szCs w:val="24"/>
              </w:rPr>
              <w:t>601100</w:t>
            </w:r>
          </w:p>
        </w:tc>
        <w:tc>
          <w:tcPr>
            <w:tcW w:w="1777" w:type="dxa"/>
            <w:vAlign w:val="center"/>
          </w:tcPr>
          <w:p w:rsidR="00C02CAE" w:rsidRDefault="00054EEE">
            <w:pPr>
              <w:jc w:val="center"/>
            </w:pPr>
            <w:r>
              <w:rPr>
                <w:color w:val="000000"/>
                <w:sz w:val="24"/>
                <w:szCs w:val="24"/>
              </w:rPr>
              <w:t>恒立液压</w:t>
            </w:r>
          </w:p>
        </w:tc>
        <w:tc>
          <w:tcPr>
            <w:tcW w:w="1334" w:type="dxa"/>
            <w:vAlign w:val="center"/>
          </w:tcPr>
          <w:p w:rsidR="00C02CAE" w:rsidRDefault="00054EEE">
            <w:pPr>
              <w:jc w:val="right"/>
            </w:pPr>
            <w:r>
              <w:rPr>
                <w:color w:val="000000"/>
                <w:sz w:val="24"/>
                <w:szCs w:val="24"/>
              </w:rPr>
              <w:t>6,834,275</w:t>
            </w:r>
          </w:p>
        </w:tc>
        <w:tc>
          <w:tcPr>
            <w:tcW w:w="1924" w:type="dxa"/>
            <w:vAlign w:val="center"/>
          </w:tcPr>
          <w:p w:rsidR="00C02CAE" w:rsidRDefault="00054EEE">
            <w:pPr>
              <w:jc w:val="right"/>
            </w:pPr>
            <w:r>
              <w:rPr>
                <w:color w:val="000000"/>
                <w:sz w:val="24"/>
                <w:szCs w:val="24"/>
              </w:rPr>
              <w:t>152,609,360.75</w:t>
            </w:r>
          </w:p>
        </w:tc>
        <w:tc>
          <w:tcPr>
            <w:tcW w:w="1644" w:type="dxa"/>
            <w:vAlign w:val="center"/>
          </w:tcPr>
          <w:p w:rsidR="00C02CAE" w:rsidRDefault="00054EEE">
            <w:pPr>
              <w:jc w:val="right"/>
            </w:pPr>
            <w:r>
              <w:rPr>
                <w:color w:val="000000"/>
                <w:sz w:val="24"/>
                <w:szCs w:val="24"/>
              </w:rPr>
              <w:t>3.21</w:t>
            </w:r>
          </w:p>
        </w:tc>
      </w:tr>
      <w:tr w:rsidR="00C02CAE">
        <w:trPr>
          <w:jc w:val="center"/>
        </w:trPr>
        <w:tc>
          <w:tcPr>
            <w:tcW w:w="855" w:type="dxa"/>
            <w:vAlign w:val="center"/>
          </w:tcPr>
          <w:p w:rsidR="00C02CAE" w:rsidRDefault="00054EEE">
            <w:pPr>
              <w:jc w:val="center"/>
            </w:pPr>
            <w:r>
              <w:rPr>
                <w:color w:val="000000"/>
                <w:sz w:val="24"/>
                <w:szCs w:val="24"/>
              </w:rPr>
              <w:t>10</w:t>
            </w:r>
          </w:p>
        </w:tc>
        <w:tc>
          <w:tcPr>
            <w:tcW w:w="1334" w:type="dxa"/>
            <w:vAlign w:val="center"/>
          </w:tcPr>
          <w:p w:rsidR="00C02CAE" w:rsidRDefault="00054EEE">
            <w:pPr>
              <w:jc w:val="center"/>
            </w:pPr>
            <w:r>
              <w:rPr>
                <w:color w:val="000000"/>
                <w:sz w:val="24"/>
                <w:szCs w:val="24"/>
              </w:rPr>
              <w:t>000661</w:t>
            </w:r>
          </w:p>
        </w:tc>
        <w:tc>
          <w:tcPr>
            <w:tcW w:w="1777" w:type="dxa"/>
            <w:vAlign w:val="center"/>
          </w:tcPr>
          <w:p w:rsidR="00C02CAE" w:rsidRDefault="00054EEE">
            <w:pPr>
              <w:jc w:val="center"/>
            </w:pPr>
            <w:r>
              <w:rPr>
                <w:color w:val="000000"/>
                <w:sz w:val="24"/>
                <w:szCs w:val="24"/>
              </w:rPr>
              <w:t>长春高新</w:t>
            </w:r>
          </w:p>
        </w:tc>
        <w:tc>
          <w:tcPr>
            <w:tcW w:w="1334" w:type="dxa"/>
            <w:vAlign w:val="center"/>
          </w:tcPr>
          <w:p w:rsidR="00C02CAE" w:rsidRDefault="00054EEE">
            <w:pPr>
              <w:jc w:val="right"/>
            </w:pPr>
            <w:r>
              <w:rPr>
                <w:color w:val="000000"/>
                <w:sz w:val="24"/>
                <w:szCs w:val="24"/>
              </w:rPr>
              <w:t>600,621</w:t>
            </w:r>
          </w:p>
        </w:tc>
        <w:tc>
          <w:tcPr>
            <w:tcW w:w="1924" w:type="dxa"/>
            <w:vAlign w:val="center"/>
          </w:tcPr>
          <w:p w:rsidR="00C02CAE" w:rsidRDefault="00054EEE">
            <w:pPr>
              <w:jc w:val="right"/>
            </w:pPr>
            <w:r>
              <w:rPr>
                <w:color w:val="000000"/>
                <w:sz w:val="24"/>
                <w:szCs w:val="24"/>
              </w:rPr>
              <w:t>142,347,177.00</w:t>
            </w:r>
          </w:p>
        </w:tc>
        <w:tc>
          <w:tcPr>
            <w:tcW w:w="1644" w:type="dxa"/>
            <w:vAlign w:val="center"/>
          </w:tcPr>
          <w:p w:rsidR="00C02CAE" w:rsidRDefault="00054EEE">
            <w:pPr>
              <w:jc w:val="right"/>
            </w:pPr>
            <w:r>
              <w:rPr>
                <w:color w:val="000000"/>
                <w:sz w:val="24"/>
                <w:szCs w:val="24"/>
              </w:rPr>
              <w:t>2.99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240,741,600.00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240,741,600.00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02CAE">
        <w:trPr>
          <w:jc w:val="center"/>
        </w:trPr>
        <w:tc>
          <w:tcPr>
            <w:tcW w:w="850" w:type="dxa"/>
            <w:vAlign w:val="center"/>
          </w:tcPr>
          <w:p w:rsidR="00C02CAE" w:rsidRDefault="00054EEE">
            <w:pPr>
              <w:jc w:val="center"/>
            </w:pPr>
            <w:r>
              <w:rPr>
                <w:color w:val="000000"/>
                <w:sz w:val="24"/>
                <w:szCs w:val="24"/>
              </w:rPr>
              <w:t>1</w:t>
            </w:r>
          </w:p>
        </w:tc>
        <w:tc>
          <w:tcPr>
            <w:tcW w:w="1475" w:type="dxa"/>
            <w:vAlign w:val="center"/>
          </w:tcPr>
          <w:p w:rsidR="00C02CAE" w:rsidRDefault="00054EEE">
            <w:pPr>
              <w:jc w:val="center"/>
            </w:pPr>
            <w:r>
              <w:rPr>
                <w:color w:val="000000"/>
                <w:sz w:val="24"/>
                <w:szCs w:val="24"/>
              </w:rPr>
              <w:t>189939</w:t>
            </w:r>
          </w:p>
        </w:tc>
        <w:tc>
          <w:tcPr>
            <w:tcW w:w="1769" w:type="dxa"/>
            <w:vAlign w:val="center"/>
          </w:tcPr>
          <w:p w:rsidR="00C02CAE" w:rsidRDefault="00054EEE">
            <w:pPr>
              <w:jc w:val="center"/>
            </w:pPr>
            <w:r>
              <w:rPr>
                <w:color w:val="000000"/>
                <w:sz w:val="24"/>
                <w:szCs w:val="24"/>
              </w:rPr>
              <w:t>18</w:t>
            </w:r>
            <w:r>
              <w:rPr>
                <w:color w:val="000000"/>
                <w:sz w:val="24"/>
                <w:szCs w:val="24"/>
              </w:rPr>
              <w:t>贴现国债</w:t>
            </w:r>
            <w:r>
              <w:rPr>
                <w:color w:val="000000"/>
                <w:sz w:val="24"/>
                <w:szCs w:val="24"/>
              </w:rPr>
              <w:t>39</w:t>
            </w:r>
          </w:p>
        </w:tc>
        <w:tc>
          <w:tcPr>
            <w:tcW w:w="1387" w:type="dxa"/>
            <w:vAlign w:val="center"/>
          </w:tcPr>
          <w:p w:rsidR="00C02CAE" w:rsidRDefault="00054EEE">
            <w:pPr>
              <w:jc w:val="right"/>
            </w:pPr>
            <w:r>
              <w:rPr>
                <w:color w:val="000000"/>
                <w:sz w:val="24"/>
                <w:szCs w:val="24"/>
              </w:rPr>
              <w:t>2,420,000</w:t>
            </w:r>
          </w:p>
        </w:tc>
        <w:tc>
          <w:tcPr>
            <w:tcW w:w="2150" w:type="dxa"/>
            <w:vAlign w:val="center"/>
          </w:tcPr>
          <w:p w:rsidR="00C02CAE" w:rsidRDefault="00054EEE">
            <w:pPr>
              <w:jc w:val="right"/>
            </w:pPr>
            <w:r>
              <w:rPr>
                <w:color w:val="000000"/>
                <w:sz w:val="24"/>
                <w:szCs w:val="24"/>
              </w:rPr>
              <w:t>240,741,600.00</w:t>
            </w:r>
          </w:p>
        </w:tc>
        <w:tc>
          <w:tcPr>
            <w:tcW w:w="1237" w:type="dxa"/>
            <w:vAlign w:val="center"/>
          </w:tcPr>
          <w:p w:rsidR="00C02CAE" w:rsidRDefault="00054EEE">
            <w:pPr>
              <w:jc w:val="right"/>
            </w:pPr>
            <w:r>
              <w:rPr>
                <w:color w:val="000000"/>
                <w:sz w:val="24"/>
                <w:szCs w:val="24"/>
              </w:rPr>
              <w:t>5.06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3,466,661.72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1,082,041.12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7,484,417.44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12,033,120.28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bookmarkStart w:id="0" w:name="_GoBack"/>
            <w:bookmarkEnd w:id="0"/>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02CAE">
        <w:trPr>
          <w:jc w:val="center"/>
        </w:trPr>
        <w:tc>
          <w:tcPr>
            <w:tcW w:w="1129" w:type="dxa"/>
            <w:vAlign w:val="center"/>
          </w:tcPr>
          <w:p w:rsidR="00C02CAE" w:rsidRDefault="00054EEE">
            <w:pPr>
              <w:jc w:val="center"/>
            </w:pPr>
            <w:r>
              <w:rPr>
                <w:color w:val="000000"/>
                <w:sz w:val="24"/>
                <w:szCs w:val="24"/>
              </w:rPr>
              <w:t>1</w:t>
            </w:r>
          </w:p>
        </w:tc>
        <w:tc>
          <w:tcPr>
            <w:tcW w:w="1356" w:type="dxa"/>
            <w:vAlign w:val="center"/>
          </w:tcPr>
          <w:p w:rsidR="00C02CAE" w:rsidRDefault="00054EEE">
            <w:pPr>
              <w:jc w:val="center"/>
            </w:pPr>
            <w:r>
              <w:rPr>
                <w:color w:val="000000"/>
                <w:sz w:val="24"/>
                <w:szCs w:val="24"/>
              </w:rPr>
              <w:t>002410</w:t>
            </w:r>
          </w:p>
        </w:tc>
        <w:tc>
          <w:tcPr>
            <w:tcW w:w="1355" w:type="dxa"/>
            <w:vAlign w:val="center"/>
          </w:tcPr>
          <w:p w:rsidR="00C02CAE" w:rsidRDefault="00054EEE">
            <w:pPr>
              <w:jc w:val="center"/>
            </w:pPr>
            <w:r>
              <w:rPr>
                <w:color w:val="000000"/>
                <w:sz w:val="24"/>
                <w:szCs w:val="24"/>
              </w:rPr>
              <w:t>广联达</w:t>
            </w:r>
          </w:p>
        </w:tc>
        <w:tc>
          <w:tcPr>
            <w:tcW w:w="1880" w:type="dxa"/>
            <w:vAlign w:val="center"/>
          </w:tcPr>
          <w:p w:rsidR="00C02CAE" w:rsidRDefault="00054EEE">
            <w:pPr>
              <w:jc w:val="right"/>
            </w:pPr>
            <w:r>
              <w:rPr>
                <w:color w:val="000000"/>
                <w:sz w:val="24"/>
                <w:szCs w:val="24"/>
              </w:rPr>
              <w:t>27,126,000.00</w:t>
            </w:r>
          </w:p>
        </w:tc>
        <w:tc>
          <w:tcPr>
            <w:tcW w:w="1724" w:type="dxa"/>
            <w:vAlign w:val="center"/>
          </w:tcPr>
          <w:p w:rsidR="00C02CAE" w:rsidRDefault="00054EEE">
            <w:pPr>
              <w:jc w:val="right"/>
            </w:pPr>
            <w:r>
              <w:rPr>
                <w:color w:val="000000"/>
                <w:sz w:val="24"/>
                <w:szCs w:val="24"/>
              </w:rPr>
              <w:t>0.57</w:t>
            </w:r>
          </w:p>
        </w:tc>
        <w:tc>
          <w:tcPr>
            <w:tcW w:w="1424" w:type="dxa"/>
            <w:vAlign w:val="center"/>
          </w:tcPr>
          <w:p w:rsidR="00C02CAE" w:rsidRDefault="00054EEE" w:rsidP="00054EEE">
            <w:pPr>
              <w:jc w:val="center"/>
              <w:rPr>
                <w:rFonts w:hint="eastAsia"/>
              </w:rPr>
            </w:pPr>
            <w:r>
              <w:rPr>
                <w:rFonts w:hint="eastAsia"/>
                <w:color w:val="000000"/>
                <w:sz w:val="24"/>
                <w:szCs w:val="24"/>
              </w:rPr>
              <w:t>限售股</w:t>
            </w:r>
          </w:p>
        </w:tc>
      </w:tr>
      <w:tr w:rsidR="00C02CAE">
        <w:trPr>
          <w:jc w:val="center"/>
        </w:trPr>
        <w:tc>
          <w:tcPr>
            <w:tcW w:w="1129" w:type="dxa"/>
            <w:vAlign w:val="center"/>
          </w:tcPr>
          <w:p w:rsidR="00C02CAE" w:rsidRDefault="00054EEE">
            <w:pPr>
              <w:jc w:val="center"/>
            </w:pPr>
            <w:r>
              <w:rPr>
                <w:color w:val="000000"/>
                <w:sz w:val="24"/>
                <w:szCs w:val="24"/>
              </w:rPr>
              <w:t>2</w:t>
            </w:r>
          </w:p>
        </w:tc>
        <w:tc>
          <w:tcPr>
            <w:tcW w:w="1356" w:type="dxa"/>
            <w:vAlign w:val="center"/>
          </w:tcPr>
          <w:p w:rsidR="00C02CAE" w:rsidRDefault="00054EEE">
            <w:pPr>
              <w:jc w:val="center"/>
            </w:pPr>
            <w:r>
              <w:rPr>
                <w:color w:val="000000"/>
                <w:sz w:val="24"/>
                <w:szCs w:val="24"/>
              </w:rPr>
              <w:t>300188</w:t>
            </w:r>
          </w:p>
        </w:tc>
        <w:tc>
          <w:tcPr>
            <w:tcW w:w="1355" w:type="dxa"/>
            <w:vAlign w:val="center"/>
          </w:tcPr>
          <w:p w:rsidR="00C02CAE" w:rsidRDefault="00054EEE">
            <w:pPr>
              <w:jc w:val="center"/>
            </w:pPr>
            <w:r>
              <w:rPr>
                <w:color w:val="000000"/>
                <w:sz w:val="24"/>
                <w:szCs w:val="24"/>
              </w:rPr>
              <w:t>美亚柏科</w:t>
            </w:r>
          </w:p>
        </w:tc>
        <w:tc>
          <w:tcPr>
            <w:tcW w:w="1880" w:type="dxa"/>
            <w:vAlign w:val="center"/>
          </w:tcPr>
          <w:p w:rsidR="00C02CAE" w:rsidRDefault="00054EEE">
            <w:pPr>
              <w:jc w:val="right"/>
            </w:pPr>
            <w:r>
              <w:rPr>
                <w:color w:val="000000"/>
                <w:sz w:val="24"/>
                <w:szCs w:val="24"/>
              </w:rPr>
              <w:t>16,407,600.00</w:t>
            </w:r>
          </w:p>
        </w:tc>
        <w:tc>
          <w:tcPr>
            <w:tcW w:w="1724" w:type="dxa"/>
            <w:vAlign w:val="center"/>
          </w:tcPr>
          <w:p w:rsidR="00C02CAE" w:rsidRDefault="00054EEE">
            <w:pPr>
              <w:jc w:val="right"/>
            </w:pPr>
            <w:r>
              <w:rPr>
                <w:color w:val="000000"/>
                <w:sz w:val="24"/>
                <w:szCs w:val="24"/>
              </w:rPr>
              <w:t>0.34</w:t>
            </w:r>
          </w:p>
        </w:tc>
        <w:tc>
          <w:tcPr>
            <w:tcW w:w="1424" w:type="dxa"/>
            <w:vAlign w:val="center"/>
          </w:tcPr>
          <w:p w:rsidR="00C02CAE" w:rsidRDefault="00054EEE" w:rsidP="00054EEE">
            <w:pPr>
              <w:jc w:val="center"/>
              <w:rPr>
                <w:rFonts w:hint="eastAsia"/>
              </w:rPr>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3,275,959,263.73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589,464,221.88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465,633,205.82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3,399,790,279.79</w:t>
            </w:r>
          </w:p>
        </w:tc>
      </w:tr>
    </w:tbl>
    <w:p w:rsidR="00C02CAE" w:rsidRDefault="00054EE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    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02CAE" w:rsidRDefault="00054EE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02CAE" w:rsidRDefault="00054EE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02CAE" w:rsidRDefault="00054EE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54EEE">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54EE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54EE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02CAE"/>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116D4CE-D793-453B-ADC5-7069E035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8F1F-B093-486F-B015-B3B6E23B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12</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祝妍</cp:lastModifiedBy>
  <cp:revision>579</cp:revision>
  <dcterms:created xsi:type="dcterms:W3CDTF">2012-10-16T06:07:00Z</dcterms:created>
  <dcterms:modified xsi:type="dcterms:W3CDTF">2018-10-18T07:00:00Z</dcterms:modified>
</cp:coreProperties>
</file>