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交银施罗德沪港深价值精选灵活配置混合型证券投资基金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二〇一八年十月二十六日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D04BC2" w:rsidRDefault="008A58A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D04BC2" w:rsidRDefault="008A58A3">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2018</w:t>
      </w:r>
      <w:r>
        <w:rPr>
          <w:color w:val="000000"/>
          <w:sz w:val="24"/>
          <w:szCs w:val="24"/>
        </w:rPr>
        <w:t>年</w:t>
      </w:r>
      <w:r>
        <w:rPr>
          <w:color w:val="000000"/>
          <w:sz w:val="24"/>
          <w:szCs w:val="24"/>
        </w:rPr>
        <w:t>10</w:t>
      </w:r>
      <w:r>
        <w:rPr>
          <w:color w:val="000000"/>
          <w:sz w:val="24"/>
          <w:szCs w:val="24"/>
        </w:rPr>
        <w:t>月</w:t>
      </w:r>
      <w:r>
        <w:rPr>
          <w:color w:val="000000"/>
          <w:sz w:val="24"/>
          <w:szCs w:val="24"/>
        </w:rPr>
        <w:t>25</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D04BC2" w:rsidRDefault="008A58A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D04BC2" w:rsidRDefault="008A58A3">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D04BC2" w:rsidRDefault="008A58A3">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交银沪港深价值精选混合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519779</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519779</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11</w:t>
            </w:r>
            <w:r w:rsidRPr="00414345">
              <w:rPr>
                <w:color w:val="000000"/>
                <w:kern w:val="0"/>
                <w:sz w:val="24"/>
                <w:szCs w:val="24"/>
              </w:rPr>
              <w:t>月</w:t>
            </w:r>
            <w:r w:rsidRPr="00414345">
              <w:rPr>
                <w:color w:val="000000"/>
                <w:kern w:val="0"/>
                <w:sz w:val="24"/>
                <w:szCs w:val="24"/>
              </w:rPr>
              <w:t>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455,930,735.78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本基金通过优化资产配置和灵活运用多种投资策略，把握沪港通及后续资本市场开放政策带来的投资机会，力争实现基金资产的长期稳定增值。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恒生指数收益率</w:t>
            </w:r>
            <w:r w:rsidRPr="00414345">
              <w:rPr>
                <w:color w:val="000000"/>
                <w:kern w:val="0"/>
                <w:sz w:val="24"/>
                <w:szCs w:val="24"/>
              </w:rPr>
              <w:t>×40%+</w:t>
            </w:r>
            <w:r w:rsidRPr="00414345">
              <w:rPr>
                <w:color w:val="000000"/>
                <w:kern w:val="0"/>
                <w:sz w:val="24"/>
                <w:szCs w:val="24"/>
              </w:rPr>
              <w:t>中证综合债券指数收益率</w:t>
            </w:r>
            <w:r w:rsidRPr="00414345">
              <w:rPr>
                <w:color w:val="000000"/>
                <w:kern w:val="0"/>
                <w:sz w:val="24"/>
                <w:szCs w:val="24"/>
              </w:rPr>
              <w:t>×20%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D04BC2" w:rsidRDefault="008A58A3">
            <w:pPr>
              <w:adjustRightInd w:val="0"/>
              <w:spacing w:before="29" w:line="288" w:lineRule="auto"/>
              <w:ind w:left="17"/>
              <w:jc w:val="left"/>
              <w:rPr>
                <w:color w:val="000000"/>
                <w:sz w:val="24"/>
                <w:szCs w:val="24"/>
              </w:rPr>
            </w:pPr>
            <w:r>
              <w:rPr>
                <w:color w:val="000000"/>
                <w:kern w:val="0"/>
                <w:sz w:val="24"/>
                <w:szCs w:val="24"/>
              </w:rPr>
              <w:t>本基金是一只混合型基金，其风险和预期收益高于债</w:t>
            </w:r>
            <w:r>
              <w:rPr>
                <w:color w:val="000000"/>
                <w:kern w:val="0"/>
                <w:sz w:val="24"/>
                <w:szCs w:val="24"/>
              </w:rPr>
              <w:lastRenderedPageBreak/>
              <w:t>券型基金和货币市场基金，低于股票型基金。属于承担较高风险、预期收益较高的证券投资基金品种。</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本基金可投资港股通标的股票，会面临港股通机制下因投资环境、投资标的、市场制度以及交易规则等差异带来的特有风险。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07872" w:rsidRPr="00414345" w:rsidTr="00F07872">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F07872" w:rsidRPr="00414345" w:rsidTr="00F0787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-34,401,103.17</w:t>
            </w:r>
          </w:p>
        </w:tc>
      </w:tr>
      <w:tr w:rsidR="00F07872" w:rsidRPr="00414345" w:rsidTr="00F0787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-38,068,348.28</w:t>
            </w:r>
          </w:p>
        </w:tc>
      </w:tr>
      <w:tr w:rsidR="00F07872" w:rsidRPr="00414345" w:rsidTr="00F0787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-0.0760</w:t>
            </w:r>
          </w:p>
        </w:tc>
      </w:tr>
      <w:tr w:rsidR="00F07872" w:rsidRPr="00414345" w:rsidTr="00F0787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485,252,793.94</w:t>
            </w:r>
          </w:p>
        </w:tc>
      </w:tr>
      <w:tr w:rsidR="00F07872" w:rsidRPr="00414345" w:rsidTr="00F07872">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1.064</w:t>
            </w:r>
          </w:p>
        </w:tc>
      </w:tr>
    </w:tbl>
    <w:p w:rsidR="00D04BC2" w:rsidRDefault="008A58A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D04BC2">
        <w:trPr>
          <w:jc w:val="center"/>
        </w:trPr>
        <w:tc>
          <w:tcPr>
            <w:tcW w:w="1701" w:type="dxa"/>
            <w:vAlign w:val="center"/>
          </w:tcPr>
          <w:p w:rsidR="00D04BC2" w:rsidRDefault="008A58A3">
            <w:pPr>
              <w:jc w:val="left"/>
            </w:pPr>
            <w:r>
              <w:rPr>
                <w:color w:val="000000"/>
                <w:sz w:val="24"/>
                <w:szCs w:val="24"/>
              </w:rPr>
              <w:t>过去三个月</w:t>
            </w:r>
          </w:p>
        </w:tc>
        <w:tc>
          <w:tcPr>
            <w:tcW w:w="1045" w:type="dxa"/>
            <w:vAlign w:val="center"/>
          </w:tcPr>
          <w:p w:rsidR="00D04BC2" w:rsidRDefault="008A58A3">
            <w:pPr>
              <w:jc w:val="center"/>
            </w:pPr>
            <w:r>
              <w:rPr>
                <w:color w:val="000000"/>
                <w:sz w:val="24"/>
                <w:szCs w:val="24"/>
              </w:rPr>
              <w:t>-7.16%</w:t>
            </w:r>
          </w:p>
        </w:tc>
        <w:tc>
          <w:tcPr>
            <w:tcW w:w="1344" w:type="dxa"/>
            <w:vAlign w:val="center"/>
          </w:tcPr>
          <w:p w:rsidR="00D04BC2" w:rsidRDefault="008A58A3">
            <w:pPr>
              <w:jc w:val="center"/>
            </w:pPr>
            <w:r>
              <w:rPr>
                <w:color w:val="000000"/>
                <w:sz w:val="24"/>
                <w:szCs w:val="24"/>
              </w:rPr>
              <w:t>0.75%</w:t>
            </w:r>
          </w:p>
        </w:tc>
        <w:tc>
          <w:tcPr>
            <w:tcW w:w="1194" w:type="dxa"/>
            <w:vAlign w:val="center"/>
          </w:tcPr>
          <w:p w:rsidR="00D04BC2" w:rsidRDefault="008A58A3">
            <w:pPr>
              <w:jc w:val="center"/>
            </w:pPr>
            <w:r>
              <w:rPr>
                <w:color w:val="000000"/>
                <w:sz w:val="24"/>
                <w:szCs w:val="24"/>
              </w:rPr>
              <w:t>-2.07%</w:t>
            </w:r>
          </w:p>
        </w:tc>
        <w:tc>
          <w:tcPr>
            <w:tcW w:w="1492" w:type="dxa"/>
            <w:vAlign w:val="center"/>
          </w:tcPr>
          <w:p w:rsidR="00D04BC2" w:rsidRDefault="008A58A3" w:rsidP="00F07872">
            <w:pPr>
              <w:jc w:val="center"/>
            </w:pPr>
            <w:r>
              <w:rPr>
                <w:color w:val="000000"/>
                <w:sz w:val="24"/>
                <w:szCs w:val="24"/>
              </w:rPr>
              <w:t>0.8</w:t>
            </w:r>
            <w:r w:rsidR="00F07872">
              <w:rPr>
                <w:color w:val="000000"/>
                <w:sz w:val="24"/>
                <w:szCs w:val="24"/>
              </w:rPr>
              <w:t>9</w:t>
            </w:r>
            <w:r>
              <w:rPr>
                <w:color w:val="000000"/>
                <w:sz w:val="24"/>
                <w:szCs w:val="24"/>
              </w:rPr>
              <w:t>%</w:t>
            </w:r>
          </w:p>
        </w:tc>
        <w:tc>
          <w:tcPr>
            <w:tcW w:w="1194" w:type="dxa"/>
            <w:vAlign w:val="center"/>
          </w:tcPr>
          <w:p w:rsidR="00D04BC2" w:rsidRDefault="008A58A3">
            <w:pPr>
              <w:jc w:val="center"/>
            </w:pPr>
            <w:r>
              <w:rPr>
                <w:color w:val="000000"/>
                <w:sz w:val="24"/>
                <w:szCs w:val="24"/>
              </w:rPr>
              <w:t>-5.09%</w:t>
            </w:r>
          </w:p>
        </w:tc>
        <w:tc>
          <w:tcPr>
            <w:tcW w:w="898" w:type="dxa"/>
            <w:vAlign w:val="center"/>
          </w:tcPr>
          <w:p w:rsidR="00D04BC2" w:rsidRDefault="008A58A3" w:rsidP="00F07872">
            <w:pPr>
              <w:jc w:val="center"/>
            </w:pPr>
            <w:r>
              <w:rPr>
                <w:color w:val="000000"/>
                <w:sz w:val="24"/>
                <w:szCs w:val="24"/>
              </w:rPr>
              <w:t>-0.1</w:t>
            </w:r>
            <w:r w:rsidR="00F07872">
              <w:rPr>
                <w:color w:val="000000"/>
                <w:sz w:val="24"/>
                <w:szCs w:val="24"/>
              </w:rPr>
              <w:t>4</w:t>
            </w:r>
            <w:r>
              <w:rPr>
                <w:color w:val="000000"/>
                <w:sz w:val="24"/>
                <w:szCs w:val="24"/>
              </w:rPr>
              <w:t>%</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w:t>
      </w:r>
      <w:r w:rsidR="00C6002A" w:rsidRPr="00414345">
        <w:rPr>
          <w:b/>
          <w:bCs/>
          <w:color w:val="000000"/>
          <w:sz w:val="24"/>
        </w:rPr>
        <w:lastRenderedPageBreak/>
        <w:t>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交银施罗德沪港深价值精选灵活配置混合型证券投资基金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8A58A3" w:rsidP="00C15CAC">
      <w:pPr>
        <w:pStyle w:val="a5"/>
        <w:snapToGrid w:val="0"/>
        <w:spacing w:before="29" w:line="288" w:lineRule="auto"/>
        <w:jc w:val="center"/>
        <w:rPr>
          <w:rFonts w:ascii="Times New Roman" w:hAnsi="Times New Roman" w:cs="Times New Roman"/>
          <w:color w:val="000000"/>
          <w:sz w:val="24"/>
          <w:szCs w:val="24"/>
        </w:rPr>
      </w:pPr>
      <w:r>
        <w:rPr>
          <w:noProof/>
        </w:rPr>
        <w:drawing>
          <wp:inline distT="0" distB="0" distL="0" distR="0" wp14:anchorId="7A679722" wp14:editId="5FDE9747">
            <wp:extent cx="5731510" cy="3356610"/>
            <wp:effectExtent l="0" t="0" r="0" b="0"/>
            <wp:docPr id="3" name="图片 2" descr="走势图1.jpg"/>
            <wp:cNvGraphicFramePr/>
            <a:graphic xmlns:a="http://schemas.openxmlformats.org/drawingml/2006/main">
              <a:graphicData uri="http://schemas.openxmlformats.org/drawingml/2006/picture">
                <pic:pic xmlns:pic="http://schemas.openxmlformats.org/drawingml/2006/picture">
                  <pic:nvPicPr>
                    <pic:cNvPr id="3" name="图片 2" descr="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D04BC2">
        <w:trPr>
          <w:jc w:val="center"/>
        </w:trPr>
        <w:tc>
          <w:tcPr>
            <w:tcW w:w="846" w:type="dxa"/>
            <w:vAlign w:val="center"/>
          </w:tcPr>
          <w:p w:rsidR="00D04BC2" w:rsidRDefault="008A58A3">
            <w:pPr>
              <w:jc w:val="center"/>
            </w:pPr>
            <w:r>
              <w:rPr>
                <w:color w:val="000000"/>
                <w:sz w:val="24"/>
                <w:szCs w:val="24"/>
              </w:rPr>
              <w:t>陈俊华</w:t>
            </w:r>
          </w:p>
        </w:tc>
        <w:tc>
          <w:tcPr>
            <w:tcW w:w="845" w:type="dxa"/>
            <w:vAlign w:val="center"/>
          </w:tcPr>
          <w:p w:rsidR="00D04BC2" w:rsidRDefault="008A58A3">
            <w:pPr>
              <w:jc w:val="center"/>
            </w:pPr>
            <w:r>
              <w:rPr>
                <w:color w:val="000000"/>
                <w:sz w:val="24"/>
                <w:szCs w:val="24"/>
              </w:rPr>
              <w:t>交银环球精选混合</w:t>
            </w:r>
            <w:r>
              <w:rPr>
                <w:color w:val="000000"/>
                <w:sz w:val="24"/>
                <w:szCs w:val="24"/>
              </w:rPr>
              <w:t>(QDII)</w:t>
            </w:r>
            <w:r>
              <w:rPr>
                <w:color w:val="000000"/>
                <w:sz w:val="24"/>
                <w:szCs w:val="24"/>
              </w:rPr>
              <w:t>、交银全球资源混合</w:t>
            </w:r>
            <w:r>
              <w:rPr>
                <w:color w:val="000000"/>
                <w:sz w:val="24"/>
                <w:szCs w:val="24"/>
              </w:rPr>
              <w:lastRenderedPageBreak/>
              <w:t>(QDII)</w:t>
            </w:r>
            <w:r>
              <w:rPr>
                <w:color w:val="000000"/>
                <w:sz w:val="24"/>
                <w:szCs w:val="24"/>
              </w:rPr>
              <w:t>、交银沪港深价值精选混合的基金经理</w:t>
            </w:r>
          </w:p>
        </w:tc>
        <w:tc>
          <w:tcPr>
            <w:tcW w:w="1549" w:type="dxa"/>
            <w:vAlign w:val="center"/>
          </w:tcPr>
          <w:p w:rsidR="00D04BC2" w:rsidRDefault="008A58A3">
            <w:pPr>
              <w:jc w:val="center"/>
            </w:pPr>
            <w:r>
              <w:rPr>
                <w:color w:val="000000"/>
                <w:sz w:val="24"/>
                <w:szCs w:val="24"/>
              </w:rPr>
              <w:lastRenderedPageBreak/>
              <w:t>2016-11-07</w:t>
            </w:r>
          </w:p>
        </w:tc>
        <w:tc>
          <w:tcPr>
            <w:tcW w:w="1548" w:type="dxa"/>
            <w:vAlign w:val="center"/>
          </w:tcPr>
          <w:p w:rsidR="00D04BC2" w:rsidRDefault="008A58A3">
            <w:pPr>
              <w:jc w:val="center"/>
            </w:pPr>
            <w:r>
              <w:rPr>
                <w:color w:val="000000"/>
                <w:sz w:val="24"/>
                <w:szCs w:val="24"/>
              </w:rPr>
              <w:t>-</w:t>
            </w:r>
          </w:p>
        </w:tc>
        <w:tc>
          <w:tcPr>
            <w:tcW w:w="1407" w:type="dxa"/>
            <w:vAlign w:val="center"/>
          </w:tcPr>
          <w:p w:rsidR="00D04BC2" w:rsidRDefault="008A58A3">
            <w:pPr>
              <w:jc w:val="center"/>
            </w:pPr>
            <w:r>
              <w:rPr>
                <w:color w:val="000000"/>
                <w:sz w:val="24"/>
                <w:szCs w:val="24"/>
              </w:rPr>
              <w:t>13</w:t>
            </w:r>
            <w:r>
              <w:rPr>
                <w:color w:val="000000"/>
                <w:sz w:val="24"/>
                <w:szCs w:val="24"/>
              </w:rPr>
              <w:t>年</w:t>
            </w:r>
          </w:p>
        </w:tc>
        <w:tc>
          <w:tcPr>
            <w:tcW w:w="2673" w:type="dxa"/>
            <w:vAlign w:val="center"/>
          </w:tcPr>
          <w:p w:rsidR="00D04BC2" w:rsidRDefault="008A58A3">
            <w:r>
              <w:rPr>
                <w:color w:val="000000"/>
                <w:sz w:val="24"/>
                <w:szCs w:val="24"/>
              </w:rPr>
              <w:t>陈俊华女士，中国国籍，上海交通大学金融学硕士。历任国泰君安证券研究部研究员、中国国际金融有限公司研究部公用事业组负责人。</w:t>
            </w:r>
            <w:r>
              <w:rPr>
                <w:color w:val="000000"/>
                <w:sz w:val="24"/>
                <w:szCs w:val="24"/>
              </w:rPr>
              <w:t>2015</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D04BC2" w:rsidRDefault="008A58A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D04BC2" w:rsidRDefault="008A58A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D04BC2" w:rsidRDefault="008A58A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w:t>
      </w:r>
      <w:r w:rsidRPr="00414345">
        <w:rPr>
          <w:color w:val="000000"/>
          <w:sz w:val="24"/>
          <w:szCs w:val="24"/>
        </w:rPr>
        <w:lastRenderedPageBreak/>
        <w:t>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D04BC2" w:rsidRDefault="008A58A3">
      <w:pPr>
        <w:spacing w:before="29" w:line="288" w:lineRule="auto"/>
        <w:ind w:firstLineChars="200" w:firstLine="480"/>
        <w:rPr>
          <w:color w:val="000000"/>
          <w:sz w:val="24"/>
          <w:szCs w:val="24"/>
        </w:rPr>
      </w:pPr>
      <w:r>
        <w:rPr>
          <w:color w:val="000000"/>
          <w:sz w:val="24"/>
          <w:szCs w:val="24"/>
        </w:rPr>
        <w:t>2018</w:t>
      </w:r>
      <w:r>
        <w:rPr>
          <w:color w:val="000000"/>
          <w:sz w:val="24"/>
          <w:szCs w:val="24"/>
        </w:rPr>
        <w:t>年三季度，国内经济运行环境是市场关注的焦点，比较而言，市场对海外信息的关注较上季度有所减弱。国内经济环境方面，中报季节，龙头公司平淡的业绩，给市场短期内增添压力，触发股价回调。尽管在九月份，市场出现了估值修复，但整体而言，信心仍不足。值得关注的是，经过三季度的调整，目前龙头公司的估值回到了较低的水平，现阶段股价已经反映了一定的悲观预期，且近期宏观层面一系列的财政、货币政策，都有助于推动企业运营和业绩的逐步改善，但短期内，股价走势并未反应对这些政策的预期。比较而言，我们认为，四季度市场不确定性的因素将重新聚焦到海外，中美贸易摩擦、美股调整风险都有可能增加新兴股市波动。</w:t>
      </w:r>
    </w:p>
    <w:p w:rsidR="00D04BC2" w:rsidRDefault="008A58A3">
      <w:pPr>
        <w:spacing w:before="29" w:line="288" w:lineRule="auto"/>
        <w:ind w:firstLineChars="200" w:firstLine="480"/>
        <w:rPr>
          <w:color w:val="000000"/>
          <w:sz w:val="24"/>
          <w:szCs w:val="24"/>
        </w:rPr>
      </w:pPr>
      <w:r>
        <w:rPr>
          <w:color w:val="000000"/>
          <w:sz w:val="24"/>
          <w:szCs w:val="24"/>
        </w:rPr>
        <w:t>三季度，我们调整了仓位结构，加配金融板块，降低了消费、周期板块的仓位。总体风格仍然以谨慎为主，业绩可持续性为第一要素，优选低估值品种。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和明年上半年，我们总体呈谨慎态度，但对于个股的筛选将更加积极，仍坚持自下而上的选股风格。经过中报的披露，许多公司的业绩预期已经降了下来。我们密切关注三季报的情况，预计市场会进一步调整盈利预测，行业和公司会出现分化。另一方面，海外因素的不确定性在四季度仍在，我们需要对港股的波动增大做好预判。对于中长期的行业判断，我们仍看好中国的消费升级和制造业集群效应带来的优势，我们将继续在</w:t>
      </w:r>
      <w:r w:rsidRPr="00414345">
        <w:rPr>
          <w:color w:val="000000"/>
          <w:sz w:val="24"/>
          <w:szCs w:val="24"/>
        </w:rPr>
        <w:t>A</w:t>
      </w:r>
      <w:r w:rsidRPr="00414345">
        <w:rPr>
          <w:color w:val="000000"/>
          <w:sz w:val="24"/>
          <w:szCs w:val="24"/>
        </w:rPr>
        <w:t>股、港股寻找拥有</w:t>
      </w:r>
      <w:r w:rsidRPr="00414345">
        <w:rPr>
          <w:color w:val="000000"/>
          <w:sz w:val="24"/>
          <w:szCs w:val="24"/>
        </w:rPr>
        <w:t>“</w:t>
      </w:r>
      <w:r w:rsidRPr="00414345">
        <w:rPr>
          <w:color w:val="000000"/>
          <w:sz w:val="24"/>
          <w:szCs w:val="24"/>
        </w:rPr>
        <w:t>稀缺性</w:t>
      </w:r>
      <w:r w:rsidRPr="00414345">
        <w:rPr>
          <w:color w:val="000000"/>
          <w:sz w:val="24"/>
          <w:szCs w:val="24"/>
        </w:rPr>
        <w:t>”</w:t>
      </w:r>
      <w:r w:rsidRPr="00414345">
        <w:rPr>
          <w:color w:val="000000"/>
          <w:sz w:val="24"/>
          <w:szCs w:val="24"/>
        </w:rPr>
        <w:t>的优质标的，努力为投资人赚取稳健的回报。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188,524,417.32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38.69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188,524,417.32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38.69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24,870,000.00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5.10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24,870,000.00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5.10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273,082,392.42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56.05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762,494.10</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0.16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487,239,303.84</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14,955,797.91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16,380,000.00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12,590,851.50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49,537,510.86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5,169,000.00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98,633,160.27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20.33</w:t>
            </w:r>
          </w:p>
        </w:tc>
      </w:tr>
    </w:tbl>
    <w:p w:rsidR="008F0E18" w:rsidRDefault="008F0E18"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行业类别</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公允价值（人民币）</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rsidR="00D04BC2">
        <w:trPr>
          <w:jc w:val="center"/>
        </w:trPr>
        <w:tc>
          <w:tcPr>
            <w:tcW w:w="2397" w:type="dxa"/>
            <w:vAlign w:val="center"/>
          </w:tcPr>
          <w:p w:rsidR="00D04BC2" w:rsidRDefault="008A58A3">
            <w:pPr>
              <w:jc w:val="center"/>
            </w:pPr>
            <w:r>
              <w:rPr>
                <w:color w:val="000000"/>
                <w:sz w:val="24"/>
              </w:rPr>
              <w:t>非必需消费品</w:t>
            </w:r>
          </w:p>
        </w:tc>
        <w:tc>
          <w:tcPr>
            <w:tcW w:w="3119" w:type="dxa"/>
            <w:vAlign w:val="center"/>
          </w:tcPr>
          <w:p w:rsidR="00D04BC2" w:rsidRDefault="008A58A3">
            <w:pPr>
              <w:jc w:val="center"/>
            </w:pPr>
            <w:r>
              <w:rPr>
                <w:color w:val="000000"/>
                <w:sz w:val="24"/>
              </w:rPr>
              <w:t>54,368,238.72</w:t>
            </w:r>
          </w:p>
        </w:tc>
        <w:tc>
          <w:tcPr>
            <w:tcW w:w="3118" w:type="dxa"/>
            <w:vAlign w:val="center"/>
          </w:tcPr>
          <w:p w:rsidR="00D04BC2" w:rsidRDefault="008A58A3">
            <w:pPr>
              <w:jc w:val="center"/>
            </w:pPr>
            <w:r>
              <w:rPr>
                <w:color w:val="000000"/>
                <w:sz w:val="24"/>
              </w:rPr>
              <w:t>11.20</w:t>
            </w:r>
          </w:p>
        </w:tc>
      </w:tr>
      <w:tr w:rsidR="00D04BC2">
        <w:trPr>
          <w:jc w:val="center"/>
        </w:trPr>
        <w:tc>
          <w:tcPr>
            <w:tcW w:w="2397" w:type="dxa"/>
            <w:vAlign w:val="center"/>
          </w:tcPr>
          <w:p w:rsidR="00D04BC2" w:rsidRDefault="008A58A3">
            <w:pPr>
              <w:jc w:val="center"/>
            </w:pPr>
            <w:r>
              <w:rPr>
                <w:color w:val="000000"/>
                <w:sz w:val="24"/>
              </w:rPr>
              <w:t>必需消费品</w:t>
            </w:r>
          </w:p>
        </w:tc>
        <w:tc>
          <w:tcPr>
            <w:tcW w:w="3119" w:type="dxa"/>
            <w:vAlign w:val="center"/>
          </w:tcPr>
          <w:p w:rsidR="00D04BC2" w:rsidRDefault="008A58A3">
            <w:pPr>
              <w:jc w:val="center"/>
            </w:pPr>
            <w:r>
              <w:rPr>
                <w:color w:val="000000"/>
                <w:sz w:val="24"/>
              </w:rPr>
              <w:t>-</w:t>
            </w:r>
          </w:p>
        </w:tc>
        <w:tc>
          <w:tcPr>
            <w:tcW w:w="3118" w:type="dxa"/>
            <w:vAlign w:val="center"/>
          </w:tcPr>
          <w:p w:rsidR="00D04BC2" w:rsidRDefault="008A58A3">
            <w:pPr>
              <w:jc w:val="center"/>
            </w:pPr>
            <w:r>
              <w:rPr>
                <w:color w:val="000000"/>
                <w:sz w:val="24"/>
              </w:rPr>
              <w:t>-</w:t>
            </w:r>
          </w:p>
        </w:tc>
      </w:tr>
      <w:tr w:rsidR="00D04BC2">
        <w:trPr>
          <w:jc w:val="center"/>
        </w:trPr>
        <w:tc>
          <w:tcPr>
            <w:tcW w:w="2397" w:type="dxa"/>
            <w:vAlign w:val="center"/>
          </w:tcPr>
          <w:p w:rsidR="00D04BC2" w:rsidRDefault="008A58A3">
            <w:pPr>
              <w:jc w:val="center"/>
            </w:pPr>
            <w:r>
              <w:rPr>
                <w:color w:val="000000"/>
                <w:sz w:val="24"/>
              </w:rPr>
              <w:t>能源</w:t>
            </w:r>
          </w:p>
        </w:tc>
        <w:tc>
          <w:tcPr>
            <w:tcW w:w="3119" w:type="dxa"/>
            <w:vAlign w:val="center"/>
          </w:tcPr>
          <w:p w:rsidR="00D04BC2" w:rsidRDefault="008A58A3">
            <w:pPr>
              <w:jc w:val="center"/>
            </w:pPr>
            <w:r>
              <w:rPr>
                <w:color w:val="000000"/>
                <w:sz w:val="24"/>
              </w:rPr>
              <w:t>-</w:t>
            </w:r>
          </w:p>
        </w:tc>
        <w:tc>
          <w:tcPr>
            <w:tcW w:w="3118" w:type="dxa"/>
            <w:vAlign w:val="center"/>
          </w:tcPr>
          <w:p w:rsidR="00D04BC2" w:rsidRDefault="008A58A3">
            <w:pPr>
              <w:jc w:val="center"/>
            </w:pPr>
            <w:r>
              <w:rPr>
                <w:color w:val="000000"/>
                <w:sz w:val="24"/>
              </w:rPr>
              <w:t>-</w:t>
            </w:r>
          </w:p>
        </w:tc>
      </w:tr>
      <w:tr w:rsidR="00D04BC2">
        <w:trPr>
          <w:jc w:val="center"/>
        </w:trPr>
        <w:tc>
          <w:tcPr>
            <w:tcW w:w="2397" w:type="dxa"/>
            <w:vAlign w:val="center"/>
          </w:tcPr>
          <w:p w:rsidR="00D04BC2" w:rsidRDefault="008A58A3">
            <w:pPr>
              <w:jc w:val="center"/>
            </w:pPr>
            <w:r>
              <w:rPr>
                <w:color w:val="000000"/>
                <w:sz w:val="24"/>
              </w:rPr>
              <w:t>金融</w:t>
            </w:r>
          </w:p>
        </w:tc>
        <w:tc>
          <w:tcPr>
            <w:tcW w:w="3119" w:type="dxa"/>
            <w:vAlign w:val="center"/>
          </w:tcPr>
          <w:p w:rsidR="00D04BC2" w:rsidRDefault="008A58A3">
            <w:pPr>
              <w:jc w:val="center"/>
            </w:pPr>
            <w:r>
              <w:rPr>
                <w:color w:val="000000"/>
                <w:sz w:val="24"/>
              </w:rPr>
              <w:t>-</w:t>
            </w:r>
          </w:p>
        </w:tc>
        <w:tc>
          <w:tcPr>
            <w:tcW w:w="3118" w:type="dxa"/>
            <w:vAlign w:val="center"/>
          </w:tcPr>
          <w:p w:rsidR="00D04BC2" w:rsidRDefault="008A58A3">
            <w:pPr>
              <w:jc w:val="center"/>
            </w:pPr>
            <w:r>
              <w:rPr>
                <w:color w:val="000000"/>
                <w:sz w:val="24"/>
              </w:rPr>
              <w:t>-</w:t>
            </w:r>
          </w:p>
        </w:tc>
      </w:tr>
      <w:tr w:rsidR="00D04BC2">
        <w:trPr>
          <w:jc w:val="center"/>
        </w:trPr>
        <w:tc>
          <w:tcPr>
            <w:tcW w:w="2397" w:type="dxa"/>
            <w:vAlign w:val="center"/>
          </w:tcPr>
          <w:p w:rsidR="00D04BC2" w:rsidRDefault="008A58A3">
            <w:pPr>
              <w:jc w:val="center"/>
            </w:pPr>
            <w:r>
              <w:rPr>
                <w:color w:val="000000"/>
                <w:sz w:val="24"/>
              </w:rPr>
              <w:t>医疗保健</w:t>
            </w:r>
          </w:p>
        </w:tc>
        <w:tc>
          <w:tcPr>
            <w:tcW w:w="3119" w:type="dxa"/>
            <w:vAlign w:val="center"/>
          </w:tcPr>
          <w:p w:rsidR="00D04BC2" w:rsidRDefault="008A58A3">
            <w:pPr>
              <w:jc w:val="center"/>
            </w:pPr>
            <w:r>
              <w:rPr>
                <w:color w:val="000000"/>
                <w:sz w:val="24"/>
              </w:rPr>
              <w:t>-</w:t>
            </w:r>
          </w:p>
        </w:tc>
        <w:tc>
          <w:tcPr>
            <w:tcW w:w="3118" w:type="dxa"/>
            <w:vAlign w:val="center"/>
          </w:tcPr>
          <w:p w:rsidR="00D04BC2" w:rsidRDefault="008A58A3">
            <w:pPr>
              <w:jc w:val="center"/>
            </w:pPr>
            <w:r>
              <w:rPr>
                <w:color w:val="000000"/>
                <w:sz w:val="24"/>
              </w:rPr>
              <w:t>-</w:t>
            </w:r>
          </w:p>
        </w:tc>
      </w:tr>
      <w:tr w:rsidR="00D04BC2">
        <w:trPr>
          <w:jc w:val="center"/>
        </w:trPr>
        <w:tc>
          <w:tcPr>
            <w:tcW w:w="2397" w:type="dxa"/>
            <w:vAlign w:val="center"/>
          </w:tcPr>
          <w:p w:rsidR="00D04BC2" w:rsidRDefault="008A58A3">
            <w:pPr>
              <w:jc w:val="center"/>
            </w:pPr>
            <w:r>
              <w:rPr>
                <w:color w:val="000000"/>
                <w:sz w:val="24"/>
              </w:rPr>
              <w:t>工业</w:t>
            </w:r>
          </w:p>
        </w:tc>
        <w:tc>
          <w:tcPr>
            <w:tcW w:w="3119" w:type="dxa"/>
            <w:vAlign w:val="center"/>
          </w:tcPr>
          <w:p w:rsidR="00D04BC2" w:rsidRDefault="008A58A3">
            <w:pPr>
              <w:jc w:val="center"/>
            </w:pPr>
            <w:r>
              <w:rPr>
                <w:color w:val="000000"/>
                <w:sz w:val="24"/>
              </w:rPr>
              <w:t>4,421,220.78</w:t>
            </w:r>
          </w:p>
        </w:tc>
        <w:tc>
          <w:tcPr>
            <w:tcW w:w="3118" w:type="dxa"/>
            <w:vAlign w:val="center"/>
          </w:tcPr>
          <w:p w:rsidR="00D04BC2" w:rsidRDefault="008A58A3">
            <w:pPr>
              <w:jc w:val="center"/>
            </w:pPr>
            <w:r>
              <w:rPr>
                <w:color w:val="000000"/>
                <w:sz w:val="24"/>
              </w:rPr>
              <w:t>0.91</w:t>
            </w:r>
          </w:p>
        </w:tc>
      </w:tr>
      <w:tr w:rsidR="00D04BC2">
        <w:trPr>
          <w:jc w:val="center"/>
        </w:trPr>
        <w:tc>
          <w:tcPr>
            <w:tcW w:w="2397" w:type="dxa"/>
            <w:vAlign w:val="center"/>
          </w:tcPr>
          <w:p w:rsidR="00D04BC2" w:rsidRDefault="008A58A3">
            <w:pPr>
              <w:jc w:val="center"/>
            </w:pPr>
            <w:r>
              <w:rPr>
                <w:color w:val="000000"/>
                <w:sz w:val="24"/>
              </w:rPr>
              <w:t>信息技术</w:t>
            </w:r>
          </w:p>
        </w:tc>
        <w:tc>
          <w:tcPr>
            <w:tcW w:w="3119" w:type="dxa"/>
            <w:vAlign w:val="center"/>
          </w:tcPr>
          <w:p w:rsidR="00D04BC2" w:rsidRDefault="008A58A3">
            <w:pPr>
              <w:jc w:val="center"/>
            </w:pPr>
            <w:r>
              <w:rPr>
                <w:color w:val="000000"/>
                <w:sz w:val="24"/>
              </w:rPr>
              <w:t>18,571,309.55</w:t>
            </w:r>
          </w:p>
        </w:tc>
        <w:tc>
          <w:tcPr>
            <w:tcW w:w="3118" w:type="dxa"/>
            <w:vAlign w:val="center"/>
          </w:tcPr>
          <w:p w:rsidR="00D04BC2" w:rsidRDefault="008A58A3">
            <w:pPr>
              <w:jc w:val="center"/>
            </w:pPr>
            <w:r>
              <w:rPr>
                <w:color w:val="000000"/>
                <w:sz w:val="24"/>
              </w:rPr>
              <w:t>3.83</w:t>
            </w:r>
          </w:p>
        </w:tc>
      </w:tr>
      <w:tr w:rsidR="00D04BC2">
        <w:trPr>
          <w:jc w:val="center"/>
        </w:trPr>
        <w:tc>
          <w:tcPr>
            <w:tcW w:w="2397" w:type="dxa"/>
            <w:vAlign w:val="center"/>
          </w:tcPr>
          <w:p w:rsidR="00D04BC2" w:rsidRDefault="008A58A3">
            <w:pPr>
              <w:jc w:val="center"/>
            </w:pPr>
            <w:r>
              <w:rPr>
                <w:color w:val="000000"/>
                <w:sz w:val="24"/>
              </w:rPr>
              <w:t>材料</w:t>
            </w:r>
          </w:p>
        </w:tc>
        <w:tc>
          <w:tcPr>
            <w:tcW w:w="3119" w:type="dxa"/>
            <w:vAlign w:val="center"/>
          </w:tcPr>
          <w:p w:rsidR="00D04BC2" w:rsidRDefault="008A58A3">
            <w:pPr>
              <w:jc w:val="center"/>
            </w:pPr>
            <w:r>
              <w:rPr>
                <w:color w:val="000000"/>
                <w:sz w:val="24"/>
              </w:rPr>
              <w:t>-</w:t>
            </w:r>
          </w:p>
        </w:tc>
        <w:tc>
          <w:tcPr>
            <w:tcW w:w="3118" w:type="dxa"/>
            <w:vAlign w:val="center"/>
          </w:tcPr>
          <w:p w:rsidR="00D04BC2" w:rsidRDefault="008A58A3">
            <w:pPr>
              <w:jc w:val="center"/>
            </w:pPr>
            <w:r>
              <w:rPr>
                <w:color w:val="000000"/>
                <w:sz w:val="24"/>
              </w:rPr>
              <w:t>-</w:t>
            </w:r>
          </w:p>
        </w:tc>
      </w:tr>
      <w:tr w:rsidR="00D04BC2">
        <w:trPr>
          <w:jc w:val="center"/>
        </w:trPr>
        <w:tc>
          <w:tcPr>
            <w:tcW w:w="2397" w:type="dxa"/>
            <w:vAlign w:val="center"/>
          </w:tcPr>
          <w:p w:rsidR="00D04BC2" w:rsidRDefault="008A58A3">
            <w:pPr>
              <w:jc w:val="center"/>
            </w:pPr>
            <w:r>
              <w:rPr>
                <w:color w:val="000000"/>
                <w:sz w:val="24"/>
              </w:rPr>
              <w:t>房地产</w:t>
            </w:r>
          </w:p>
        </w:tc>
        <w:tc>
          <w:tcPr>
            <w:tcW w:w="3119" w:type="dxa"/>
            <w:vAlign w:val="center"/>
          </w:tcPr>
          <w:p w:rsidR="00D04BC2" w:rsidRDefault="008A58A3">
            <w:pPr>
              <w:jc w:val="center"/>
            </w:pPr>
            <w:r>
              <w:rPr>
                <w:color w:val="000000"/>
                <w:sz w:val="24"/>
              </w:rPr>
              <w:t>12,530,488.00</w:t>
            </w:r>
          </w:p>
        </w:tc>
        <w:tc>
          <w:tcPr>
            <w:tcW w:w="3118" w:type="dxa"/>
            <w:vAlign w:val="center"/>
          </w:tcPr>
          <w:p w:rsidR="00D04BC2" w:rsidRDefault="008A58A3">
            <w:pPr>
              <w:jc w:val="center"/>
            </w:pPr>
            <w:r>
              <w:rPr>
                <w:color w:val="000000"/>
                <w:sz w:val="24"/>
              </w:rPr>
              <w:t>2.58</w:t>
            </w:r>
          </w:p>
        </w:tc>
      </w:tr>
      <w:tr w:rsidR="00D04BC2">
        <w:trPr>
          <w:jc w:val="center"/>
        </w:trPr>
        <w:tc>
          <w:tcPr>
            <w:tcW w:w="2397" w:type="dxa"/>
            <w:vAlign w:val="center"/>
          </w:tcPr>
          <w:p w:rsidR="00D04BC2" w:rsidRDefault="008A58A3">
            <w:pPr>
              <w:jc w:val="center"/>
            </w:pPr>
            <w:r>
              <w:rPr>
                <w:color w:val="000000"/>
                <w:sz w:val="24"/>
              </w:rPr>
              <w:t>电信业务</w:t>
            </w:r>
          </w:p>
        </w:tc>
        <w:tc>
          <w:tcPr>
            <w:tcW w:w="3119" w:type="dxa"/>
            <w:vAlign w:val="center"/>
          </w:tcPr>
          <w:p w:rsidR="00D04BC2" w:rsidRDefault="008A58A3">
            <w:pPr>
              <w:jc w:val="center"/>
            </w:pPr>
            <w:r>
              <w:rPr>
                <w:color w:val="000000"/>
                <w:sz w:val="24"/>
              </w:rPr>
              <w:t>-</w:t>
            </w:r>
          </w:p>
        </w:tc>
        <w:tc>
          <w:tcPr>
            <w:tcW w:w="3118" w:type="dxa"/>
            <w:vAlign w:val="center"/>
          </w:tcPr>
          <w:p w:rsidR="00D04BC2" w:rsidRDefault="008A58A3">
            <w:pPr>
              <w:jc w:val="center"/>
            </w:pPr>
            <w:r>
              <w:rPr>
                <w:color w:val="000000"/>
                <w:sz w:val="24"/>
              </w:rPr>
              <w:t>-</w:t>
            </w:r>
          </w:p>
        </w:tc>
      </w:tr>
      <w:tr w:rsidR="00D04BC2">
        <w:trPr>
          <w:jc w:val="center"/>
        </w:trPr>
        <w:tc>
          <w:tcPr>
            <w:tcW w:w="2397" w:type="dxa"/>
            <w:vAlign w:val="center"/>
          </w:tcPr>
          <w:p w:rsidR="00D04BC2" w:rsidRDefault="008A58A3">
            <w:pPr>
              <w:jc w:val="center"/>
            </w:pPr>
            <w:r>
              <w:rPr>
                <w:color w:val="000000"/>
                <w:sz w:val="24"/>
              </w:rPr>
              <w:t>公用事业</w:t>
            </w:r>
          </w:p>
        </w:tc>
        <w:tc>
          <w:tcPr>
            <w:tcW w:w="3119" w:type="dxa"/>
            <w:vAlign w:val="center"/>
          </w:tcPr>
          <w:p w:rsidR="00D04BC2" w:rsidRDefault="008A58A3">
            <w:pPr>
              <w:jc w:val="center"/>
            </w:pPr>
            <w:r>
              <w:rPr>
                <w:color w:val="000000"/>
                <w:sz w:val="24"/>
              </w:rPr>
              <w:t>-</w:t>
            </w:r>
          </w:p>
        </w:tc>
        <w:tc>
          <w:tcPr>
            <w:tcW w:w="3118" w:type="dxa"/>
            <w:vAlign w:val="center"/>
          </w:tcPr>
          <w:p w:rsidR="00D04BC2" w:rsidRDefault="008A58A3">
            <w:pPr>
              <w:jc w:val="center"/>
            </w:pPr>
            <w:r>
              <w:rPr>
                <w:color w:val="000000"/>
                <w:sz w:val="24"/>
              </w:rPr>
              <w:t>-</w:t>
            </w:r>
          </w:p>
        </w:tc>
      </w:tr>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合计</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89,891,257.05</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18.52</w:t>
            </w:r>
          </w:p>
        </w:tc>
      </w:tr>
    </w:tbl>
    <w:p w:rsidR="00F51C4E" w:rsidRDefault="00F51C4E" w:rsidP="00F51C4E">
      <w:pPr>
        <w:spacing w:before="29" w:line="360" w:lineRule="auto"/>
        <w:ind w:left="17"/>
        <w:rPr>
          <w:color w:val="000000"/>
          <w:sz w:val="24"/>
        </w:rPr>
      </w:pPr>
      <w:r w:rsidRPr="00FF0BBF">
        <w:rPr>
          <w:color w:val="000000"/>
          <w:sz w:val="24"/>
        </w:rPr>
        <w:t>注：以上分类采用全球行业分类标准（</w:t>
      </w:r>
      <w:r w:rsidRPr="00FF0BBF">
        <w:rPr>
          <w:color w:val="000000"/>
          <w:sz w:val="24"/>
        </w:rPr>
        <w:t>GICS</w:t>
      </w:r>
      <w:r w:rsidRPr="00FF0BBF">
        <w:rPr>
          <w:color w:val="000000"/>
          <w:sz w:val="24"/>
        </w:rPr>
        <w:t>）。</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D04BC2">
        <w:trPr>
          <w:jc w:val="center"/>
        </w:trPr>
        <w:tc>
          <w:tcPr>
            <w:tcW w:w="855" w:type="dxa"/>
            <w:vAlign w:val="center"/>
          </w:tcPr>
          <w:p w:rsidR="00D04BC2" w:rsidRDefault="008A58A3">
            <w:pPr>
              <w:jc w:val="center"/>
            </w:pPr>
            <w:r>
              <w:rPr>
                <w:color w:val="000000"/>
                <w:sz w:val="24"/>
                <w:szCs w:val="24"/>
              </w:rPr>
              <w:t>1</w:t>
            </w:r>
          </w:p>
        </w:tc>
        <w:tc>
          <w:tcPr>
            <w:tcW w:w="1334" w:type="dxa"/>
            <w:vAlign w:val="center"/>
          </w:tcPr>
          <w:p w:rsidR="00D04BC2" w:rsidRDefault="008A58A3">
            <w:pPr>
              <w:jc w:val="center"/>
            </w:pPr>
            <w:r>
              <w:rPr>
                <w:color w:val="000000"/>
                <w:sz w:val="24"/>
                <w:szCs w:val="24"/>
              </w:rPr>
              <w:t>600036</w:t>
            </w:r>
          </w:p>
        </w:tc>
        <w:tc>
          <w:tcPr>
            <w:tcW w:w="1777" w:type="dxa"/>
            <w:vAlign w:val="center"/>
          </w:tcPr>
          <w:p w:rsidR="00D04BC2" w:rsidRDefault="008A58A3">
            <w:pPr>
              <w:jc w:val="center"/>
            </w:pPr>
            <w:r>
              <w:rPr>
                <w:color w:val="000000"/>
                <w:sz w:val="24"/>
                <w:szCs w:val="24"/>
              </w:rPr>
              <w:t>招商银行</w:t>
            </w:r>
          </w:p>
        </w:tc>
        <w:tc>
          <w:tcPr>
            <w:tcW w:w="1334" w:type="dxa"/>
            <w:vAlign w:val="center"/>
          </w:tcPr>
          <w:p w:rsidR="00D04BC2" w:rsidRDefault="008A58A3">
            <w:pPr>
              <w:jc w:val="right"/>
            </w:pPr>
            <w:r>
              <w:rPr>
                <w:color w:val="000000"/>
                <w:sz w:val="24"/>
                <w:szCs w:val="24"/>
              </w:rPr>
              <w:t>900,000</w:t>
            </w:r>
          </w:p>
        </w:tc>
        <w:tc>
          <w:tcPr>
            <w:tcW w:w="1924" w:type="dxa"/>
            <w:vAlign w:val="center"/>
          </w:tcPr>
          <w:p w:rsidR="00D04BC2" w:rsidRDefault="008A58A3">
            <w:pPr>
              <w:jc w:val="right"/>
            </w:pPr>
            <w:r>
              <w:rPr>
                <w:color w:val="000000"/>
                <w:sz w:val="24"/>
                <w:szCs w:val="24"/>
              </w:rPr>
              <w:t>27,621,000.00</w:t>
            </w:r>
          </w:p>
        </w:tc>
        <w:tc>
          <w:tcPr>
            <w:tcW w:w="1644" w:type="dxa"/>
            <w:vAlign w:val="center"/>
          </w:tcPr>
          <w:p w:rsidR="00D04BC2" w:rsidRDefault="008A58A3">
            <w:pPr>
              <w:jc w:val="right"/>
            </w:pPr>
            <w:r>
              <w:rPr>
                <w:color w:val="000000"/>
                <w:sz w:val="24"/>
                <w:szCs w:val="24"/>
              </w:rPr>
              <w:t>5.69</w:t>
            </w:r>
          </w:p>
        </w:tc>
      </w:tr>
      <w:tr w:rsidR="00D04BC2">
        <w:trPr>
          <w:jc w:val="center"/>
        </w:trPr>
        <w:tc>
          <w:tcPr>
            <w:tcW w:w="855" w:type="dxa"/>
            <w:vAlign w:val="center"/>
          </w:tcPr>
          <w:p w:rsidR="00D04BC2" w:rsidRDefault="008A58A3">
            <w:pPr>
              <w:jc w:val="center"/>
            </w:pPr>
            <w:r>
              <w:rPr>
                <w:color w:val="000000"/>
                <w:sz w:val="24"/>
                <w:szCs w:val="24"/>
              </w:rPr>
              <w:t>2</w:t>
            </w:r>
          </w:p>
        </w:tc>
        <w:tc>
          <w:tcPr>
            <w:tcW w:w="1334" w:type="dxa"/>
            <w:vAlign w:val="center"/>
          </w:tcPr>
          <w:p w:rsidR="00D04BC2" w:rsidRDefault="008A58A3">
            <w:pPr>
              <w:jc w:val="center"/>
            </w:pPr>
            <w:r>
              <w:rPr>
                <w:color w:val="000000"/>
                <w:sz w:val="24"/>
                <w:szCs w:val="24"/>
              </w:rPr>
              <w:t>601939</w:t>
            </w:r>
          </w:p>
        </w:tc>
        <w:tc>
          <w:tcPr>
            <w:tcW w:w="1777" w:type="dxa"/>
            <w:vAlign w:val="center"/>
          </w:tcPr>
          <w:p w:rsidR="00D04BC2" w:rsidRDefault="008A58A3">
            <w:pPr>
              <w:jc w:val="center"/>
            </w:pPr>
            <w:r>
              <w:rPr>
                <w:color w:val="000000"/>
                <w:sz w:val="24"/>
                <w:szCs w:val="24"/>
              </w:rPr>
              <w:t>建设银行</w:t>
            </w:r>
          </w:p>
        </w:tc>
        <w:tc>
          <w:tcPr>
            <w:tcW w:w="1334" w:type="dxa"/>
            <w:vAlign w:val="center"/>
          </w:tcPr>
          <w:p w:rsidR="00D04BC2" w:rsidRDefault="008A58A3">
            <w:pPr>
              <w:jc w:val="right"/>
            </w:pPr>
            <w:r>
              <w:rPr>
                <w:color w:val="000000"/>
                <w:sz w:val="24"/>
                <w:szCs w:val="24"/>
              </w:rPr>
              <w:t>3,000,000</w:t>
            </w:r>
          </w:p>
        </w:tc>
        <w:tc>
          <w:tcPr>
            <w:tcW w:w="1924" w:type="dxa"/>
            <w:vAlign w:val="center"/>
          </w:tcPr>
          <w:p w:rsidR="00D04BC2" w:rsidRDefault="008A58A3">
            <w:pPr>
              <w:jc w:val="right"/>
            </w:pPr>
            <w:r>
              <w:rPr>
                <w:color w:val="000000"/>
                <w:sz w:val="24"/>
                <w:szCs w:val="24"/>
              </w:rPr>
              <w:t>21,720,000.00</w:t>
            </w:r>
          </w:p>
        </w:tc>
        <w:tc>
          <w:tcPr>
            <w:tcW w:w="1644" w:type="dxa"/>
            <w:vAlign w:val="center"/>
          </w:tcPr>
          <w:p w:rsidR="00D04BC2" w:rsidRDefault="008A58A3">
            <w:pPr>
              <w:jc w:val="right"/>
            </w:pPr>
            <w:r>
              <w:rPr>
                <w:color w:val="000000"/>
                <w:sz w:val="24"/>
                <w:szCs w:val="24"/>
              </w:rPr>
              <w:t>4.48</w:t>
            </w:r>
          </w:p>
        </w:tc>
      </w:tr>
      <w:tr w:rsidR="00D04BC2">
        <w:trPr>
          <w:jc w:val="center"/>
        </w:trPr>
        <w:tc>
          <w:tcPr>
            <w:tcW w:w="855" w:type="dxa"/>
            <w:vAlign w:val="center"/>
          </w:tcPr>
          <w:p w:rsidR="00D04BC2" w:rsidRDefault="008A58A3">
            <w:pPr>
              <w:jc w:val="center"/>
            </w:pPr>
            <w:r>
              <w:rPr>
                <w:color w:val="000000"/>
                <w:sz w:val="24"/>
                <w:szCs w:val="24"/>
              </w:rPr>
              <w:t>3</w:t>
            </w:r>
          </w:p>
        </w:tc>
        <w:tc>
          <w:tcPr>
            <w:tcW w:w="1334" w:type="dxa"/>
            <w:vAlign w:val="center"/>
          </w:tcPr>
          <w:p w:rsidR="00D04BC2" w:rsidRDefault="008A58A3">
            <w:pPr>
              <w:jc w:val="center"/>
            </w:pPr>
            <w:r>
              <w:rPr>
                <w:color w:val="000000"/>
                <w:sz w:val="24"/>
                <w:szCs w:val="24"/>
              </w:rPr>
              <w:t>H00700</w:t>
            </w:r>
          </w:p>
        </w:tc>
        <w:tc>
          <w:tcPr>
            <w:tcW w:w="1777" w:type="dxa"/>
            <w:vAlign w:val="center"/>
          </w:tcPr>
          <w:p w:rsidR="00D04BC2" w:rsidRDefault="008A58A3">
            <w:pPr>
              <w:jc w:val="center"/>
            </w:pPr>
            <w:r>
              <w:rPr>
                <w:color w:val="000000"/>
                <w:sz w:val="24"/>
                <w:szCs w:val="24"/>
              </w:rPr>
              <w:t>腾讯控股</w:t>
            </w:r>
          </w:p>
        </w:tc>
        <w:tc>
          <w:tcPr>
            <w:tcW w:w="1334" w:type="dxa"/>
            <w:vAlign w:val="center"/>
          </w:tcPr>
          <w:p w:rsidR="00D04BC2" w:rsidRDefault="008A58A3">
            <w:pPr>
              <w:jc w:val="right"/>
            </w:pPr>
            <w:r>
              <w:rPr>
                <w:color w:val="000000"/>
                <w:sz w:val="24"/>
                <w:szCs w:val="24"/>
              </w:rPr>
              <w:t>65,300</w:t>
            </w:r>
          </w:p>
        </w:tc>
        <w:tc>
          <w:tcPr>
            <w:tcW w:w="1924" w:type="dxa"/>
            <w:vAlign w:val="center"/>
          </w:tcPr>
          <w:p w:rsidR="00D04BC2" w:rsidRDefault="008A58A3">
            <w:pPr>
              <w:jc w:val="right"/>
            </w:pPr>
            <w:r>
              <w:rPr>
                <w:color w:val="000000"/>
                <w:sz w:val="24"/>
                <w:szCs w:val="24"/>
              </w:rPr>
              <w:t>18,571,309.55</w:t>
            </w:r>
          </w:p>
        </w:tc>
        <w:tc>
          <w:tcPr>
            <w:tcW w:w="1644" w:type="dxa"/>
            <w:vAlign w:val="center"/>
          </w:tcPr>
          <w:p w:rsidR="00D04BC2" w:rsidRDefault="008A58A3">
            <w:pPr>
              <w:jc w:val="right"/>
            </w:pPr>
            <w:r>
              <w:rPr>
                <w:color w:val="000000"/>
                <w:sz w:val="24"/>
                <w:szCs w:val="24"/>
              </w:rPr>
              <w:t>3.83</w:t>
            </w:r>
          </w:p>
        </w:tc>
      </w:tr>
      <w:tr w:rsidR="00D04BC2">
        <w:trPr>
          <w:jc w:val="center"/>
        </w:trPr>
        <w:tc>
          <w:tcPr>
            <w:tcW w:w="855" w:type="dxa"/>
            <w:vAlign w:val="center"/>
          </w:tcPr>
          <w:p w:rsidR="00D04BC2" w:rsidRDefault="008A58A3">
            <w:pPr>
              <w:jc w:val="center"/>
            </w:pPr>
            <w:r>
              <w:rPr>
                <w:color w:val="000000"/>
                <w:sz w:val="24"/>
                <w:szCs w:val="24"/>
              </w:rPr>
              <w:t>4</w:t>
            </w:r>
          </w:p>
        </w:tc>
        <w:tc>
          <w:tcPr>
            <w:tcW w:w="1334" w:type="dxa"/>
            <w:vAlign w:val="center"/>
          </w:tcPr>
          <w:p w:rsidR="00D04BC2" w:rsidRDefault="008A58A3">
            <w:pPr>
              <w:jc w:val="center"/>
            </w:pPr>
            <w:r>
              <w:rPr>
                <w:color w:val="000000"/>
                <w:sz w:val="24"/>
                <w:szCs w:val="24"/>
              </w:rPr>
              <w:t>H00175</w:t>
            </w:r>
          </w:p>
        </w:tc>
        <w:tc>
          <w:tcPr>
            <w:tcW w:w="1777" w:type="dxa"/>
            <w:vAlign w:val="center"/>
          </w:tcPr>
          <w:p w:rsidR="00D04BC2" w:rsidRDefault="008A58A3">
            <w:pPr>
              <w:jc w:val="center"/>
            </w:pPr>
            <w:r>
              <w:rPr>
                <w:color w:val="000000"/>
                <w:sz w:val="24"/>
                <w:szCs w:val="24"/>
              </w:rPr>
              <w:t>吉利汽车</w:t>
            </w:r>
          </w:p>
        </w:tc>
        <w:tc>
          <w:tcPr>
            <w:tcW w:w="1334" w:type="dxa"/>
            <w:vAlign w:val="center"/>
          </w:tcPr>
          <w:p w:rsidR="00D04BC2" w:rsidRDefault="008A58A3">
            <w:pPr>
              <w:jc w:val="right"/>
            </w:pPr>
            <w:r>
              <w:rPr>
                <w:color w:val="000000"/>
                <w:sz w:val="24"/>
                <w:szCs w:val="24"/>
              </w:rPr>
              <w:t>1,326,000</w:t>
            </w:r>
          </w:p>
        </w:tc>
        <w:tc>
          <w:tcPr>
            <w:tcW w:w="1924" w:type="dxa"/>
            <w:vAlign w:val="center"/>
          </w:tcPr>
          <w:p w:rsidR="00D04BC2" w:rsidRDefault="008A58A3">
            <w:pPr>
              <w:jc w:val="right"/>
            </w:pPr>
            <w:r>
              <w:rPr>
                <w:color w:val="000000"/>
                <w:sz w:val="24"/>
                <w:szCs w:val="24"/>
              </w:rPr>
              <w:t>18,202,293.72</w:t>
            </w:r>
          </w:p>
        </w:tc>
        <w:tc>
          <w:tcPr>
            <w:tcW w:w="1644" w:type="dxa"/>
            <w:vAlign w:val="center"/>
          </w:tcPr>
          <w:p w:rsidR="00D04BC2" w:rsidRDefault="008A58A3">
            <w:pPr>
              <w:jc w:val="right"/>
            </w:pPr>
            <w:r>
              <w:rPr>
                <w:color w:val="000000"/>
                <w:sz w:val="24"/>
                <w:szCs w:val="24"/>
              </w:rPr>
              <w:t>3.75</w:t>
            </w:r>
          </w:p>
        </w:tc>
      </w:tr>
      <w:tr w:rsidR="00D04BC2">
        <w:trPr>
          <w:jc w:val="center"/>
        </w:trPr>
        <w:tc>
          <w:tcPr>
            <w:tcW w:w="855" w:type="dxa"/>
            <w:vAlign w:val="center"/>
          </w:tcPr>
          <w:p w:rsidR="00D04BC2" w:rsidRDefault="008A58A3">
            <w:pPr>
              <w:jc w:val="center"/>
            </w:pPr>
            <w:r>
              <w:rPr>
                <w:color w:val="000000"/>
                <w:sz w:val="24"/>
                <w:szCs w:val="24"/>
              </w:rPr>
              <w:lastRenderedPageBreak/>
              <w:t>5</w:t>
            </w:r>
          </w:p>
        </w:tc>
        <w:tc>
          <w:tcPr>
            <w:tcW w:w="1334" w:type="dxa"/>
            <w:vAlign w:val="center"/>
          </w:tcPr>
          <w:p w:rsidR="00D04BC2" w:rsidRDefault="008A58A3">
            <w:pPr>
              <w:jc w:val="center"/>
            </w:pPr>
            <w:r>
              <w:rPr>
                <w:color w:val="000000"/>
                <w:sz w:val="24"/>
                <w:szCs w:val="24"/>
              </w:rPr>
              <w:t>600900</w:t>
            </w:r>
          </w:p>
        </w:tc>
        <w:tc>
          <w:tcPr>
            <w:tcW w:w="1777" w:type="dxa"/>
            <w:vAlign w:val="center"/>
          </w:tcPr>
          <w:p w:rsidR="00D04BC2" w:rsidRDefault="008A58A3">
            <w:pPr>
              <w:jc w:val="center"/>
            </w:pPr>
            <w:r>
              <w:rPr>
                <w:color w:val="000000"/>
                <w:sz w:val="24"/>
                <w:szCs w:val="24"/>
              </w:rPr>
              <w:t>长江电力</w:t>
            </w:r>
          </w:p>
        </w:tc>
        <w:tc>
          <w:tcPr>
            <w:tcW w:w="1334" w:type="dxa"/>
            <w:vAlign w:val="center"/>
          </w:tcPr>
          <w:p w:rsidR="00D04BC2" w:rsidRDefault="008A58A3">
            <w:pPr>
              <w:jc w:val="right"/>
            </w:pPr>
            <w:r>
              <w:rPr>
                <w:color w:val="000000"/>
                <w:sz w:val="24"/>
                <w:szCs w:val="24"/>
              </w:rPr>
              <w:t>1,000,000</w:t>
            </w:r>
          </w:p>
        </w:tc>
        <w:tc>
          <w:tcPr>
            <w:tcW w:w="1924" w:type="dxa"/>
            <w:vAlign w:val="center"/>
          </w:tcPr>
          <w:p w:rsidR="00D04BC2" w:rsidRDefault="008A58A3">
            <w:pPr>
              <w:jc w:val="right"/>
            </w:pPr>
            <w:r>
              <w:rPr>
                <w:color w:val="000000"/>
                <w:sz w:val="24"/>
                <w:szCs w:val="24"/>
              </w:rPr>
              <w:t>16,380,000.00</w:t>
            </w:r>
          </w:p>
        </w:tc>
        <w:tc>
          <w:tcPr>
            <w:tcW w:w="1644" w:type="dxa"/>
            <w:vAlign w:val="center"/>
          </w:tcPr>
          <w:p w:rsidR="00D04BC2" w:rsidRDefault="008A58A3">
            <w:pPr>
              <w:jc w:val="right"/>
            </w:pPr>
            <w:r>
              <w:rPr>
                <w:color w:val="000000"/>
                <w:sz w:val="24"/>
                <w:szCs w:val="24"/>
              </w:rPr>
              <w:t>3.38</w:t>
            </w:r>
          </w:p>
        </w:tc>
      </w:tr>
      <w:tr w:rsidR="00D04BC2">
        <w:trPr>
          <w:jc w:val="center"/>
        </w:trPr>
        <w:tc>
          <w:tcPr>
            <w:tcW w:w="855" w:type="dxa"/>
            <w:vAlign w:val="center"/>
          </w:tcPr>
          <w:p w:rsidR="00D04BC2" w:rsidRDefault="008A58A3">
            <w:pPr>
              <w:jc w:val="center"/>
            </w:pPr>
            <w:r>
              <w:rPr>
                <w:color w:val="000000"/>
                <w:sz w:val="24"/>
                <w:szCs w:val="24"/>
              </w:rPr>
              <w:t>6</w:t>
            </w:r>
          </w:p>
        </w:tc>
        <w:tc>
          <w:tcPr>
            <w:tcW w:w="1334" w:type="dxa"/>
            <w:vAlign w:val="center"/>
          </w:tcPr>
          <w:p w:rsidR="00D04BC2" w:rsidRDefault="008A58A3">
            <w:pPr>
              <w:jc w:val="center"/>
            </w:pPr>
            <w:r>
              <w:rPr>
                <w:color w:val="000000"/>
                <w:sz w:val="24"/>
                <w:szCs w:val="24"/>
              </w:rPr>
              <w:t>600585</w:t>
            </w:r>
          </w:p>
        </w:tc>
        <w:tc>
          <w:tcPr>
            <w:tcW w:w="1777" w:type="dxa"/>
            <w:vAlign w:val="center"/>
          </w:tcPr>
          <w:p w:rsidR="00D04BC2" w:rsidRDefault="008A58A3">
            <w:pPr>
              <w:jc w:val="center"/>
            </w:pPr>
            <w:r>
              <w:rPr>
                <w:color w:val="000000"/>
                <w:sz w:val="24"/>
                <w:szCs w:val="24"/>
              </w:rPr>
              <w:t>海螺水泥</w:t>
            </w:r>
          </w:p>
        </w:tc>
        <w:tc>
          <w:tcPr>
            <w:tcW w:w="1334" w:type="dxa"/>
            <w:vAlign w:val="center"/>
          </w:tcPr>
          <w:p w:rsidR="00D04BC2" w:rsidRDefault="008A58A3">
            <w:pPr>
              <w:jc w:val="right"/>
            </w:pPr>
            <w:r>
              <w:rPr>
                <w:color w:val="000000"/>
                <w:sz w:val="24"/>
                <w:szCs w:val="24"/>
              </w:rPr>
              <w:t>399,924</w:t>
            </w:r>
          </w:p>
        </w:tc>
        <w:tc>
          <w:tcPr>
            <w:tcW w:w="1924" w:type="dxa"/>
            <w:vAlign w:val="center"/>
          </w:tcPr>
          <w:p w:rsidR="00D04BC2" w:rsidRDefault="008A58A3">
            <w:pPr>
              <w:jc w:val="right"/>
            </w:pPr>
            <w:r>
              <w:rPr>
                <w:color w:val="000000"/>
                <w:sz w:val="24"/>
                <w:szCs w:val="24"/>
              </w:rPr>
              <w:t>14,713,203.96</w:t>
            </w:r>
          </w:p>
        </w:tc>
        <w:tc>
          <w:tcPr>
            <w:tcW w:w="1644" w:type="dxa"/>
            <w:vAlign w:val="center"/>
          </w:tcPr>
          <w:p w:rsidR="00D04BC2" w:rsidRDefault="008A58A3">
            <w:pPr>
              <w:jc w:val="right"/>
            </w:pPr>
            <w:r>
              <w:rPr>
                <w:color w:val="000000"/>
                <w:sz w:val="24"/>
                <w:szCs w:val="24"/>
              </w:rPr>
              <w:t>3.03</w:t>
            </w:r>
          </w:p>
        </w:tc>
      </w:tr>
      <w:tr w:rsidR="00D04BC2">
        <w:trPr>
          <w:jc w:val="center"/>
        </w:trPr>
        <w:tc>
          <w:tcPr>
            <w:tcW w:w="855" w:type="dxa"/>
            <w:vAlign w:val="center"/>
          </w:tcPr>
          <w:p w:rsidR="00D04BC2" w:rsidRDefault="008A58A3">
            <w:pPr>
              <w:jc w:val="center"/>
            </w:pPr>
            <w:r>
              <w:rPr>
                <w:color w:val="000000"/>
                <w:sz w:val="24"/>
                <w:szCs w:val="24"/>
              </w:rPr>
              <w:t>7</w:t>
            </w:r>
          </w:p>
        </w:tc>
        <w:tc>
          <w:tcPr>
            <w:tcW w:w="1334" w:type="dxa"/>
            <w:vAlign w:val="center"/>
          </w:tcPr>
          <w:p w:rsidR="00D04BC2" w:rsidRDefault="008A58A3">
            <w:pPr>
              <w:jc w:val="center"/>
            </w:pPr>
            <w:r>
              <w:rPr>
                <w:color w:val="000000"/>
                <w:sz w:val="24"/>
                <w:szCs w:val="24"/>
              </w:rPr>
              <w:t>H00425</w:t>
            </w:r>
          </w:p>
        </w:tc>
        <w:tc>
          <w:tcPr>
            <w:tcW w:w="1777" w:type="dxa"/>
            <w:vAlign w:val="center"/>
          </w:tcPr>
          <w:p w:rsidR="00D04BC2" w:rsidRDefault="008A58A3">
            <w:pPr>
              <w:jc w:val="center"/>
            </w:pPr>
            <w:r>
              <w:rPr>
                <w:color w:val="000000"/>
                <w:sz w:val="24"/>
                <w:szCs w:val="24"/>
              </w:rPr>
              <w:t>敏实集团</w:t>
            </w:r>
          </w:p>
        </w:tc>
        <w:tc>
          <w:tcPr>
            <w:tcW w:w="1334" w:type="dxa"/>
            <w:vAlign w:val="center"/>
          </w:tcPr>
          <w:p w:rsidR="00D04BC2" w:rsidRDefault="008A58A3">
            <w:pPr>
              <w:jc w:val="right"/>
            </w:pPr>
            <w:r>
              <w:rPr>
                <w:color w:val="000000"/>
                <w:sz w:val="24"/>
                <w:szCs w:val="24"/>
              </w:rPr>
              <w:t>500,000</w:t>
            </w:r>
          </w:p>
        </w:tc>
        <w:tc>
          <w:tcPr>
            <w:tcW w:w="1924" w:type="dxa"/>
            <w:vAlign w:val="center"/>
          </w:tcPr>
          <w:p w:rsidR="00D04BC2" w:rsidRDefault="008A58A3">
            <w:pPr>
              <w:jc w:val="right"/>
            </w:pPr>
            <w:r>
              <w:rPr>
                <w:color w:val="000000"/>
                <w:sz w:val="24"/>
                <w:szCs w:val="24"/>
              </w:rPr>
              <w:t>14,211,192.50</w:t>
            </w:r>
          </w:p>
        </w:tc>
        <w:tc>
          <w:tcPr>
            <w:tcW w:w="1644" w:type="dxa"/>
            <w:vAlign w:val="center"/>
          </w:tcPr>
          <w:p w:rsidR="00D04BC2" w:rsidRDefault="008A58A3">
            <w:pPr>
              <w:jc w:val="right"/>
            </w:pPr>
            <w:r>
              <w:rPr>
                <w:color w:val="000000"/>
                <w:sz w:val="24"/>
                <w:szCs w:val="24"/>
              </w:rPr>
              <w:t>2.93</w:t>
            </w:r>
          </w:p>
        </w:tc>
      </w:tr>
      <w:tr w:rsidR="00D04BC2">
        <w:trPr>
          <w:jc w:val="center"/>
        </w:trPr>
        <w:tc>
          <w:tcPr>
            <w:tcW w:w="855" w:type="dxa"/>
            <w:vAlign w:val="center"/>
          </w:tcPr>
          <w:p w:rsidR="00D04BC2" w:rsidRDefault="008A58A3">
            <w:pPr>
              <w:jc w:val="center"/>
            </w:pPr>
            <w:r>
              <w:rPr>
                <w:color w:val="000000"/>
                <w:sz w:val="24"/>
                <w:szCs w:val="24"/>
              </w:rPr>
              <w:t>8</w:t>
            </w:r>
          </w:p>
        </w:tc>
        <w:tc>
          <w:tcPr>
            <w:tcW w:w="1334" w:type="dxa"/>
            <w:vAlign w:val="center"/>
          </w:tcPr>
          <w:p w:rsidR="00D04BC2" w:rsidRDefault="008A58A3">
            <w:pPr>
              <w:jc w:val="center"/>
            </w:pPr>
            <w:r>
              <w:rPr>
                <w:color w:val="000000"/>
                <w:sz w:val="24"/>
                <w:szCs w:val="24"/>
              </w:rPr>
              <w:t>H02313</w:t>
            </w:r>
          </w:p>
        </w:tc>
        <w:tc>
          <w:tcPr>
            <w:tcW w:w="1777" w:type="dxa"/>
            <w:vAlign w:val="center"/>
          </w:tcPr>
          <w:p w:rsidR="00D04BC2" w:rsidRDefault="008A58A3">
            <w:pPr>
              <w:jc w:val="center"/>
            </w:pPr>
            <w:r>
              <w:rPr>
                <w:color w:val="000000"/>
                <w:sz w:val="24"/>
                <w:szCs w:val="24"/>
              </w:rPr>
              <w:t>申洲国际</w:t>
            </w:r>
          </w:p>
        </w:tc>
        <w:tc>
          <w:tcPr>
            <w:tcW w:w="1334" w:type="dxa"/>
            <w:vAlign w:val="center"/>
          </w:tcPr>
          <w:p w:rsidR="00D04BC2" w:rsidRDefault="008A58A3">
            <w:pPr>
              <w:jc w:val="right"/>
            </w:pPr>
            <w:r>
              <w:rPr>
                <w:color w:val="000000"/>
                <w:sz w:val="24"/>
                <w:szCs w:val="24"/>
              </w:rPr>
              <w:t>150,000</w:t>
            </w:r>
          </w:p>
        </w:tc>
        <w:tc>
          <w:tcPr>
            <w:tcW w:w="1924" w:type="dxa"/>
            <w:vAlign w:val="center"/>
          </w:tcPr>
          <w:p w:rsidR="00D04BC2" w:rsidRDefault="008A58A3">
            <w:pPr>
              <w:jc w:val="right"/>
            </w:pPr>
            <w:r>
              <w:rPr>
                <w:color w:val="000000"/>
                <w:sz w:val="24"/>
                <w:szCs w:val="24"/>
              </w:rPr>
              <w:t>13,252,047.00</w:t>
            </w:r>
          </w:p>
        </w:tc>
        <w:tc>
          <w:tcPr>
            <w:tcW w:w="1644" w:type="dxa"/>
            <w:vAlign w:val="center"/>
          </w:tcPr>
          <w:p w:rsidR="00D04BC2" w:rsidRDefault="008A58A3">
            <w:pPr>
              <w:jc w:val="right"/>
            </w:pPr>
            <w:r>
              <w:rPr>
                <w:color w:val="000000"/>
                <w:sz w:val="24"/>
                <w:szCs w:val="24"/>
              </w:rPr>
              <w:t>2.73</w:t>
            </w:r>
          </w:p>
        </w:tc>
      </w:tr>
      <w:tr w:rsidR="00D04BC2">
        <w:trPr>
          <w:jc w:val="center"/>
        </w:trPr>
        <w:tc>
          <w:tcPr>
            <w:tcW w:w="855" w:type="dxa"/>
            <w:vAlign w:val="center"/>
          </w:tcPr>
          <w:p w:rsidR="00D04BC2" w:rsidRDefault="008A58A3">
            <w:pPr>
              <w:jc w:val="center"/>
            </w:pPr>
            <w:r>
              <w:rPr>
                <w:color w:val="000000"/>
                <w:sz w:val="24"/>
                <w:szCs w:val="24"/>
              </w:rPr>
              <w:t>9</w:t>
            </w:r>
          </w:p>
        </w:tc>
        <w:tc>
          <w:tcPr>
            <w:tcW w:w="1334" w:type="dxa"/>
            <w:vAlign w:val="center"/>
          </w:tcPr>
          <w:p w:rsidR="00D04BC2" w:rsidRDefault="008A58A3">
            <w:pPr>
              <w:jc w:val="center"/>
            </w:pPr>
            <w:r>
              <w:rPr>
                <w:color w:val="000000"/>
                <w:sz w:val="24"/>
                <w:szCs w:val="24"/>
              </w:rPr>
              <w:t>000963</w:t>
            </w:r>
          </w:p>
        </w:tc>
        <w:tc>
          <w:tcPr>
            <w:tcW w:w="1777" w:type="dxa"/>
            <w:vAlign w:val="center"/>
          </w:tcPr>
          <w:p w:rsidR="00D04BC2" w:rsidRDefault="008A58A3">
            <w:pPr>
              <w:jc w:val="center"/>
            </w:pPr>
            <w:r>
              <w:rPr>
                <w:color w:val="000000"/>
                <w:sz w:val="24"/>
                <w:szCs w:val="24"/>
              </w:rPr>
              <w:t>华东医药</w:t>
            </w:r>
          </w:p>
        </w:tc>
        <w:tc>
          <w:tcPr>
            <w:tcW w:w="1334" w:type="dxa"/>
            <w:vAlign w:val="center"/>
          </w:tcPr>
          <w:p w:rsidR="00D04BC2" w:rsidRDefault="008A58A3">
            <w:pPr>
              <w:jc w:val="right"/>
            </w:pPr>
            <w:r>
              <w:rPr>
                <w:color w:val="000000"/>
                <w:sz w:val="24"/>
                <w:szCs w:val="24"/>
              </w:rPr>
              <w:t>299,925</w:t>
            </w:r>
          </w:p>
        </w:tc>
        <w:tc>
          <w:tcPr>
            <w:tcW w:w="1924" w:type="dxa"/>
            <w:vAlign w:val="center"/>
          </w:tcPr>
          <w:p w:rsidR="00D04BC2" w:rsidRDefault="008A58A3">
            <w:pPr>
              <w:jc w:val="right"/>
            </w:pPr>
            <w:r>
              <w:rPr>
                <w:color w:val="000000"/>
                <w:sz w:val="24"/>
                <w:szCs w:val="24"/>
              </w:rPr>
              <w:t>12,590,851.50</w:t>
            </w:r>
          </w:p>
        </w:tc>
        <w:tc>
          <w:tcPr>
            <w:tcW w:w="1644" w:type="dxa"/>
            <w:vAlign w:val="center"/>
          </w:tcPr>
          <w:p w:rsidR="00D04BC2" w:rsidRDefault="008A58A3">
            <w:pPr>
              <w:jc w:val="right"/>
            </w:pPr>
            <w:r>
              <w:rPr>
                <w:color w:val="000000"/>
                <w:sz w:val="24"/>
                <w:szCs w:val="24"/>
              </w:rPr>
              <w:t>2.59</w:t>
            </w:r>
          </w:p>
        </w:tc>
      </w:tr>
      <w:tr w:rsidR="00D04BC2">
        <w:trPr>
          <w:jc w:val="center"/>
        </w:trPr>
        <w:tc>
          <w:tcPr>
            <w:tcW w:w="855" w:type="dxa"/>
            <w:vAlign w:val="center"/>
          </w:tcPr>
          <w:p w:rsidR="00D04BC2" w:rsidRDefault="008A58A3">
            <w:pPr>
              <w:jc w:val="center"/>
            </w:pPr>
            <w:r>
              <w:rPr>
                <w:color w:val="000000"/>
                <w:sz w:val="24"/>
                <w:szCs w:val="24"/>
              </w:rPr>
              <w:t>10</w:t>
            </w:r>
          </w:p>
        </w:tc>
        <w:tc>
          <w:tcPr>
            <w:tcW w:w="1334" w:type="dxa"/>
            <w:vAlign w:val="center"/>
          </w:tcPr>
          <w:p w:rsidR="00D04BC2" w:rsidRDefault="008A58A3">
            <w:pPr>
              <w:jc w:val="center"/>
            </w:pPr>
            <w:r>
              <w:rPr>
                <w:color w:val="000000"/>
                <w:sz w:val="24"/>
                <w:szCs w:val="24"/>
              </w:rPr>
              <w:t>H00817</w:t>
            </w:r>
          </w:p>
        </w:tc>
        <w:tc>
          <w:tcPr>
            <w:tcW w:w="1777" w:type="dxa"/>
            <w:vAlign w:val="center"/>
          </w:tcPr>
          <w:p w:rsidR="00D04BC2" w:rsidRDefault="008A58A3">
            <w:pPr>
              <w:jc w:val="center"/>
            </w:pPr>
            <w:r>
              <w:rPr>
                <w:color w:val="000000"/>
                <w:sz w:val="24"/>
                <w:szCs w:val="24"/>
              </w:rPr>
              <w:t>中国金茂</w:t>
            </w:r>
          </w:p>
        </w:tc>
        <w:tc>
          <w:tcPr>
            <w:tcW w:w="1334" w:type="dxa"/>
            <w:vAlign w:val="center"/>
          </w:tcPr>
          <w:p w:rsidR="00D04BC2" w:rsidRDefault="008A58A3">
            <w:pPr>
              <w:jc w:val="right"/>
            </w:pPr>
            <w:r>
              <w:rPr>
                <w:color w:val="000000"/>
                <w:sz w:val="24"/>
                <w:szCs w:val="24"/>
              </w:rPr>
              <w:t>4,000,000</w:t>
            </w:r>
          </w:p>
        </w:tc>
        <w:tc>
          <w:tcPr>
            <w:tcW w:w="1924" w:type="dxa"/>
            <w:vAlign w:val="center"/>
          </w:tcPr>
          <w:p w:rsidR="00D04BC2" w:rsidRDefault="008A58A3">
            <w:pPr>
              <w:jc w:val="right"/>
            </w:pPr>
            <w:r>
              <w:rPr>
                <w:color w:val="000000"/>
                <w:sz w:val="24"/>
                <w:szCs w:val="24"/>
              </w:rPr>
              <w:t>12,530,488.00</w:t>
            </w:r>
          </w:p>
        </w:tc>
        <w:tc>
          <w:tcPr>
            <w:tcW w:w="1644" w:type="dxa"/>
            <w:vAlign w:val="center"/>
          </w:tcPr>
          <w:p w:rsidR="00D04BC2" w:rsidRDefault="008A58A3">
            <w:pPr>
              <w:jc w:val="right"/>
            </w:pPr>
            <w:r>
              <w:rPr>
                <w:color w:val="000000"/>
                <w:sz w:val="24"/>
                <w:szCs w:val="24"/>
              </w:rPr>
              <w:t>2.58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24,870,000.00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5.13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24,870,000.00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5.13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D04BC2">
        <w:trPr>
          <w:jc w:val="center"/>
        </w:trPr>
        <w:tc>
          <w:tcPr>
            <w:tcW w:w="850" w:type="dxa"/>
            <w:vAlign w:val="center"/>
          </w:tcPr>
          <w:p w:rsidR="00D04BC2" w:rsidRDefault="008A58A3">
            <w:pPr>
              <w:jc w:val="center"/>
            </w:pPr>
            <w:r>
              <w:rPr>
                <w:color w:val="000000"/>
                <w:sz w:val="24"/>
                <w:szCs w:val="24"/>
              </w:rPr>
              <w:t>1</w:t>
            </w:r>
          </w:p>
        </w:tc>
        <w:tc>
          <w:tcPr>
            <w:tcW w:w="1475" w:type="dxa"/>
            <w:vAlign w:val="center"/>
          </w:tcPr>
          <w:p w:rsidR="00D04BC2" w:rsidRDefault="008A58A3">
            <w:pPr>
              <w:jc w:val="center"/>
            </w:pPr>
            <w:r>
              <w:rPr>
                <w:color w:val="000000"/>
                <w:sz w:val="24"/>
                <w:szCs w:val="24"/>
              </w:rPr>
              <w:t>189939</w:t>
            </w:r>
          </w:p>
        </w:tc>
        <w:tc>
          <w:tcPr>
            <w:tcW w:w="1769" w:type="dxa"/>
            <w:vAlign w:val="center"/>
          </w:tcPr>
          <w:p w:rsidR="00D04BC2" w:rsidRDefault="008A58A3">
            <w:pPr>
              <w:jc w:val="center"/>
            </w:pPr>
            <w:r>
              <w:rPr>
                <w:color w:val="000000"/>
                <w:sz w:val="24"/>
                <w:szCs w:val="24"/>
              </w:rPr>
              <w:t>18</w:t>
            </w:r>
            <w:r>
              <w:rPr>
                <w:color w:val="000000"/>
                <w:sz w:val="24"/>
                <w:szCs w:val="24"/>
              </w:rPr>
              <w:t>贴现国债</w:t>
            </w:r>
            <w:r>
              <w:rPr>
                <w:color w:val="000000"/>
                <w:sz w:val="24"/>
                <w:szCs w:val="24"/>
              </w:rPr>
              <w:t>39</w:t>
            </w:r>
          </w:p>
        </w:tc>
        <w:tc>
          <w:tcPr>
            <w:tcW w:w="1387" w:type="dxa"/>
            <w:vAlign w:val="center"/>
          </w:tcPr>
          <w:p w:rsidR="00D04BC2" w:rsidRDefault="008A58A3">
            <w:pPr>
              <w:jc w:val="right"/>
            </w:pPr>
            <w:r>
              <w:rPr>
                <w:color w:val="000000"/>
                <w:sz w:val="24"/>
                <w:szCs w:val="24"/>
              </w:rPr>
              <w:t>250,000</w:t>
            </w:r>
          </w:p>
        </w:tc>
        <w:tc>
          <w:tcPr>
            <w:tcW w:w="2150" w:type="dxa"/>
            <w:vAlign w:val="center"/>
          </w:tcPr>
          <w:p w:rsidR="00D04BC2" w:rsidRDefault="008A58A3">
            <w:pPr>
              <w:jc w:val="right"/>
            </w:pPr>
            <w:r>
              <w:rPr>
                <w:color w:val="000000"/>
                <w:sz w:val="24"/>
                <w:szCs w:val="24"/>
              </w:rPr>
              <w:t>24,870,000.00</w:t>
            </w:r>
          </w:p>
        </w:tc>
        <w:tc>
          <w:tcPr>
            <w:tcW w:w="1237" w:type="dxa"/>
            <w:vAlign w:val="center"/>
          </w:tcPr>
          <w:p w:rsidR="00D04BC2" w:rsidRDefault="008A58A3">
            <w:pPr>
              <w:jc w:val="right"/>
            </w:pPr>
            <w:r>
              <w:rPr>
                <w:color w:val="000000"/>
                <w:sz w:val="24"/>
                <w:szCs w:val="24"/>
              </w:rPr>
              <w:t>5.13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lastRenderedPageBreak/>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117,768.61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527,429.56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117,295.93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762,494.10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lastRenderedPageBreak/>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607,447,811.14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9,149,893.50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160,666,968.86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455,930,735.78</w:t>
            </w:r>
          </w:p>
        </w:tc>
      </w:tr>
    </w:tbl>
    <w:p w:rsidR="00D04BC2" w:rsidRDefault="008A58A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8F0E18"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w:t>
      </w:r>
      <w:bookmarkStart w:id="0" w:name="_GoBack"/>
      <w:r w:rsidRPr="008F0E18">
        <w:rPr>
          <w:rFonts w:asciiTheme="minorEastAsia" w:eastAsiaTheme="minorEastAsia" w:hAnsiTheme="minorEastAsia" w:hint="eastAsia"/>
          <w:color w:val="000000" w:themeColor="text1"/>
          <w:kern w:val="0"/>
          <w:sz w:val="24"/>
          <w:szCs w:val="24"/>
        </w:rPr>
        <w:t>9</w:t>
      </w:r>
      <w:r w:rsidRPr="008F0E18">
        <w:rPr>
          <w:rFonts w:asciiTheme="minorEastAsia" w:eastAsiaTheme="minorEastAsia" w:hAnsiTheme="minorEastAsia"/>
          <w:color w:val="000000" w:themeColor="text1"/>
          <w:kern w:val="0"/>
          <w:sz w:val="24"/>
          <w:szCs w:val="24"/>
        </w:rPr>
        <w:t xml:space="preserve">  </w:t>
      </w:r>
      <w:r w:rsidRPr="008F0E18">
        <w:rPr>
          <w:rFonts w:asciiTheme="minorEastAsia" w:eastAsiaTheme="minorEastAsia" w:hAnsiTheme="minorEastAsia" w:hint="eastAsia"/>
          <w:color w:val="000000" w:themeColor="text1"/>
          <w:kern w:val="0"/>
          <w:sz w:val="24"/>
          <w:szCs w:val="24"/>
        </w:rPr>
        <w:t>影响投资者决策的其他重要信息</w:t>
      </w:r>
    </w:p>
    <w:p w:rsidR="003C50AD" w:rsidRPr="008F0E18" w:rsidRDefault="003C50AD" w:rsidP="003C50AD">
      <w:pPr>
        <w:autoSpaceDE w:val="0"/>
        <w:autoSpaceDN w:val="0"/>
        <w:adjustRightInd w:val="0"/>
        <w:spacing w:line="360" w:lineRule="auto"/>
        <w:jc w:val="left"/>
        <w:rPr>
          <w:rFonts w:ascii="宋体" w:hAnsi="宋体"/>
          <w:b/>
          <w:bCs/>
          <w:color w:val="000000"/>
          <w:kern w:val="0"/>
          <w:sz w:val="24"/>
          <w:szCs w:val="24"/>
        </w:rPr>
      </w:pPr>
      <w:r w:rsidRPr="008F0E18">
        <w:rPr>
          <w:rFonts w:ascii="宋体" w:hAnsi="宋体"/>
          <w:b/>
          <w:bCs/>
          <w:color w:val="000000"/>
          <w:kern w:val="0"/>
          <w:sz w:val="24"/>
          <w:szCs w:val="24"/>
        </w:rPr>
        <w:t>9.</w:t>
      </w:r>
      <w:r w:rsidRPr="008F0E18">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8F0E18" w:rsidTr="00424D30">
        <w:tc>
          <w:tcPr>
            <w:tcW w:w="993" w:type="dxa"/>
            <w:vMerge w:val="restart"/>
            <w:vAlign w:val="center"/>
          </w:tcPr>
          <w:p w:rsidR="003C50AD" w:rsidRPr="008F0E18" w:rsidRDefault="003C50AD" w:rsidP="00424D30">
            <w:pPr>
              <w:autoSpaceDE w:val="0"/>
              <w:autoSpaceDN w:val="0"/>
              <w:adjustRightInd w:val="0"/>
              <w:jc w:val="center"/>
              <w:rPr>
                <w:rFonts w:ascii="宋体" w:hAnsi="宋体"/>
                <w:b/>
                <w:bCs/>
                <w:color w:val="000000"/>
                <w:kern w:val="0"/>
                <w:sz w:val="24"/>
                <w:szCs w:val="24"/>
              </w:rPr>
            </w:pPr>
            <w:r w:rsidRPr="008F0E18">
              <w:rPr>
                <w:rFonts w:ascii="宋体" w:hAnsi="宋体" w:hint="eastAsia"/>
                <w:color w:val="000000"/>
                <w:kern w:val="0"/>
                <w:sz w:val="24"/>
                <w:szCs w:val="24"/>
              </w:rPr>
              <w:t>投资者类别</w:t>
            </w:r>
            <w:r w:rsidRPr="008F0E18">
              <w:rPr>
                <w:rFonts w:ascii="宋体" w:hAnsi="宋体"/>
                <w:color w:val="000000"/>
                <w:kern w:val="0"/>
                <w:sz w:val="24"/>
                <w:szCs w:val="24"/>
              </w:rPr>
              <w:t xml:space="preserve">  </w:t>
            </w:r>
          </w:p>
        </w:tc>
        <w:tc>
          <w:tcPr>
            <w:tcW w:w="5670" w:type="dxa"/>
            <w:gridSpan w:val="5"/>
            <w:vAlign w:val="center"/>
          </w:tcPr>
          <w:p w:rsidR="003C50AD" w:rsidRPr="008F0E18" w:rsidRDefault="003C50AD" w:rsidP="00424D30">
            <w:pPr>
              <w:autoSpaceDE w:val="0"/>
              <w:autoSpaceDN w:val="0"/>
              <w:adjustRightInd w:val="0"/>
              <w:jc w:val="center"/>
              <w:rPr>
                <w:rFonts w:ascii="宋体" w:hAnsi="宋体"/>
                <w:b/>
                <w:bCs/>
                <w:color w:val="000000"/>
                <w:kern w:val="0"/>
                <w:sz w:val="24"/>
                <w:szCs w:val="24"/>
              </w:rPr>
            </w:pPr>
            <w:r w:rsidRPr="008F0E18">
              <w:rPr>
                <w:rFonts w:ascii="宋体" w:hAnsi="宋体" w:hint="eastAsia"/>
                <w:color w:val="000000"/>
                <w:kern w:val="0"/>
                <w:sz w:val="24"/>
                <w:szCs w:val="24"/>
              </w:rPr>
              <w:t>报告期内持有基金份额变化情况</w:t>
            </w:r>
          </w:p>
        </w:tc>
        <w:tc>
          <w:tcPr>
            <w:tcW w:w="2549" w:type="dxa"/>
            <w:gridSpan w:val="2"/>
            <w:vAlign w:val="center"/>
          </w:tcPr>
          <w:p w:rsidR="003C50AD" w:rsidRPr="008F0E18" w:rsidRDefault="003C50AD" w:rsidP="00424D30">
            <w:pPr>
              <w:autoSpaceDE w:val="0"/>
              <w:autoSpaceDN w:val="0"/>
              <w:adjustRightInd w:val="0"/>
              <w:jc w:val="center"/>
              <w:rPr>
                <w:rFonts w:ascii="宋体" w:hAnsi="宋体"/>
                <w:b/>
                <w:bCs/>
                <w:color w:val="000000"/>
                <w:kern w:val="0"/>
                <w:sz w:val="24"/>
                <w:szCs w:val="24"/>
              </w:rPr>
            </w:pPr>
            <w:r w:rsidRPr="008F0E18">
              <w:rPr>
                <w:rFonts w:ascii="宋体" w:hAnsi="宋体" w:hint="eastAsia"/>
                <w:color w:val="000000"/>
                <w:kern w:val="0"/>
                <w:sz w:val="24"/>
                <w:szCs w:val="24"/>
              </w:rPr>
              <w:t>报告期末持有基金情况</w:t>
            </w:r>
          </w:p>
        </w:tc>
      </w:tr>
      <w:tr w:rsidR="003C50AD" w:rsidRPr="008F0E18" w:rsidTr="00424D30">
        <w:tc>
          <w:tcPr>
            <w:tcW w:w="993" w:type="dxa"/>
            <w:vMerge/>
            <w:vAlign w:val="center"/>
          </w:tcPr>
          <w:p w:rsidR="003C50AD" w:rsidRPr="008F0E18" w:rsidRDefault="003C50AD" w:rsidP="00424D30">
            <w:pPr>
              <w:autoSpaceDE w:val="0"/>
              <w:autoSpaceDN w:val="0"/>
              <w:adjustRightInd w:val="0"/>
              <w:jc w:val="center"/>
              <w:rPr>
                <w:rFonts w:ascii="宋体" w:hAnsi="宋体"/>
                <w:b/>
                <w:bCs/>
                <w:color w:val="000000"/>
                <w:kern w:val="0"/>
                <w:sz w:val="24"/>
                <w:szCs w:val="24"/>
              </w:rPr>
            </w:pPr>
          </w:p>
        </w:tc>
        <w:tc>
          <w:tcPr>
            <w:tcW w:w="992" w:type="dxa"/>
            <w:vAlign w:val="center"/>
          </w:tcPr>
          <w:p w:rsidR="003C50AD" w:rsidRPr="008F0E18" w:rsidRDefault="003C50AD" w:rsidP="00424D30">
            <w:pPr>
              <w:autoSpaceDE w:val="0"/>
              <w:autoSpaceDN w:val="0"/>
              <w:adjustRightInd w:val="0"/>
              <w:jc w:val="center"/>
              <w:rPr>
                <w:rFonts w:ascii="宋体" w:hAnsi="宋体"/>
                <w:b/>
                <w:bCs/>
                <w:color w:val="000000"/>
                <w:kern w:val="0"/>
                <w:sz w:val="24"/>
                <w:szCs w:val="24"/>
              </w:rPr>
            </w:pPr>
            <w:r w:rsidRPr="008F0E18">
              <w:rPr>
                <w:rFonts w:ascii="宋体" w:hAnsi="宋体" w:hint="eastAsia"/>
                <w:color w:val="000000"/>
                <w:kern w:val="0"/>
                <w:sz w:val="24"/>
                <w:szCs w:val="24"/>
              </w:rPr>
              <w:t>序号</w:t>
            </w:r>
          </w:p>
        </w:tc>
        <w:tc>
          <w:tcPr>
            <w:tcW w:w="1843" w:type="dxa"/>
            <w:vAlign w:val="center"/>
          </w:tcPr>
          <w:p w:rsidR="003C50AD" w:rsidRPr="008F0E18" w:rsidRDefault="003C50AD" w:rsidP="00424D30">
            <w:pPr>
              <w:autoSpaceDE w:val="0"/>
              <w:autoSpaceDN w:val="0"/>
              <w:adjustRightInd w:val="0"/>
              <w:jc w:val="center"/>
              <w:rPr>
                <w:rFonts w:ascii="宋体" w:hAnsi="宋体"/>
                <w:b/>
                <w:bCs/>
                <w:color w:val="000000"/>
                <w:kern w:val="0"/>
                <w:sz w:val="24"/>
                <w:szCs w:val="24"/>
              </w:rPr>
            </w:pPr>
            <w:r w:rsidRPr="008F0E18">
              <w:rPr>
                <w:rFonts w:ascii="宋体" w:hAnsi="宋体" w:hint="eastAsia"/>
                <w:color w:val="000000"/>
                <w:kern w:val="0"/>
                <w:sz w:val="24"/>
                <w:szCs w:val="24"/>
              </w:rPr>
              <w:t>持有基金份额比例达到或者超过20%的时间区间</w:t>
            </w:r>
          </w:p>
        </w:tc>
        <w:tc>
          <w:tcPr>
            <w:tcW w:w="851" w:type="dxa"/>
            <w:vAlign w:val="center"/>
          </w:tcPr>
          <w:p w:rsidR="003C50AD" w:rsidRPr="008F0E18" w:rsidRDefault="003C50AD" w:rsidP="00424D30">
            <w:pPr>
              <w:widowControl/>
              <w:jc w:val="center"/>
              <w:rPr>
                <w:rFonts w:ascii="宋体" w:hAnsi="宋体"/>
                <w:b/>
                <w:bCs/>
                <w:color w:val="000000"/>
                <w:kern w:val="0"/>
                <w:sz w:val="24"/>
                <w:szCs w:val="24"/>
              </w:rPr>
            </w:pPr>
            <w:r w:rsidRPr="008F0E18">
              <w:rPr>
                <w:rFonts w:ascii="宋体" w:hAnsi="宋体" w:hint="eastAsia"/>
                <w:color w:val="000000"/>
                <w:kern w:val="0"/>
                <w:sz w:val="24"/>
                <w:szCs w:val="24"/>
              </w:rPr>
              <w:t>期初份额</w:t>
            </w:r>
          </w:p>
        </w:tc>
        <w:tc>
          <w:tcPr>
            <w:tcW w:w="850" w:type="dxa"/>
            <w:vAlign w:val="center"/>
          </w:tcPr>
          <w:p w:rsidR="003C50AD" w:rsidRPr="008F0E18" w:rsidRDefault="003C50AD" w:rsidP="00424D30">
            <w:pPr>
              <w:widowControl/>
              <w:jc w:val="center"/>
              <w:rPr>
                <w:rFonts w:ascii="宋体" w:hAnsi="宋体"/>
                <w:b/>
                <w:bCs/>
                <w:color w:val="000000"/>
                <w:kern w:val="0"/>
                <w:sz w:val="24"/>
                <w:szCs w:val="24"/>
              </w:rPr>
            </w:pPr>
            <w:r w:rsidRPr="008F0E18">
              <w:rPr>
                <w:rFonts w:ascii="宋体" w:hAnsi="宋体" w:hint="eastAsia"/>
                <w:color w:val="000000"/>
                <w:kern w:val="0"/>
                <w:sz w:val="24"/>
                <w:szCs w:val="24"/>
              </w:rPr>
              <w:t>申购份额</w:t>
            </w:r>
          </w:p>
        </w:tc>
        <w:tc>
          <w:tcPr>
            <w:tcW w:w="1134" w:type="dxa"/>
            <w:vAlign w:val="center"/>
          </w:tcPr>
          <w:p w:rsidR="003C50AD" w:rsidRPr="008F0E18" w:rsidRDefault="003C50AD" w:rsidP="00424D30">
            <w:pPr>
              <w:widowControl/>
              <w:jc w:val="center"/>
              <w:rPr>
                <w:rFonts w:ascii="宋体" w:hAnsi="宋体"/>
                <w:b/>
                <w:bCs/>
                <w:color w:val="000000"/>
                <w:kern w:val="0"/>
                <w:sz w:val="24"/>
                <w:szCs w:val="24"/>
              </w:rPr>
            </w:pPr>
            <w:r w:rsidRPr="008F0E18">
              <w:rPr>
                <w:rFonts w:ascii="宋体" w:hAnsi="宋体" w:hint="eastAsia"/>
                <w:color w:val="000000"/>
                <w:kern w:val="0"/>
                <w:sz w:val="24"/>
                <w:szCs w:val="24"/>
              </w:rPr>
              <w:t>赎回份额</w:t>
            </w:r>
          </w:p>
        </w:tc>
        <w:tc>
          <w:tcPr>
            <w:tcW w:w="1419" w:type="dxa"/>
            <w:vAlign w:val="center"/>
          </w:tcPr>
          <w:p w:rsidR="003C50AD" w:rsidRPr="008F0E18" w:rsidRDefault="003C50AD" w:rsidP="00424D30">
            <w:pPr>
              <w:autoSpaceDE w:val="0"/>
              <w:autoSpaceDN w:val="0"/>
              <w:adjustRightInd w:val="0"/>
              <w:jc w:val="center"/>
              <w:rPr>
                <w:rFonts w:ascii="宋体" w:hAnsi="宋体"/>
                <w:b/>
                <w:bCs/>
                <w:color w:val="000000"/>
                <w:kern w:val="0"/>
                <w:sz w:val="24"/>
                <w:szCs w:val="24"/>
              </w:rPr>
            </w:pPr>
            <w:r w:rsidRPr="008F0E18">
              <w:rPr>
                <w:rFonts w:ascii="宋体" w:hAnsi="宋体" w:hint="eastAsia"/>
                <w:color w:val="000000"/>
                <w:kern w:val="0"/>
                <w:sz w:val="24"/>
                <w:szCs w:val="24"/>
              </w:rPr>
              <w:t>持有份额</w:t>
            </w:r>
          </w:p>
        </w:tc>
        <w:tc>
          <w:tcPr>
            <w:tcW w:w="1130" w:type="dxa"/>
            <w:vAlign w:val="center"/>
          </w:tcPr>
          <w:p w:rsidR="003C50AD" w:rsidRPr="008F0E18" w:rsidRDefault="003C50AD" w:rsidP="00424D30">
            <w:pPr>
              <w:autoSpaceDE w:val="0"/>
              <w:autoSpaceDN w:val="0"/>
              <w:adjustRightInd w:val="0"/>
              <w:jc w:val="center"/>
              <w:rPr>
                <w:rFonts w:ascii="宋体" w:hAnsi="宋体"/>
                <w:b/>
                <w:bCs/>
                <w:color w:val="000000"/>
                <w:kern w:val="0"/>
                <w:sz w:val="24"/>
                <w:szCs w:val="24"/>
              </w:rPr>
            </w:pPr>
            <w:r w:rsidRPr="008F0E18">
              <w:rPr>
                <w:rFonts w:ascii="宋体" w:hAnsi="宋体" w:hint="eastAsia"/>
                <w:color w:val="000000"/>
                <w:kern w:val="0"/>
                <w:sz w:val="24"/>
                <w:szCs w:val="24"/>
              </w:rPr>
              <w:t>份额占比</w:t>
            </w:r>
          </w:p>
        </w:tc>
      </w:tr>
      <w:tr w:rsidR="00D04BC2" w:rsidRPr="008F0E18">
        <w:tc>
          <w:tcPr>
            <w:tcW w:w="993" w:type="dxa"/>
            <w:vMerge w:val="restart"/>
          </w:tcPr>
          <w:p w:rsidR="00D04BC2" w:rsidRPr="008F0E18" w:rsidRDefault="00D04BC2">
            <w:pPr>
              <w:rPr>
                <w:sz w:val="24"/>
                <w:szCs w:val="24"/>
              </w:rPr>
            </w:pPr>
          </w:p>
          <w:p w:rsidR="00D04BC2" w:rsidRPr="008F0E18" w:rsidRDefault="008A58A3">
            <w:pPr>
              <w:rPr>
                <w:sz w:val="24"/>
                <w:szCs w:val="24"/>
              </w:rPr>
            </w:pPr>
            <w:r w:rsidRPr="008F0E18">
              <w:rPr>
                <w:rFonts w:ascii="宋体" w:hAnsi="宋体" w:hint="eastAsia"/>
                <w:bCs/>
                <w:color w:val="000000"/>
                <w:kern w:val="0"/>
                <w:sz w:val="24"/>
                <w:szCs w:val="24"/>
              </w:rPr>
              <w:t>机构</w:t>
            </w:r>
          </w:p>
        </w:tc>
        <w:tc>
          <w:tcPr>
            <w:tcW w:w="992" w:type="dxa"/>
            <w:vAlign w:val="center"/>
          </w:tcPr>
          <w:p w:rsidR="00D04BC2" w:rsidRPr="008F0E18" w:rsidRDefault="008A58A3">
            <w:pPr>
              <w:jc w:val="center"/>
              <w:rPr>
                <w:sz w:val="24"/>
                <w:szCs w:val="24"/>
              </w:rPr>
            </w:pPr>
            <w:r w:rsidRPr="008F0E18">
              <w:rPr>
                <w:rFonts w:ascii="宋体" w:hAnsi="宋体"/>
                <w:color w:val="000000"/>
                <w:kern w:val="0"/>
                <w:sz w:val="24"/>
                <w:szCs w:val="24"/>
              </w:rPr>
              <w:t>1</w:t>
            </w:r>
          </w:p>
        </w:tc>
        <w:tc>
          <w:tcPr>
            <w:tcW w:w="1843" w:type="dxa"/>
            <w:vAlign w:val="center"/>
          </w:tcPr>
          <w:p w:rsidR="00D04BC2" w:rsidRPr="008F0E18" w:rsidRDefault="008A58A3">
            <w:pPr>
              <w:jc w:val="center"/>
              <w:rPr>
                <w:sz w:val="24"/>
                <w:szCs w:val="24"/>
              </w:rPr>
            </w:pPr>
            <w:r w:rsidRPr="008F0E18">
              <w:rPr>
                <w:rFonts w:ascii="宋体" w:hAnsi="宋体"/>
                <w:color w:val="000000"/>
                <w:kern w:val="0"/>
                <w:sz w:val="24"/>
                <w:szCs w:val="24"/>
              </w:rPr>
              <w:t>2018/7/1-2018/9/30</w:t>
            </w:r>
          </w:p>
        </w:tc>
        <w:tc>
          <w:tcPr>
            <w:tcW w:w="851" w:type="dxa"/>
            <w:vAlign w:val="center"/>
          </w:tcPr>
          <w:p w:rsidR="00D04BC2" w:rsidRPr="008F0E18" w:rsidRDefault="008A58A3">
            <w:pPr>
              <w:jc w:val="center"/>
              <w:rPr>
                <w:sz w:val="24"/>
                <w:szCs w:val="24"/>
              </w:rPr>
            </w:pPr>
            <w:r w:rsidRPr="008F0E18">
              <w:rPr>
                <w:rFonts w:ascii="宋体" w:hAnsi="宋体"/>
                <w:color w:val="000000"/>
                <w:kern w:val="0"/>
                <w:sz w:val="24"/>
                <w:szCs w:val="24"/>
              </w:rPr>
              <w:t>156,993,386.51</w:t>
            </w:r>
          </w:p>
        </w:tc>
        <w:tc>
          <w:tcPr>
            <w:tcW w:w="850" w:type="dxa"/>
            <w:vAlign w:val="center"/>
          </w:tcPr>
          <w:p w:rsidR="00D04BC2" w:rsidRPr="008F0E18" w:rsidRDefault="008A58A3">
            <w:pPr>
              <w:jc w:val="center"/>
              <w:rPr>
                <w:sz w:val="24"/>
                <w:szCs w:val="24"/>
              </w:rPr>
            </w:pPr>
            <w:r w:rsidRPr="008F0E18">
              <w:rPr>
                <w:rFonts w:ascii="宋体" w:hAnsi="宋体"/>
                <w:color w:val="000000"/>
                <w:kern w:val="0"/>
                <w:sz w:val="24"/>
                <w:szCs w:val="24"/>
              </w:rPr>
              <w:t>-</w:t>
            </w:r>
          </w:p>
        </w:tc>
        <w:tc>
          <w:tcPr>
            <w:tcW w:w="1134" w:type="dxa"/>
            <w:vAlign w:val="center"/>
          </w:tcPr>
          <w:p w:rsidR="00D04BC2" w:rsidRPr="008F0E18" w:rsidRDefault="008A58A3">
            <w:pPr>
              <w:jc w:val="center"/>
              <w:rPr>
                <w:sz w:val="24"/>
                <w:szCs w:val="24"/>
              </w:rPr>
            </w:pPr>
            <w:r w:rsidRPr="008F0E18">
              <w:rPr>
                <w:rFonts w:ascii="宋体" w:hAnsi="宋体"/>
                <w:color w:val="000000"/>
                <w:kern w:val="0"/>
                <w:sz w:val="24"/>
                <w:szCs w:val="24"/>
              </w:rPr>
              <w:t>-</w:t>
            </w:r>
          </w:p>
        </w:tc>
        <w:tc>
          <w:tcPr>
            <w:tcW w:w="1419" w:type="dxa"/>
            <w:vAlign w:val="center"/>
          </w:tcPr>
          <w:p w:rsidR="00D04BC2" w:rsidRPr="008F0E18" w:rsidRDefault="008A58A3">
            <w:pPr>
              <w:jc w:val="center"/>
              <w:rPr>
                <w:sz w:val="24"/>
                <w:szCs w:val="24"/>
              </w:rPr>
            </w:pPr>
            <w:r w:rsidRPr="008F0E18">
              <w:rPr>
                <w:rFonts w:ascii="宋体" w:hAnsi="宋体"/>
                <w:color w:val="000000"/>
                <w:kern w:val="0"/>
                <w:sz w:val="24"/>
                <w:szCs w:val="24"/>
              </w:rPr>
              <w:t>156,993,386.51</w:t>
            </w:r>
          </w:p>
        </w:tc>
        <w:tc>
          <w:tcPr>
            <w:tcW w:w="1130" w:type="dxa"/>
            <w:vAlign w:val="center"/>
          </w:tcPr>
          <w:p w:rsidR="00D04BC2" w:rsidRPr="008F0E18" w:rsidRDefault="008A58A3">
            <w:pPr>
              <w:jc w:val="center"/>
              <w:rPr>
                <w:sz w:val="24"/>
                <w:szCs w:val="24"/>
              </w:rPr>
            </w:pPr>
            <w:r w:rsidRPr="008F0E18">
              <w:rPr>
                <w:rFonts w:ascii="宋体" w:hAnsi="宋体"/>
                <w:color w:val="000000"/>
                <w:kern w:val="0"/>
                <w:sz w:val="24"/>
                <w:szCs w:val="24"/>
              </w:rPr>
              <w:t>34.43%</w:t>
            </w:r>
          </w:p>
        </w:tc>
      </w:tr>
      <w:tr w:rsidR="003C50AD" w:rsidRPr="008F0E18" w:rsidTr="00424D30">
        <w:tc>
          <w:tcPr>
            <w:tcW w:w="9212" w:type="dxa"/>
            <w:gridSpan w:val="8"/>
            <w:vAlign w:val="center"/>
          </w:tcPr>
          <w:p w:rsidR="003C50AD" w:rsidRPr="008F0E18" w:rsidRDefault="003C50AD" w:rsidP="00424D30">
            <w:pPr>
              <w:autoSpaceDE w:val="0"/>
              <w:autoSpaceDN w:val="0"/>
              <w:adjustRightInd w:val="0"/>
              <w:jc w:val="center"/>
              <w:rPr>
                <w:rFonts w:ascii="宋体" w:hAnsi="宋体"/>
                <w:kern w:val="0"/>
                <w:sz w:val="24"/>
                <w:szCs w:val="24"/>
              </w:rPr>
            </w:pPr>
            <w:r w:rsidRPr="008F0E18">
              <w:rPr>
                <w:rFonts w:ascii="宋体" w:hAnsi="宋体"/>
                <w:color w:val="000000"/>
                <w:kern w:val="0"/>
                <w:sz w:val="24"/>
                <w:szCs w:val="24"/>
              </w:rPr>
              <w:t>产品特有风险</w:t>
            </w:r>
          </w:p>
        </w:tc>
      </w:tr>
      <w:tr w:rsidR="003C50AD" w:rsidRPr="008F0E18" w:rsidTr="00424D30">
        <w:tc>
          <w:tcPr>
            <w:tcW w:w="9212" w:type="dxa"/>
            <w:gridSpan w:val="8"/>
            <w:vAlign w:val="center"/>
          </w:tcPr>
          <w:p w:rsidR="003C50AD" w:rsidRPr="008F0E18" w:rsidRDefault="003C50AD" w:rsidP="00424D30">
            <w:pPr>
              <w:autoSpaceDE w:val="0"/>
              <w:autoSpaceDN w:val="0"/>
              <w:adjustRightInd w:val="0"/>
              <w:jc w:val="left"/>
              <w:rPr>
                <w:rFonts w:ascii="宋体" w:hAnsi="宋体"/>
                <w:kern w:val="0"/>
                <w:sz w:val="24"/>
                <w:szCs w:val="24"/>
              </w:rPr>
            </w:pPr>
            <w:r w:rsidRPr="008F0E18">
              <w:rPr>
                <w:rFonts w:ascii="宋体" w:hAnsi="宋体" w:hint="eastAsia"/>
                <w:kern w:val="0"/>
                <w:sz w:val="24"/>
                <w:szCs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bookmarkEnd w:id="0"/>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D04BC2" w:rsidRDefault="008A58A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、中国证监会准予交银施罗德沪港深价值精选灵活配置混合型证券投资基金募集注册的文件；</w:t>
      </w:r>
      <w:r>
        <w:rPr>
          <w:color w:val="000000"/>
          <w:sz w:val="24"/>
          <w:szCs w:val="24"/>
        </w:rPr>
        <w:t xml:space="preserve"> </w:t>
      </w:r>
    </w:p>
    <w:p w:rsidR="00D04BC2" w:rsidRDefault="008A58A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、《交银施罗德沪港深价值精选灵活配置混合型证券投资基金基金合同》；</w:t>
      </w:r>
      <w:r>
        <w:rPr>
          <w:color w:val="000000"/>
          <w:sz w:val="24"/>
          <w:szCs w:val="24"/>
        </w:rPr>
        <w:t xml:space="preserve"> </w:t>
      </w:r>
    </w:p>
    <w:p w:rsidR="00D04BC2" w:rsidRDefault="008A58A3">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、《交银施罗德沪港深价值精选灵活配置混合型证券投资基金招募说明书》；</w:t>
      </w:r>
      <w:r>
        <w:rPr>
          <w:color w:val="000000"/>
          <w:sz w:val="24"/>
          <w:szCs w:val="24"/>
        </w:rPr>
        <w:t xml:space="preserve"> </w:t>
      </w:r>
    </w:p>
    <w:p w:rsidR="00D04BC2" w:rsidRDefault="008A58A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、《交银施罗德沪港深价值精选灵活配置混合型证券投资基金托管协议》；</w:t>
      </w:r>
      <w:r>
        <w:rPr>
          <w:color w:val="000000"/>
          <w:sz w:val="24"/>
          <w:szCs w:val="24"/>
        </w:rPr>
        <w:t xml:space="preserve"> </w:t>
      </w:r>
    </w:p>
    <w:p w:rsidR="00D04BC2" w:rsidRDefault="008A58A3">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、关于申请募集注册交银施罗德沪港深价值精选灵活配置混合型证券投资基金的法律意见书；</w:t>
      </w:r>
      <w:r>
        <w:rPr>
          <w:color w:val="000000"/>
          <w:sz w:val="24"/>
          <w:szCs w:val="24"/>
        </w:rPr>
        <w:t xml:space="preserve"> </w:t>
      </w:r>
    </w:p>
    <w:p w:rsidR="00D04BC2" w:rsidRDefault="008A58A3">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D04BC2" w:rsidRDefault="008A58A3">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、报告期内交银施罗德沪港深价值精选灵活配置混合型证券投资基金在指定报刊上各项公告的原稿。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D04BC2" w:rsidRDefault="008A58A3">
      <w:pPr>
        <w:spacing w:before="29" w:line="288" w:lineRule="auto"/>
        <w:ind w:firstLineChars="200" w:firstLine="480"/>
        <w:rPr>
          <w:color w:val="000000"/>
          <w:sz w:val="24"/>
          <w:szCs w:val="24"/>
        </w:rPr>
      </w:pPr>
      <w:r>
        <w:rPr>
          <w:color w:val="000000"/>
          <w:sz w:val="24"/>
          <w:szCs w:val="24"/>
        </w:rPr>
        <w:lastRenderedPageBreak/>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C25" w:rsidRDefault="00507C25" w:rsidP="00876D65">
      <w:r>
        <w:separator/>
      </w:r>
    </w:p>
  </w:endnote>
  <w:endnote w:type="continuationSeparator" w:id="0">
    <w:p w:rsidR="00507C25" w:rsidRDefault="00507C25"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8F0E18">
      <w:rPr>
        <w:noProof/>
        <w:kern w:val="0"/>
        <w:szCs w:val="21"/>
      </w:rPr>
      <w:t>11</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8F0E18">
      <w:rPr>
        <w:noProof/>
        <w:kern w:val="0"/>
        <w:szCs w:val="21"/>
      </w:rPr>
      <w:t>13</w:t>
    </w:r>
    <w:r w:rsidR="00381EE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C25" w:rsidRDefault="00507C25" w:rsidP="00876D65">
      <w:r>
        <w:separator/>
      </w:r>
    </w:p>
  </w:footnote>
  <w:footnote w:type="continuationSeparator" w:id="0">
    <w:p w:rsidR="00507C25" w:rsidRDefault="00507C25"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交银施罗德沪港深价值精选灵活配置混合型证券投资基金</w:t>
    </w:r>
    <w:r w:rsidRPr="003E676C">
      <w:rPr>
        <w:sz w:val="24"/>
        <w:szCs w:val="24"/>
      </w:rPr>
      <w:t>2018</w:t>
    </w:r>
    <w:r w:rsidRPr="003E676C">
      <w:rPr>
        <w:sz w:val="24"/>
        <w:szCs w:val="24"/>
      </w:rPr>
      <w:t>年第</w:t>
    </w:r>
    <w:r w:rsidRPr="003E676C">
      <w:rPr>
        <w:sz w:val="24"/>
        <w:szCs w:val="24"/>
      </w:rPr>
      <w:t>3</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07C25"/>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8A3"/>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0E18"/>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04BC2"/>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7872"/>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8F23A6-A8F7-43DD-B544-A877995C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B0FBF-1886-4B05-BBFD-30FB6F030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1816</TotalTime>
  <Pages>13</Pages>
  <Words>1114</Words>
  <Characters>6351</Characters>
  <Application>Microsoft Office Word</Application>
  <DocSecurity>0</DocSecurity>
  <Lines>52</Lines>
  <Paragraphs>14</Paragraphs>
  <ScaleCrop>false</ScaleCrop>
  <Company/>
  <LinksUpToDate>false</LinksUpToDate>
  <CharactersWithSpaces>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581</cp:revision>
  <dcterms:created xsi:type="dcterms:W3CDTF">2012-10-16T06:07:00Z</dcterms:created>
  <dcterms:modified xsi:type="dcterms:W3CDTF">2018-10-22T05:23:00Z</dcterms:modified>
</cp:coreProperties>
</file>