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120,324,488.07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-16,388,978.03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-2,495,542.45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122,407,560.84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1.0173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-2.32%</w:t>
            </w:r>
          </w:p>
        </w:tc>
        <w:tc>
          <w:tcPr>
            <w:vAlign w:val="center"/>
          </w:tcPr>
          <w:p>
            <w:pPr>
              <w:jc w:val="center"/>
            </w:pPr>
            <w:r>
              <w:rPr>
                <w:color w:val="000000"/>
                <w:sz w:val="24"/>
                <w:szCs w:val="24"/>
              </w:rPr>
              <w:t>1.59%</w:t>
            </w:r>
          </w:p>
        </w:tc>
        <w:tc>
          <w:tcPr>
            <w:vAlign w:val="center"/>
          </w:tcPr>
          <w:p>
            <w:pPr>
              <w:jc w:val="center"/>
            </w:pPr>
            <w:r>
              <w:rPr>
                <w:color w:val="000000"/>
                <w:sz w:val="24"/>
                <w:szCs w:val="24"/>
              </w:rPr>
              <w:t>-0.58%</w:t>
            </w:r>
          </w:p>
        </w:tc>
        <w:tc>
          <w:tcPr>
            <w:vAlign w:val="center"/>
          </w:tcPr>
          <w:p>
            <w:pPr>
              <w:jc w:val="center"/>
            </w:pPr>
            <w:r>
              <w:rPr>
                <w:color w:val="000000"/>
                <w:sz w:val="24"/>
                <w:szCs w:val="24"/>
              </w:rPr>
              <w:t>0.81%</w:t>
            </w:r>
          </w:p>
        </w:tc>
        <w:tc>
          <w:tcPr>
            <w:vAlign w:val="center"/>
          </w:tcPr>
          <w:p>
            <w:pPr>
              <w:jc w:val="center"/>
            </w:pPr>
            <w:r>
              <w:rPr>
                <w:color w:val="000000"/>
                <w:sz w:val="24"/>
                <w:szCs w:val="24"/>
              </w:rPr>
              <w:t>-1.74%</w:t>
            </w:r>
          </w:p>
        </w:tc>
        <w:tc>
          <w:tcPr>
            <w:vAlign w:val="center"/>
          </w:tcPr>
          <w:p>
            <w:pPr>
              <w:jc w:val="center"/>
            </w:pPr>
            <w:r>
              <w:rPr>
                <w:color w:val="000000"/>
                <w:sz w:val="24"/>
                <w:szCs w:val="24"/>
              </w:rPr>
              <w:t>0.78%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2018年三季度，A股市场再创年内新低。国内经济基本面的进一步回落，叠加中美摩擦的持续深化，共同构成了市场回落的主因。同时我们看到，美债利率的再度走高，使得新兴市场风险资产的弱势雪上加霜。</w:t>
      </w:r>
    </w:p>
    <w:p>
      <w:pPr>
        <w:spacing w:before="29" w:line="288" w:lineRule="auto"/>
        <w:ind w:firstLine="480" w:firstLineChars="200"/>
        <w:rPr>
          <w:color w:val="000000"/>
          <w:sz w:val="24"/>
          <w:szCs w:val="24"/>
        </w:rPr>
      </w:pPr>
      <w:r>
        <w:rPr>
          <w:color w:val="000000"/>
          <w:sz w:val="24"/>
          <w:szCs w:val="24"/>
        </w:rPr>
        <w:t>报告期内，本基金降低仓位，重点配置了先进制造、科技硬件、医药、新能源汽车等领域的成长股及以地产为代表的逆周期蓝筹品种。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2018年四季度，我们认为市场将继续弱势磨底。在市场对中美摩擦以及经济回落的预期已比较悲观的情况下，市场的方向将取决于国内改革的力度以及无风险利率上行压力之间的角力。我们看好一批经历充分调整、估值具备吸引力的优质成长股将有相对较好的表现。同时，以地产为代表的逆周期蓝筹品种已反映相当悲观的市场预期，具备一定配置价值。本基金在三季度已优化持仓结构的基础上，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90,556,391.23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73.58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90,556,391.23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73.58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5,969,400.00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5,969,400.00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26,176,123.05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368,712.52</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123,070,626.80</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77,440,597.85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135,592.38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12,980,201.00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90,556,391.23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73.98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801,872</w:t>
            </w:r>
          </w:p>
        </w:tc>
        <w:tc>
          <w:tcPr>
            <w:vAlign w:val="center"/>
          </w:tcPr>
          <w:p>
            <w:pPr>
              <w:jc w:val="right"/>
            </w:pPr>
            <w:r>
              <w:rPr>
                <w:color w:val="000000"/>
                <w:sz w:val="24"/>
                <w:szCs w:val="24"/>
              </w:rPr>
              <w:t>11,386,582.40</w:t>
            </w:r>
          </w:p>
        </w:tc>
        <w:tc>
          <w:tcPr>
            <w:vAlign w:val="center"/>
          </w:tcPr>
          <w:p>
            <w:pPr>
              <w:jc w:val="right"/>
            </w:pPr>
            <w:r>
              <w:rPr>
                <w:color w:val="000000"/>
                <w:sz w:val="24"/>
                <w:szCs w:val="24"/>
              </w:rPr>
              <w:t>9.30</w:t>
            </w:r>
          </w:p>
        </w:tc>
      </w:tr>
      <w:tr>
        <w:tc>
          <w:tcPr>
            <w:vAlign w:val="center"/>
          </w:tcPr>
          <w:p>
            <w:pPr>
              <w:jc w:val="center"/>
            </w:pPr>
            <w:r>
              <w:rPr>
                <w:color w:val="000000"/>
                <w:sz w:val="24"/>
                <w:szCs w:val="24"/>
              </w:rPr>
              <w:t>2</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45,588</w:t>
            </w:r>
          </w:p>
        </w:tc>
        <w:tc>
          <w:tcPr>
            <w:vAlign w:val="center"/>
          </w:tcPr>
          <w:p>
            <w:pPr>
              <w:jc w:val="right"/>
            </w:pPr>
            <w:r>
              <w:rPr>
                <w:color w:val="000000"/>
                <w:sz w:val="24"/>
                <w:szCs w:val="24"/>
              </w:rPr>
              <w:t>10,804,356.00</w:t>
            </w:r>
          </w:p>
        </w:tc>
        <w:tc>
          <w:tcPr>
            <w:vAlign w:val="center"/>
          </w:tcPr>
          <w:p>
            <w:pPr>
              <w:jc w:val="right"/>
            </w:pPr>
            <w:r>
              <w:rPr>
                <w:color w:val="000000"/>
                <w:sz w:val="24"/>
                <w:szCs w:val="24"/>
              </w:rPr>
              <w:t>8.83</w:t>
            </w:r>
          </w:p>
        </w:tc>
      </w:tr>
      <w:tr>
        <w:tc>
          <w:tcPr>
            <w:vAlign w:val="center"/>
          </w:tcPr>
          <w:p>
            <w:pPr>
              <w:jc w:val="center"/>
            </w:pPr>
            <w:r>
              <w:rPr>
                <w:color w:val="000000"/>
                <w:sz w:val="24"/>
                <w:szCs w:val="24"/>
              </w:rPr>
              <w:t>3</w:t>
            </w:r>
          </w:p>
        </w:tc>
        <w:tc>
          <w:tcPr>
            <w:vAlign w:val="center"/>
          </w:tcPr>
          <w:p>
            <w:pPr>
              <w:jc w:val="center"/>
            </w:pPr>
            <w:r>
              <w:rPr>
                <w:color w:val="000000"/>
                <w:sz w:val="24"/>
                <w:szCs w:val="24"/>
              </w:rPr>
              <w:t>300602</w:t>
            </w:r>
          </w:p>
        </w:tc>
        <w:tc>
          <w:tcPr>
            <w:vAlign w:val="center"/>
          </w:tcPr>
          <w:p>
            <w:pPr>
              <w:jc w:val="center"/>
            </w:pPr>
            <w:r>
              <w:rPr>
                <w:color w:val="000000"/>
                <w:sz w:val="24"/>
                <w:szCs w:val="24"/>
              </w:rPr>
              <w:t>飞荣达</w:t>
            </w:r>
          </w:p>
        </w:tc>
        <w:tc>
          <w:tcPr>
            <w:vAlign w:val="center"/>
          </w:tcPr>
          <w:p>
            <w:pPr>
              <w:jc w:val="right"/>
            </w:pPr>
            <w:r>
              <w:rPr>
                <w:color w:val="000000"/>
                <w:sz w:val="24"/>
                <w:szCs w:val="24"/>
              </w:rPr>
              <w:t>285,391</w:t>
            </w:r>
          </w:p>
        </w:tc>
        <w:tc>
          <w:tcPr>
            <w:vAlign w:val="center"/>
          </w:tcPr>
          <w:p>
            <w:pPr>
              <w:jc w:val="right"/>
            </w:pPr>
            <w:r>
              <w:rPr>
                <w:color w:val="000000"/>
                <w:sz w:val="24"/>
                <w:szCs w:val="24"/>
              </w:rPr>
              <w:t>10,659,353.85</w:t>
            </w:r>
          </w:p>
        </w:tc>
        <w:tc>
          <w:tcPr>
            <w:vAlign w:val="center"/>
          </w:tcPr>
          <w:p>
            <w:pPr>
              <w:jc w:val="right"/>
            </w:pPr>
            <w:r>
              <w:rPr>
                <w:color w:val="000000"/>
                <w:sz w:val="24"/>
                <w:szCs w:val="24"/>
              </w:rPr>
              <w:t>8.71</w:t>
            </w:r>
          </w:p>
        </w:tc>
      </w:tr>
      <w:tr>
        <w:tc>
          <w:tcPr>
            <w:vAlign w:val="center"/>
          </w:tcPr>
          <w:p>
            <w:pPr>
              <w:jc w:val="center"/>
            </w:pPr>
            <w:r>
              <w:rPr>
                <w:color w:val="000000"/>
                <w:sz w:val="24"/>
                <w:szCs w:val="24"/>
              </w:rPr>
              <w:t>4</w:t>
            </w:r>
          </w:p>
        </w:tc>
        <w:tc>
          <w:tcPr>
            <w:vAlign w:val="center"/>
          </w:tcPr>
          <w:p>
            <w:pPr>
              <w:jc w:val="center"/>
            </w:pPr>
            <w:r>
              <w:rPr>
                <w:color w:val="000000"/>
                <w:sz w:val="24"/>
                <w:szCs w:val="24"/>
              </w:rPr>
              <w:t>601231</w:t>
            </w:r>
          </w:p>
        </w:tc>
        <w:tc>
          <w:tcPr>
            <w:vAlign w:val="center"/>
          </w:tcPr>
          <w:p>
            <w:pPr>
              <w:jc w:val="center"/>
            </w:pPr>
            <w:r>
              <w:rPr>
                <w:color w:val="000000"/>
                <w:sz w:val="24"/>
                <w:szCs w:val="24"/>
              </w:rPr>
              <w:t>环旭电子</w:t>
            </w:r>
          </w:p>
        </w:tc>
        <w:tc>
          <w:tcPr>
            <w:vAlign w:val="center"/>
          </w:tcPr>
          <w:p>
            <w:pPr>
              <w:jc w:val="right"/>
            </w:pPr>
            <w:r>
              <w:rPr>
                <w:color w:val="000000"/>
                <w:sz w:val="24"/>
                <w:szCs w:val="24"/>
              </w:rPr>
              <w:t>927,100</w:t>
            </w:r>
          </w:p>
        </w:tc>
        <w:tc>
          <w:tcPr>
            <w:vAlign w:val="center"/>
          </w:tcPr>
          <w:p>
            <w:pPr>
              <w:jc w:val="right"/>
            </w:pPr>
            <w:r>
              <w:rPr>
                <w:color w:val="000000"/>
                <w:sz w:val="24"/>
                <w:szCs w:val="24"/>
              </w:rPr>
              <w:t>8,900,160.00</w:t>
            </w:r>
          </w:p>
        </w:tc>
        <w:tc>
          <w:tcPr>
            <w:vAlign w:val="center"/>
          </w:tcPr>
          <w:p>
            <w:pPr>
              <w:jc w:val="right"/>
            </w:pPr>
            <w:r>
              <w:rPr>
                <w:color w:val="000000"/>
                <w:sz w:val="24"/>
                <w:szCs w:val="24"/>
              </w:rPr>
              <w:t>7.27</w:t>
            </w:r>
          </w:p>
        </w:tc>
      </w:tr>
      <w:tr>
        <w:tc>
          <w:tcPr>
            <w:vAlign w:val="center"/>
          </w:tcPr>
          <w:p>
            <w:pPr>
              <w:jc w:val="center"/>
            </w:pPr>
            <w:r>
              <w:rPr>
                <w:color w:val="000000"/>
                <w:sz w:val="24"/>
                <w:szCs w:val="24"/>
              </w:rPr>
              <w:t>5</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385,048</w:t>
            </w:r>
          </w:p>
        </w:tc>
        <w:tc>
          <w:tcPr>
            <w:vAlign w:val="center"/>
          </w:tcPr>
          <w:p>
            <w:pPr>
              <w:jc w:val="right"/>
            </w:pPr>
            <w:r>
              <w:rPr>
                <w:color w:val="000000"/>
                <w:sz w:val="24"/>
                <w:szCs w:val="24"/>
              </w:rPr>
              <w:t>8,598,121.84</w:t>
            </w:r>
          </w:p>
        </w:tc>
        <w:tc>
          <w:tcPr>
            <w:vAlign w:val="center"/>
          </w:tcPr>
          <w:p>
            <w:pPr>
              <w:jc w:val="right"/>
            </w:pPr>
            <w:r>
              <w:rPr>
                <w:color w:val="000000"/>
                <w:sz w:val="24"/>
                <w:szCs w:val="24"/>
              </w:rPr>
              <w:t>7.02</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538,900</w:t>
            </w:r>
          </w:p>
        </w:tc>
        <w:tc>
          <w:tcPr>
            <w:vAlign w:val="center"/>
          </w:tcPr>
          <w:p>
            <w:pPr>
              <w:jc w:val="right"/>
            </w:pPr>
            <w:r>
              <w:rPr>
                <w:color w:val="000000"/>
                <w:sz w:val="24"/>
                <w:szCs w:val="24"/>
              </w:rPr>
              <w:t>6,558,413.00</w:t>
            </w:r>
          </w:p>
        </w:tc>
        <w:tc>
          <w:tcPr>
            <w:vAlign w:val="center"/>
          </w:tcPr>
          <w:p>
            <w:pPr>
              <w:jc w:val="right"/>
            </w:pPr>
            <w:r>
              <w:rPr>
                <w:color w:val="000000"/>
                <w:sz w:val="24"/>
                <w:szCs w:val="24"/>
              </w:rPr>
              <w:t>5.36</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245,200</w:t>
            </w:r>
          </w:p>
        </w:tc>
        <w:tc>
          <w:tcPr>
            <w:vAlign w:val="center"/>
          </w:tcPr>
          <w:p>
            <w:pPr>
              <w:jc w:val="right"/>
            </w:pPr>
            <w:r>
              <w:rPr>
                <w:color w:val="000000"/>
                <w:sz w:val="24"/>
                <w:szCs w:val="24"/>
              </w:rPr>
              <w:t>6,421,788.00</w:t>
            </w:r>
          </w:p>
        </w:tc>
        <w:tc>
          <w:tcPr>
            <w:vAlign w:val="center"/>
          </w:tcPr>
          <w:p>
            <w:pPr>
              <w:jc w:val="right"/>
            </w:pPr>
            <w:r>
              <w:rPr>
                <w:color w:val="000000"/>
                <w:sz w:val="24"/>
                <w:szCs w:val="24"/>
              </w:rPr>
              <w:t>5.25</w:t>
            </w:r>
          </w:p>
        </w:tc>
      </w:tr>
      <w:tr>
        <w:tc>
          <w:tcPr>
            <w:vAlign w:val="center"/>
          </w:tcPr>
          <w:p>
            <w:pPr>
              <w:jc w:val="center"/>
            </w:pPr>
            <w:r>
              <w:rPr>
                <w:color w:val="000000"/>
                <w:sz w:val="24"/>
                <w:szCs w:val="24"/>
              </w:rPr>
              <w:t>8</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77,579</w:t>
            </w:r>
          </w:p>
        </w:tc>
        <w:tc>
          <w:tcPr>
            <w:vAlign w:val="center"/>
          </w:tcPr>
          <w:p>
            <w:pPr>
              <w:jc w:val="right"/>
            </w:pPr>
            <w:r>
              <w:rPr>
                <w:color w:val="000000"/>
                <w:sz w:val="24"/>
                <w:szCs w:val="24"/>
              </w:rPr>
              <w:t>6,214,077.90</w:t>
            </w:r>
          </w:p>
        </w:tc>
        <w:tc>
          <w:tcPr>
            <w:vAlign w:val="center"/>
          </w:tcPr>
          <w:p>
            <w:pPr>
              <w:jc w:val="right"/>
            </w:pPr>
            <w:r>
              <w:rPr>
                <w:color w:val="000000"/>
                <w:sz w:val="24"/>
                <w:szCs w:val="24"/>
              </w:rPr>
              <w:t>5.08</w:t>
            </w:r>
          </w:p>
        </w:tc>
      </w:tr>
      <w:tr>
        <w:tc>
          <w:tcPr>
            <w:vAlign w:val="center"/>
          </w:tcPr>
          <w:p>
            <w:pPr>
              <w:jc w:val="center"/>
            </w:pPr>
            <w:r>
              <w:rPr>
                <w:color w:val="000000"/>
                <w:sz w:val="24"/>
                <w:szCs w:val="24"/>
              </w:rPr>
              <w:t>9</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927,379</w:t>
            </w:r>
          </w:p>
        </w:tc>
        <w:tc>
          <w:tcPr>
            <w:vAlign w:val="center"/>
          </w:tcPr>
          <w:p>
            <w:pPr>
              <w:jc w:val="right"/>
            </w:pPr>
            <w:r>
              <w:rPr>
                <w:color w:val="000000"/>
                <w:sz w:val="24"/>
                <w:szCs w:val="24"/>
              </w:rPr>
              <w:t>5,981,594.55</w:t>
            </w:r>
          </w:p>
        </w:tc>
        <w:tc>
          <w:tcPr>
            <w:vAlign w:val="center"/>
          </w:tcPr>
          <w:p>
            <w:pPr>
              <w:jc w:val="right"/>
            </w:pPr>
            <w:r>
              <w:rPr>
                <w:color w:val="000000"/>
                <w:sz w:val="24"/>
                <w:szCs w:val="24"/>
              </w:rPr>
              <w:t>4.89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002436</w:t>
            </w:r>
          </w:p>
        </w:tc>
        <w:tc>
          <w:tcPr>
            <w:vAlign w:val="center"/>
          </w:tcPr>
          <w:p>
            <w:pPr>
              <w:jc w:val="center"/>
            </w:pPr>
            <w:r>
              <w:rPr>
                <w:color w:val="000000"/>
                <w:sz w:val="24"/>
                <w:szCs w:val="24"/>
              </w:rPr>
              <w:t>兴森科技</w:t>
            </w:r>
          </w:p>
        </w:tc>
        <w:tc>
          <w:tcPr>
            <w:vAlign w:val="center"/>
          </w:tcPr>
          <w:p>
            <w:pPr>
              <w:jc w:val="right"/>
            </w:pPr>
            <w:r>
              <w:rPr>
                <w:color w:val="000000"/>
                <w:sz w:val="24"/>
                <w:szCs w:val="24"/>
              </w:rPr>
              <w:t>1,130,000</w:t>
            </w:r>
          </w:p>
        </w:tc>
        <w:tc>
          <w:tcPr>
            <w:vAlign w:val="center"/>
          </w:tcPr>
          <w:p>
            <w:pPr>
              <w:jc w:val="right"/>
            </w:pPr>
            <w:r>
              <w:rPr>
                <w:color w:val="000000"/>
                <w:sz w:val="24"/>
                <w:szCs w:val="24"/>
              </w:rPr>
              <w:t>4,452,200.00</w:t>
            </w:r>
          </w:p>
        </w:tc>
        <w:tc>
          <w:tcPr>
            <w:vAlign w:val="center"/>
          </w:tcPr>
          <w:p>
            <w:pPr>
              <w:jc w:val="right"/>
            </w:pPr>
            <w:r>
              <w:rPr>
                <w:color w:val="000000"/>
                <w:sz w:val="24"/>
                <w:szCs w:val="24"/>
              </w:rPr>
              <w:t>3.64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5,969,400.00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5,969,400.00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4.88</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60,000</w:t>
            </w:r>
          </w:p>
        </w:tc>
        <w:tc>
          <w:tcPr>
            <w:vAlign w:val="center"/>
          </w:tcPr>
          <w:p>
            <w:pPr>
              <w:jc w:val="right"/>
            </w:pPr>
            <w:r>
              <w:rPr>
                <w:color w:val="000000"/>
                <w:sz w:val="24"/>
                <w:szCs w:val="24"/>
              </w:rPr>
              <w:t>5,969,400.00</w:t>
            </w:r>
          </w:p>
        </w:tc>
        <w:tc>
          <w:tcPr>
            <w:vAlign w:val="center"/>
          </w:tcPr>
          <w:p>
            <w:pPr>
              <w:jc w:val="right"/>
            </w:pPr>
            <w:r>
              <w:rPr>
                <w:color w:val="000000"/>
                <w:sz w:val="24"/>
                <w:szCs w:val="24"/>
              </w:rPr>
              <w:t>4.88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320,764.28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21,579.87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26,368.37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368,712.52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136,591,333.61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4,531,442.41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20,798,287.95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120,324,488.07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