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交银施罗德数据产业灵活配置混合型证券投资基金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2016年8月16日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1,241,110,248.09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-88,925,353.17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-30,763,224.83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934,960,778.84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0.753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-3.71%</w:t>
            </w:r>
          </w:p>
        </w:tc>
        <w:tc>
          <w:tcPr>
            <w:vAlign w:val="center"/>
          </w:tcPr>
          <w:p>
            <w:pPr>
              <w:jc w:val="center"/>
            </w:pPr>
            <w:r>
              <w:rPr>
                <w:color w:val="000000"/>
                <w:sz w:val="24"/>
                <w:szCs w:val="24"/>
              </w:rPr>
              <w:t>1.85%</w:t>
            </w:r>
          </w:p>
        </w:tc>
        <w:tc>
          <w:tcPr>
            <w:vAlign w:val="center"/>
          </w:tcPr>
          <w:p>
            <w:pPr>
              <w:jc w:val="center"/>
            </w:pPr>
            <w:r>
              <w:rPr>
                <w:color w:val="000000"/>
                <w:sz w:val="24"/>
                <w:szCs w:val="24"/>
              </w:rPr>
              <w:t>-0.58%</w:t>
            </w:r>
          </w:p>
        </w:tc>
        <w:tc>
          <w:tcPr>
            <w:vAlign w:val="center"/>
          </w:tcPr>
          <w:p>
            <w:pPr>
              <w:jc w:val="center"/>
            </w:pPr>
            <w:r>
              <w:rPr>
                <w:color w:val="000000"/>
                <w:sz w:val="24"/>
                <w:szCs w:val="24"/>
              </w:rPr>
              <w:t>0.81%</w:t>
            </w:r>
          </w:p>
        </w:tc>
        <w:tc>
          <w:tcPr>
            <w:vAlign w:val="center"/>
          </w:tcPr>
          <w:p>
            <w:pPr>
              <w:jc w:val="center"/>
            </w:pPr>
            <w:r>
              <w:rPr>
                <w:color w:val="000000"/>
                <w:sz w:val="24"/>
                <w:szCs w:val="24"/>
              </w:rPr>
              <w:t>-3.13%</w:t>
            </w:r>
          </w:p>
        </w:tc>
        <w:tc>
          <w:tcPr>
            <w:vAlign w:val="center"/>
          </w:tcPr>
          <w:p>
            <w:pPr>
              <w:jc w:val="center"/>
            </w:pPr>
            <w:r>
              <w:rPr>
                <w:color w:val="000000"/>
                <w:sz w:val="24"/>
                <w:szCs w:val="24"/>
              </w:rPr>
              <w:t>1.04%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交银施罗德数据产业灵活配置混合型证券投资基金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2016年8月16日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2016-08-16</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三季度，中美贸易战恶化进一步压缩了市场的估值，我们看到股票市场上有很多板块和个股的估值已经非常具有吸引力，但是由于市场对未来抱有较为悲观的态度，建仓意愿较低。但我们认为中国市场的容量足够大，也有足够的自我调节能力。</w:t>
      </w:r>
    </w:p>
    <w:p>
      <w:pPr>
        <w:spacing w:before="29" w:line="288" w:lineRule="auto"/>
        <w:ind w:firstLine="480" w:firstLineChars="200"/>
        <w:rPr>
          <w:color w:val="000000"/>
          <w:sz w:val="24"/>
          <w:szCs w:val="24"/>
        </w:rPr>
      </w:pPr>
      <w:r>
        <w:rPr>
          <w:color w:val="000000"/>
          <w:sz w:val="24"/>
          <w:szCs w:val="24"/>
        </w:rPr>
        <w:t>现行的政策都在促使经济长期的良性发展，假以时日或可看到施行效果，比如抑制房地产投资和购买冲动、压缩负债、鼓励发展硬科技等。本组合大部分持仓与贸易战关联较小，主要选择子行业景气、业绩持续增长的个股，大部分集中于科技行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展望四季度，我们仍然看好现已布局的行业的景气度，计划维持持仓。</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879,471,226.69</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93.79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879,471,226.69</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93.79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40,000,600.00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40,000,600.00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8,246,964.15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0.88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9,977,565.82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937,696,356.66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397,567,878.80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25,193,802.40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348,379,138.77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66,688,870.72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41,641,536.00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879,471,226.69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94.07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3,472,268</w:t>
            </w:r>
          </w:p>
        </w:tc>
        <w:tc>
          <w:tcPr>
            <w:vAlign w:val="center"/>
          </w:tcPr>
          <w:p>
            <w:pPr>
              <w:jc w:val="right"/>
            </w:pPr>
            <w:r>
              <w:rPr>
                <w:color w:val="000000"/>
                <w:sz w:val="24"/>
                <w:szCs w:val="24"/>
              </w:rPr>
              <w:t>85,695,574.24</w:t>
            </w:r>
          </w:p>
        </w:tc>
        <w:tc>
          <w:tcPr>
            <w:vAlign w:val="center"/>
          </w:tcPr>
          <w:p>
            <w:pPr>
              <w:jc w:val="right"/>
            </w:pPr>
            <w:r>
              <w:rPr>
                <w:color w:val="000000"/>
                <w:sz w:val="24"/>
                <w:szCs w:val="24"/>
              </w:rPr>
              <w:t>9.17</w:t>
            </w:r>
          </w:p>
        </w:tc>
      </w:tr>
      <w:tr>
        <w:tc>
          <w:tcPr>
            <w:vAlign w:val="center"/>
          </w:tcPr>
          <w:p>
            <w:pPr>
              <w:jc w:val="center"/>
            </w:pPr>
            <w:r>
              <w:rPr>
                <w:color w:val="000000"/>
                <w:sz w:val="24"/>
                <w:szCs w:val="24"/>
              </w:rPr>
              <w:t>2</w:t>
            </w:r>
          </w:p>
        </w:tc>
        <w:tc>
          <w:tcPr>
            <w:vAlign w:val="center"/>
          </w:tcPr>
          <w:p>
            <w:pPr>
              <w:jc w:val="center"/>
            </w:pPr>
            <w:r>
              <w:rPr>
                <w:color w:val="000000"/>
                <w:sz w:val="24"/>
                <w:szCs w:val="24"/>
              </w:rPr>
              <w:t>000977</w:t>
            </w:r>
          </w:p>
        </w:tc>
        <w:tc>
          <w:tcPr>
            <w:vAlign w:val="center"/>
          </w:tcPr>
          <w:p>
            <w:pPr>
              <w:jc w:val="center"/>
            </w:pPr>
            <w:r>
              <w:rPr>
                <w:color w:val="000000"/>
                <w:sz w:val="24"/>
                <w:szCs w:val="24"/>
              </w:rPr>
              <w:t>浪潮信息</w:t>
            </w:r>
          </w:p>
        </w:tc>
        <w:tc>
          <w:tcPr>
            <w:vAlign w:val="center"/>
          </w:tcPr>
          <w:p>
            <w:pPr>
              <w:jc w:val="right"/>
            </w:pPr>
            <w:r>
              <w:rPr>
                <w:color w:val="000000"/>
                <w:sz w:val="24"/>
                <w:szCs w:val="24"/>
              </w:rPr>
              <w:t>3,526,335</w:t>
            </w:r>
          </w:p>
        </w:tc>
        <w:tc>
          <w:tcPr>
            <w:vAlign w:val="center"/>
          </w:tcPr>
          <w:p>
            <w:pPr>
              <w:jc w:val="right"/>
            </w:pPr>
            <w:r>
              <w:rPr>
                <w:color w:val="000000"/>
                <w:sz w:val="24"/>
                <w:szCs w:val="24"/>
              </w:rPr>
              <w:t>84,914,146.80</w:t>
            </w:r>
          </w:p>
        </w:tc>
        <w:tc>
          <w:tcPr>
            <w:vAlign w:val="center"/>
          </w:tcPr>
          <w:p>
            <w:pPr>
              <w:jc w:val="right"/>
            </w:pPr>
            <w:r>
              <w:rPr>
                <w:color w:val="000000"/>
                <w:sz w:val="24"/>
                <w:szCs w:val="24"/>
              </w:rPr>
              <w:t>9.08</w:t>
            </w:r>
          </w:p>
        </w:tc>
      </w:tr>
      <w:tr>
        <w:tc>
          <w:tcPr>
            <w:vAlign w:val="center"/>
          </w:tcPr>
          <w:p>
            <w:pPr>
              <w:jc w:val="center"/>
            </w:pPr>
            <w:r>
              <w:rPr>
                <w:color w:val="000000"/>
                <w:sz w:val="24"/>
                <w:szCs w:val="24"/>
              </w:rPr>
              <w:t>3</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5,809,322</w:t>
            </w:r>
          </w:p>
        </w:tc>
        <w:tc>
          <w:tcPr>
            <w:vAlign w:val="center"/>
          </w:tcPr>
          <w:p>
            <w:pPr>
              <w:jc w:val="right"/>
            </w:pPr>
            <w:r>
              <w:rPr>
                <w:color w:val="000000"/>
                <w:sz w:val="24"/>
                <w:szCs w:val="24"/>
              </w:rPr>
              <w:t>83,770,423.24</w:t>
            </w:r>
          </w:p>
        </w:tc>
        <w:tc>
          <w:tcPr>
            <w:vAlign w:val="center"/>
          </w:tcPr>
          <w:p>
            <w:pPr>
              <w:jc w:val="right"/>
            </w:pPr>
            <w:r>
              <w:rPr>
                <w:color w:val="000000"/>
                <w:sz w:val="24"/>
                <w:szCs w:val="24"/>
              </w:rPr>
              <w:t>8.96</w:t>
            </w:r>
          </w:p>
        </w:tc>
      </w:tr>
      <w:tr>
        <w:tc>
          <w:tcPr>
            <w:vAlign w:val="center"/>
          </w:tcPr>
          <w:p>
            <w:pPr>
              <w:jc w:val="center"/>
            </w:pPr>
            <w:r>
              <w:rPr>
                <w:color w:val="000000"/>
                <w:sz w:val="24"/>
                <w:szCs w:val="24"/>
              </w:rPr>
              <w:t>4</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1,385,501</w:t>
            </w:r>
          </w:p>
        </w:tc>
        <w:tc>
          <w:tcPr>
            <w:vAlign w:val="center"/>
          </w:tcPr>
          <w:p>
            <w:pPr>
              <w:jc w:val="right"/>
            </w:pPr>
            <w:r>
              <w:rPr>
                <w:color w:val="000000"/>
                <w:sz w:val="24"/>
                <w:szCs w:val="24"/>
              </w:rPr>
              <w:t>61,197,579.17</w:t>
            </w:r>
          </w:p>
        </w:tc>
        <w:tc>
          <w:tcPr>
            <w:vAlign w:val="center"/>
          </w:tcPr>
          <w:p>
            <w:pPr>
              <w:jc w:val="right"/>
            </w:pPr>
            <w:r>
              <w:rPr>
                <w:color w:val="000000"/>
                <w:sz w:val="24"/>
                <w:szCs w:val="24"/>
              </w:rPr>
              <w:t>6.55</w:t>
            </w:r>
          </w:p>
        </w:tc>
      </w:tr>
      <w:tr>
        <w:tc>
          <w:tcPr>
            <w:vAlign w:val="center"/>
          </w:tcPr>
          <w:p>
            <w:pPr>
              <w:jc w:val="center"/>
            </w:pPr>
            <w:r>
              <w:rPr>
                <w:color w:val="000000"/>
                <w:sz w:val="24"/>
                <w:szCs w:val="24"/>
              </w:rPr>
              <w:t>5</w:t>
            </w:r>
          </w:p>
        </w:tc>
        <w:tc>
          <w:tcPr>
            <w:vAlign w:val="center"/>
          </w:tcPr>
          <w:p>
            <w:pPr>
              <w:jc w:val="center"/>
            </w:pPr>
            <w:r>
              <w:rPr>
                <w:color w:val="000000"/>
                <w:sz w:val="24"/>
                <w:szCs w:val="24"/>
              </w:rPr>
              <w:t>002599</w:t>
            </w:r>
          </w:p>
        </w:tc>
        <w:tc>
          <w:tcPr>
            <w:vAlign w:val="center"/>
          </w:tcPr>
          <w:p>
            <w:pPr>
              <w:jc w:val="center"/>
            </w:pPr>
            <w:r>
              <w:rPr>
                <w:color w:val="000000"/>
                <w:sz w:val="24"/>
                <w:szCs w:val="24"/>
              </w:rPr>
              <w:t>盛通股份</w:t>
            </w:r>
          </w:p>
        </w:tc>
        <w:tc>
          <w:tcPr>
            <w:vAlign w:val="center"/>
          </w:tcPr>
          <w:p>
            <w:pPr>
              <w:jc w:val="right"/>
            </w:pPr>
            <w:r>
              <w:rPr>
                <w:color w:val="000000"/>
                <w:sz w:val="24"/>
                <w:szCs w:val="24"/>
              </w:rPr>
              <w:t>6,053,202</w:t>
            </w:r>
          </w:p>
        </w:tc>
        <w:tc>
          <w:tcPr>
            <w:vAlign w:val="center"/>
          </w:tcPr>
          <w:p>
            <w:pPr>
              <w:jc w:val="right"/>
            </w:pPr>
            <w:r>
              <w:rPr>
                <w:color w:val="000000"/>
                <w:sz w:val="24"/>
                <w:szCs w:val="24"/>
              </w:rPr>
              <w:t>60,047,763.84</w:t>
            </w:r>
          </w:p>
        </w:tc>
        <w:tc>
          <w:tcPr>
            <w:vAlign w:val="center"/>
          </w:tcPr>
          <w:p>
            <w:pPr>
              <w:jc w:val="right"/>
            </w:pPr>
            <w:r>
              <w:rPr>
                <w:color w:val="000000"/>
                <w:sz w:val="24"/>
                <w:szCs w:val="24"/>
              </w:rPr>
              <w:t>6.42</w:t>
            </w:r>
          </w:p>
        </w:tc>
      </w:tr>
      <w:tr>
        <w:tc>
          <w:tcPr>
            <w:vAlign w:val="center"/>
          </w:tcPr>
          <w:p>
            <w:pPr>
              <w:jc w:val="center"/>
            </w:pPr>
            <w:r>
              <w:rPr>
                <w:color w:val="000000"/>
                <w:sz w:val="24"/>
                <w:szCs w:val="24"/>
              </w:rPr>
              <w:t>6</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1,208,425</w:t>
            </w:r>
          </w:p>
        </w:tc>
        <w:tc>
          <w:tcPr>
            <w:vAlign w:val="center"/>
          </w:tcPr>
          <w:p>
            <w:pPr>
              <w:jc w:val="right"/>
            </w:pPr>
            <w:r>
              <w:rPr>
                <w:color w:val="000000"/>
                <w:sz w:val="24"/>
                <w:szCs w:val="24"/>
              </w:rPr>
              <w:t>56,868,480.50</w:t>
            </w:r>
          </w:p>
        </w:tc>
        <w:tc>
          <w:tcPr>
            <w:vAlign w:val="center"/>
          </w:tcPr>
          <w:p>
            <w:pPr>
              <w:jc w:val="right"/>
            </w:pPr>
            <w:r>
              <w:rPr>
                <w:color w:val="000000"/>
                <w:sz w:val="24"/>
                <w:szCs w:val="24"/>
              </w:rPr>
              <w:t>6.08</w:t>
            </w:r>
          </w:p>
        </w:tc>
      </w:tr>
      <w:tr>
        <w:tc>
          <w:tcPr>
            <w:vAlign w:val="center"/>
          </w:tcPr>
          <w:p>
            <w:pPr>
              <w:jc w:val="center"/>
            </w:pPr>
            <w:r>
              <w:rPr>
                <w:color w:val="000000"/>
                <w:sz w:val="24"/>
                <w:szCs w:val="24"/>
              </w:rPr>
              <w:t>7</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7,130,400</w:t>
            </w:r>
          </w:p>
        </w:tc>
        <w:tc>
          <w:tcPr>
            <w:vAlign w:val="center"/>
          </w:tcPr>
          <w:p>
            <w:pPr>
              <w:jc w:val="right"/>
            </w:pPr>
            <w:r>
              <w:rPr>
                <w:color w:val="000000"/>
                <w:sz w:val="24"/>
                <w:szCs w:val="24"/>
              </w:rPr>
              <w:t>41,641,536.00</w:t>
            </w:r>
          </w:p>
        </w:tc>
        <w:tc>
          <w:tcPr>
            <w:vAlign w:val="center"/>
          </w:tcPr>
          <w:p>
            <w:pPr>
              <w:jc w:val="right"/>
            </w:pPr>
            <w:r>
              <w:rPr>
                <w:color w:val="000000"/>
                <w:sz w:val="24"/>
                <w:szCs w:val="24"/>
              </w:rPr>
              <w:t>4.45</w:t>
            </w:r>
          </w:p>
        </w:tc>
      </w:tr>
      <w:tr>
        <w:tc>
          <w:tcPr>
            <w:vAlign w:val="center"/>
          </w:tcPr>
          <w:p>
            <w:pPr>
              <w:jc w:val="center"/>
            </w:pPr>
            <w:r>
              <w:rPr>
                <w:color w:val="000000"/>
                <w:sz w:val="24"/>
                <w:szCs w:val="24"/>
              </w:rPr>
              <w:t>8</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3,142,145</w:t>
            </w:r>
          </w:p>
        </w:tc>
        <w:tc>
          <w:tcPr>
            <w:vAlign w:val="center"/>
          </w:tcPr>
          <w:p>
            <w:pPr>
              <w:jc w:val="right"/>
            </w:pPr>
            <w:r>
              <w:rPr>
                <w:color w:val="000000"/>
                <w:sz w:val="24"/>
                <w:szCs w:val="24"/>
              </w:rPr>
              <w:t>38,239,904.65</w:t>
            </w:r>
          </w:p>
        </w:tc>
        <w:tc>
          <w:tcPr>
            <w:vAlign w:val="center"/>
          </w:tcPr>
          <w:p>
            <w:pPr>
              <w:jc w:val="right"/>
            </w:pPr>
            <w:r>
              <w:rPr>
                <w:color w:val="000000"/>
                <w:sz w:val="24"/>
                <w:szCs w:val="24"/>
              </w:rPr>
              <w:t>4.09</w:t>
            </w:r>
          </w:p>
        </w:tc>
      </w:tr>
      <w:tr>
        <w:tc>
          <w:tcPr>
            <w:vAlign w:val="center"/>
          </w:tcPr>
          <w:p>
            <w:pPr>
              <w:jc w:val="center"/>
            </w:pPr>
            <w:r>
              <w:rPr>
                <w:color w:val="000000"/>
                <w:sz w:val="24"/>
                <w:szCs w:val="24"/>
              </w:rPr>
              <w:t>9</w:t>
            </w:r>
          </w:p>
        </w:tc>
        <w:tc>
          <w:tcPr>
            <w:vAlign w:val="center"/>
          </w:tcPr>
          <w:p>
            <w:pPr>
              <w:jc w:val="center"/>
            </w:pPr>
            <w:r>
              <w:rPr>
                <w:color w:val="000000"/>
                <w:sz w:val="24"/>
                <w:szCs w:val="24"/>
              </w:rPr>
              <w:t>300212</w:t>
            </w:r>
          </w:p>
        </w:tc>
        <w:tc>
          <w:tcPr>
            <w:vAlign w:val="center"/>
          </w:tcPr>
          <w:p>
            <w:pPr>
              <w:jc w:val="center"/>
            </w:pPr>
            <w:r>
              <w:rPr>
                <w:color w:val="000000"/>
                <w:sz w:val="24"/>
                <w:szCs w:val="24"/>
              </w:rPr>
              <w:t>易华录</w:t>
            </w:r>
          </w:p>
        </w:tc>
        <w:tc>
          <w:tcPr>
            <w:vAlign w:val="center"/>
          </w:tcPr>
          <w:p>
            <w:pPr>
              <w:jc w:val="right"/>
            </w:pPr>
            <w:r>
              <w:rPr>
                <w:color w:val="000000"/>
                <w:sz w:val="24"/>
                <w:szCs w:val="24"/>
              </w:rPr>
              <w:t>1,534,500</w:t>
            </w:r>
          </w:p>
        </w:tc>
        <w:tc>
          <w:tcPr>
            <w:vAlign w:val="center"/>
          </w:tcPr>
          <w:p>
            <w:pPr>
              <w:jc w:val="right"/>
            </w:pPr>
            <w:r>
              <w:rPr>
                <w:color w:val="000000"/>
                <w:sz w:val="24"/>
                <w:szCs w:val="24"/>
              </w:rPr>
              <w:t>35,907,300.00</w:t>
            </w:r>
          </w:p>
        </w:tc>
        <w:tc>
          <w:tcPr>
            <w:vAlign w:val="center"/>
          </w:tcPr>
          <w:p>
            <w:pPr>
              <w:jc w:val="right"/>
            </w:pPr>
            <w:r>
              <w:rPr>
                <w:color w:val="000000"/>
                <w:sz w:val="24"/>
                <w:szCs w:val="24"/>
              </w:rPr>
              <w:t>3.84</w:t>
            </w:r>
          </w:p>
        </w:tc>
      </w:tr>
      <w:tr>
        <w:tc>
          <w:tcPr>
            <w:vAlign w:val="center"/>
          </w:tcPr>
          <w:p>
            <w:pPr>
              <w:jc w:val="center"/>
            </w:pPr>
            <w:r>
              <w:rPr>
                <w:color w:val="000000"/>
                <w:sz w:val="24"/>
                <w:szCs w:val="24"/>
              </w:rPr>
              <w:t>10</w:t>
            </w:r>
          </w:p>
        </w:tc>
        <w:tc>
          <w:tcPr>
            <w:vAlign w:val="center"/>
          </w:tcPr>
          <w:p>
            <w:pPr>
              <w:jc w:val="center"/>
            </w:pPr>
            <w:r>
              <w:rPr>
                <w:color w:val="000000"/>
                <w:sz w:val="24"/>
                <w:szCs w:val="24"/>
              </w:rPr>
              <w:t>002180</w:t>
            </w:r>
          </w:p>
        </w:tc>
        <w:tc>
          <w:tcPr>
            <w:vAlign w:val="center"/>
          </w:tcPr>
          <w:p>
            <w:pPr>
              <w:jc w:val="center"/>
            </w:pPr>
            <w:r>
              <w:rPr>
                <w:color w:val="000000"/>
                <w:sz w:val="24"/>
                <w:szCs w:val="24"/>
              </w:rPr>
              <w:t>纳思达</w:t>
            </w:r>
          </w:p>
        </w:tc>
        <w:tc>
          <w:tcPr>
            <w:vAlign w:val="center"/>
          </w:tcPr>
          <w:p>
            <w:pPr>
              <w:jc w:val="right"/>
            </w:pPr>
            <w:r>
              <w:rPr>
                <w:color w:val="000000"/>
                <w:sz w:val="24"/>
                <w:szCs w:val="24"/>
              </w:rPr>
              <w:t>1,148,590</w:t>
            </w:r>
          </w:p>
        </w:tc>
        <w:tc>
          <w:tcPr>
            <w:vAlign w:val="center"/>
          </w:tcPr>
          <w:p>
            <w:pPr>
              <w:jc w:val="right"/>
            </w:pPr>
            <w:r>
              <w:rPr>
                <w:color w:val="000000"/>
                <w:sz w:val="24"/>
                <w:szCs w:val="24"/>
              </w:rPr>
              <w:t>29,679,565.60</w:t>
            </w:r>
          </w:p>
        </w:tc>
        <w:tc>
          <w:tcPr>
            <w:vAlign w:val="center"/>
          </w:tcPr>
          <w:p>
            <w:pPr>
              <w:jc w:val="right"/>
            </w:pPr>
            <w:r>
              <w:rPr>
                <w:color w:val="000000"/>
                <w:sz w:val="24"/>
                <w:szCs w:val="24"/>
              </w:rPr>
              <w:t>3.17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21,887,800.00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2.34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18,112,800.00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18,112,800.00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40,000,600.00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220,000</w:t>
            </w:r>
          </w:p>
        </w:tc>
        <w:tc>
          <w:tcPr>
            <w:vAlign w:val="center"/>
          </w:tcPr>
          <w:p>
            <w:pPr>
              <w:jc w:val="right"/>
            </w:pPr>
            <w:r>
              <w:rPr>
                <w:color w:val="000000"/>
                <w:sz w:val="24"/>
                <w:szCs w:val="24"/>
              </w:rPr>
              <w:t>21,887,800.00</w:t>
            </w:r>
          </w:p>
        </w:tc>
        <w:tc>
          <w:tcPr>
            <w:vAlign w:val="center"/>
          </w:tcPr>
          <w:p>
            <w:pPr>
              <w:jc w:val="right"/>
            </w:pPr>
            <w:r>
              <w:rPr>
                <w:color w:val="000000"/>
                <w:sz w:val="24"/>
                <w:szCs w:val="24"/>
              </w:rPr>
              <w:t>2.34</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160,000</w:t>
            </w:r>
          </w:p>
        </w:tc>
        <w:tc>
          <w:tcPr>
            <w:vAlign w:val="center"/>
          </w:tcPr>
          <w:p>
            <w:pPr>
              <w:jc w:val="right"/>
            </w:pPr>
            <w:r>
              <w:rPr>
                <w:color w:val="000000"/>
                <w:sz w:val="24"/>
                <w:szCs w:val="24"/>
              </w:rPr>
              <w:t>16,096,000.00</w:t>
            </w:r>
          </w:p>
        </w:tc>
        <w:tc>
          <w:tcPr>
            <w:vAlign w:val="center"/>
          </w:tcPr>
          <w:p>
            <w:pPr>
              <w:jc w:val="right"/>
            </w:pPr>
            <w:r>
              <w:rPr>
                <w:color w:val="000000"/>
                <w:sz w:val="24"/>
                <w:szCs w:val="24"/>
              </w:rPr>
              <w:t>1.72</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018002</w:t>
            </w:r>
          </w:p>
        </w:tc>
        <w:tc>
          <w:tcPr>
            <w:vAlign w:val="center"/>
          </w:tcPr>
          <w:p>
            <w:pPr>
              <w:jc w:val="center"/>
            </w:pPr>
            <w:r>
              <w:rPr>
                <w:color w:val="000000"/>
                <w:sz w:val="24"/>
                <w:szCs w:val="24"/>
              </w:rPr>
              <w:t>国开1302</w:t>
            </w:r>
          </w:p>
        </w:tc>
        <w:tc>
          <w:tcPr>
            <w:vAlign w:val="center"/>
          </w:tcPr>
          <w:p>
            <w:pPr>
              <w:jc w:val="right"/>
            </w:pPr>
            <w:r>
              <w:rPr>
                <w:color w:val="000000"/>
                <w:sz w:val="24"/>
                <w:szCs w:val="24"/>
              </w:rPr>
              <w:t>20,000</w:t>
            </w:r>
          </w:p>
        </w:tc>
        <w:tc>
          <w:tcPr>
            <w:vAlign w:val="center"/>
          </w:tcPr>
          <w:p>
            <w:pPr>
              <w:jc w:val="right"/>
            </w:pPr>
            <w:r>
              <w:rPr>
                <w:color w:val="000000"/>
                <w:sz w:val="24"/>
                <w:szCs w:val="24"/>
              </w:rPr>
              <w:t>2,016,800.00</w:t>
            </w:r>
          </w:p>
        </w:tc>
        <w:tc>
          <w:tcPr>
            <w:vAlign w:val="center"/>
          </w:tcPr>
          <w:p>
            <w:pPr>
              <w:jc w:val="right"/>
            </w:pPr>
            <w:r>
              <w:rPr>
                <w:color w:val="000000"/>
                <w:sz w:val="24"/>
                <w:szCs w:val="24"/>
              </w:rPr>
              <w:t>0.22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141,015.00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9,326,151.77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445,530.06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64,868.99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9,977,565.82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986,084,960.13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293,048,980.32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38,023,692.36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1,241,110,248.09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2018/7/1-2018/9/30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261,213,382.15</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261,213,382.15</w:t>
            </w:r>
          </w:p>
        </w:tc>
        <w:tc>
          <w:tcPr>
            <w:vAlign w:val="center"/>
          </w:tcPr>
          <w:p>
            <w:pPr>
              <w:jc w:val="center"/>
            </w:pPr>
            <w:r>
              <w:rPr>
                <w:rFonts w:ascii="宋体" w:hAnsi="宋体"/>
                <w:color w:val="000000"/>
                <w:kern w:val="0"/>
              </w:rPr>
              <w:t>21.05%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1、中国证监会准予交银施罗德数据产业灵活配置混合型证券投资基金募集注册的文件；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2、《交银施罗德数据产业灵活配置混合型证券投资基金基金合同》；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3、《交银施罗德数据产业灵活配置混合型证券投资基金招募说明书》；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4、《交银施罗德数据产业灵活配置混合型证券投资基金托管协议》；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5、关于申请募集注册交银施罗德数据产业灵活配置混合型证券投资基金的法律意见书；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8、报告期内交银施罗德数据产业灵活配置混合型证券投资基金在指定报刊上各项公告的原稿。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交银施罗德数据产业灵活配置混合型证券投资基金2018年第3季度报告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