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交银施罗德优择回报灵活配置混合型证券投资基金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2018年第3季度报告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2018年9月30日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P="000A2988" w:rsidR="009238DB" w:rsidRDefault="009238DB" w:rsidRPr="007F52FA">
      <w:pPr>
        <w:pStyle w:val="1"/>
        <w:spacing w:afterLines="100"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基金托管人中信银行股份有限公司根据本基金合同规定，于2018年10月25日复核了本报告中的财务指标、净值表现和投资组合报告等内容，保证复核内容不存在虚假记载、误导性陈述或者重大遗漏。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本报告期自2018年7月1日起至9月30日止。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交银优择回报灵活配置混合</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519770</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2016年4月22日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693,710,301.09</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本基金在控制风险并保持基金资产良好的流动性的前提下，通过灵活的资产配置策略和积极主动的投资管理，力争为投资者提供长期稳健的投资回报。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50%×沪深300指数收益率+50%×中债综合全价指数收益率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交银优择回报灵活配置混合A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交银优择回报灵活配置混合C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519770</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519771</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693,686,100.75</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24,200.34</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(2018年7月1日-2018年9月30日)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交银优择回报灵活配置混合A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交银优择回报灵活配置混合C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4,217,448.81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444.29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10,567,016.28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606.35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0.0152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0.0168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730,431,733.87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25,770.06</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1.053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1.065</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注：1、上述基金A类业绩指标不包括持有人认购或交易基金的各项费用，计入费用后的实际收益水平要低于所列数字；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交银优择回报灵活配置混合A</w:t>
      </w:r>
      <w:r w:rsidRPr="007F52FA">
        <w:rPr>
          <w:b/>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1.45%</w:t>
            </w:r>
          </w:p>
        </w:tc>
        <w:tc>
          <w:tcPr>
            <w:vAlign w:val="center"/>
          </w:tcPr>
          <w:p>
            <w:pPr>
              <w:jc w:val="center"/>
            </w:pPr>
            <w:r>
              <w:rPr>
                <w:color w:val="000000"/>
                <w:sz w:val="24"/>
              </w:rPr>
              <w:t>0.12%</w:t>
            </w:r>
          </w:p>
        </w:tc>
        <w:tc>
          <w:tcPr>
            <w:vAlign w:val="center"/>
          </w:tcPr>
          <w:p>
            <w:pPr>
              <w:jc w:val="center"/>
            </w:pPr>
            <w:r>
              <w:rPr>
                <w:color w:val="000000"/>
                <w:sz w:val="24"/>
              </w:rPr>
              <w:t>-0.60%</w:t>
            </w:r>
          </w:p>
        </w:tc>
        <w:tc>
          <w:tcPr>
            <w:vAlign w:val="center"/>
          </w:tcPr>
          <w:p>
            <w:pPr>
              <w:jc w:val="center"/>
            </w:pPr>
            <w:r>
              <w:rPr>
                <w:color w:val="000000"/>
                <w:sz w:val="24"/>
              </w:rPr>
              <w:t>0.67%</w:t>
            </w:r>
          </w:p>
        </w:tc>
        <w:tc>
          <w:tcPr>
            <w:vAlign w:val="center"/>
          </w:tcPr>
          <w:p>
            <w:pPr>
              <w:jc w:val="center"/>
            </w:pPr>
            <w:r>
              <w:rPr>
                <w:color w:val="000000"/>
                <w:sz w:val="24"/>
              </w:rPr>
              <w:t>2.05%</w:t>
            </w:r>
          </w:p>
        </w:tc>
        <w:tc>
          <w:tcPr>
            <w:vAlign w:val="center"/>
          </w:tcPr>
          <w:p>
            <w:pPr>
              <w:jc w:val="center"/>
            </w:pPr>
            <w:r>
              <w:rPr>
                <w:color w:val="000000"/>
                <w:sz w:val="24"/>
              </w:rPr>
              <w:t>-0.55%</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交银优择回报灵活配置混合C</w:t>
      </w:r>
      <w:r w:rsidRPr="007F52FA">
        <w:rPr>
          <w:b/>
          <w:color w:val="000000"/>
          <w:kern w:val="0"/>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3.10%</w:t>
            </w:r>
          </w:p>
        </w:tc>
        <w:tc>
          <w:tcPr>
            <w:vAlign w:val="center"/>
          </w:tcPr>
          <w:p>
            <w:pPr>
              <w:jc w:val="center"/>
            </w:pPr>
            <w:r>
              <w:rPr>
                <w:color w:val="000000"/>
                <w:sz w:val="24"/>
              </w:rPr>
              <w:t>0.24%</w:t>
            </w:r>
          </w:p>
        </w:tc>
        <w:tc>
          <w:tcPr>
            <w:vAlign w:val="center"/>
          </w:tcPr>
          <w:p>
            <w:pPr>
              <w:jc w:val="center"/>
            </w:pPr>
            <w:r>
              <w:rPr>
                <w:color w:val="000000"/>
                <w:sz w:val="24"/>
              </w:rPr>
              <w:t>-0.60%</w:t>
            </w:r>
          </w:p>
        </w:tc>
        <w:tc>
          <w:tcPr>
            <w:vAlign w:val="center"/>
          </w:tcPr>
          <w:p>
            <w:pPr>
              <w:jc w:val="center"/>
            </w:pPr>
            <w:r>
              <w:rPr>
                <w:color w:val="000000"/>
                <w:sz w:val="24"/>
              </w:rPr>
              <w:t>0.67%</w:t>
            </w:r>
          </w:p>
        </w:tc>
        <w:tc>
          <w:tcPr>
            <w:vAlign w:val="center"/>
          </w:tcPr>
          <w:p>
            <w:pPr>
              <w:jc w:val="center"/>
            </w:pPr>
            <w:r>
              <w:rPr>
                <w:color w:val="000000"/>
                <w:sz w:val="24"/>
              </w:rPr>
              <w:t>3.70%</w:t>
            </w:r>
          </w:p>
        </w:tc>
        <w:tc>
          <w:tcPr>
            <w:vAlign w:val="center"/>
          </w:tcPr>
          <w:p>
            <w:pPr>
              <w:jc w:val="center"/>
            </w:pPr>
            <w:r>
              <w:rPr>
                <w:color w:val="000000"/>
                <w:sz w:val="24"/>
              </w:rPr>
              <w:t>-0.43%</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交银施罗德优择回报灵活配置混合型证券投资基金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2016年4月22日</w:t>
      </w:r>
      <w:r w:rsidR="009A045B" w:rsidRPr="007F52FA">
        <w:rPr>
          <w:rFonts w:ascii="Times New Roman" w:hAnsi="Times New Roman"/>
          <w:sz w:val="24"/>
          <w:szCs w:val="24"/>
        </w:rPr>
        <w:t>至</w:t>
      </w:r>
      <w:r w:rsidRPr="007F52FA">
        <w:rPr>
          <w:rFonts w:ascii="Times New Roman" w:hAnsi="Times New Roman"/>
          <w:sz w:val="24"/>
          <w:szCs w:val="24"/>
        </w:rPr>
        <w:t>2018年9月30日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交银优择回报灵活配置混合A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交银优择回报灵活配置混合C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裕祥纯债债券的基金经理</w:t>
            </w:r>
          </w:p>
        </w:tc>
        <w:tc>
          <w:tcPr>
            <w:vAlign w:val="center"/>
          </w:tcPr>
          <w:p>
            <w:pPr>
              <w:jc w:val="center"/>
            </w:pPr>
            <w:r>
              <w:rPr>
                <w:color w:val="000000"/>
                <w:sz w:val="24"/>
              </w:rPr>
              <w:t>2016-04-22</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国内经济增速呈现稳中放缓态势，通胀预期有所上行，从而压制了固定收益类资产的进一步表现。同时，中美贸易摩擦影响进一步深化，全球风险偏好回落，权益类资产继续回调。国内制造业增速稳中放缓，房地产投资在政策悲观的预期氛围内继续保持增长韧性，但基建投资增速下滑，整体固定资产投资呈现下行。通胀方面，受天气灾害和猪瘟疫情等影响，食品价格攀升，CPI也再次回到2%以上,同时国际原油价格突破新高，叠加人民币贬值预期，输入性通胀预期不断增强，市场陷入“滞涨”的担忧之中。货币政策方面，央行在美联储加息和贸易摩擦的背景下坚持稳健中性的货币政策，同期债券收益率先下后上，呈现宽幅震荡，其中经济增长预期放缓、通胀预期抬升、中美贸易摩擦导致的风险偏好变化、宽信用政策传导效果等因素成为债券市场收益率变动的主要原因。报告期内，上证综指和创业板指分别下行0.92%和12.16%，10年期国债收益率上行13BP至3.61%，10年期国开债收益率小幅下行5BP至4.20%。</w:t>
      </w:r>
    </w:p>
    <w:p>
      <w:pPr>
        <w:spacing w:before="29" w:line="288" w:lineRule="auto"/>
        <w:ind w:firstLine="480" w:firstLineChars="200"/>
        <w:rPr>
          <w:color w:val="000000"/>
          <w:sz w:val="24"/>
        </w:rPr>
      </w:pPr>
      <w:r>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P="007C14DF" w:rsidR="00952A72" w:rsidRDefault="00323F25" w:rsidRPr="007F52FA">
      <w:pPr>
        <w:spacing w:before="29" w:line="288" w:lineRule="auto"/>
        <w:ind w:firstLine="480" w:firstLineChars="200"/>
        <w:rPr>
          <w:color w:val="000000"/>
          <w:sz w:val="24"/>
        </w:rPr>
      </w:pPr>
      <w:r w:rsidRPr="007F52FA">
        <w:rPr>
          <w:color w:val="000000"/>
          <w:sz w:val="24"/>
        </w:rPr>
        <w:t>展望2018年四季度，“滞涨”格局在三季度末的显现需要保持观察，在货币政策结构性宽松的变化下，长端债券虽然获得了基本面和政策面的支持，但行情的纵深仍需继续重点观察宽信用政策进一步发力的路径、中美基本面背离下的政策相机抉择、国际油价等因素对于通胀预期的进一步影响。此外，我们还将密切关注低评级信用债违约风险的演化及相对应信用利差的变化。股票方面，力争继续保持稳健、审慎投资，积极关注一级市场动态。债券方面，在保持组合流动性的前提下关注交易窗口，把握适度久期，同时特别关注信用风险。</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 主要财务指标” 及“3.2.1本报告期基金份额净值增长率及其与同期业绩比较基准收益率的比较”部分披露。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Lines="100"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rsidRPr="0028293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tbl>
      <w:tblPr>
        <w:tblStyle w:val="af2"/>
        <w:tblW w:type="dxa" w:w="8897"/>
        <w:tblInd w:type="dxa" w:w="108"/>
        <w:tblLayout w:type="fixed"/>
        <w:tblLook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r w:rsidRPr="0028293E">
              <w:rPr>
                <w:rFonts w:eastAsiaTheme="minorEastAsia"/>
                <w:color w:themeColor="text1" w:val="000000"/>
                <w:sz w:val="24"/>
              </w:rPr>
              <w:t>(</w:t>
            </w:r>
            <w:r w:rsidRPr="0028293E">
              <w:rPr>
                <w:rFonts w:eastAsiaTheme="minorEastAsia"/>
                <w:color w:themeColor="text1" w:val="000000"/>
                <w:sz w:val="24"/>
              </w:rPr>
              <w:t>元</w:t>
            </w: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60,843,127.20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7.49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60,843,127.20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7.49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733,242,000.00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90.30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733,242,000.00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90.30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2,200,000.00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0.27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4,133,884.11</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0.51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11,619,604.67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1.43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812,038,615.98</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lastRenderedPageBreak/>
        <w:t xml:space="preserve">5.2 </w:t>
      </w:r>
      <w:r w:rsidRPr="007F52FA">
        <w:rPr>
          <w:rFonts w:eastAsiaTheme="minorEastAsia"/>
          <w:b/>
          <w:color w:val="000000"/>
          <w:kern w:val="0"/>
          <w:sz w:val="24"/>
        </w:rPr>
        <w:t>报告期末按行业分类的股票投资组合</w:t>
      </w:r>
    </w:p>
    <w:p w:rsidP="001A5D39" w:rsidR="001A5D39" w:rsidRDefault="001A5D39" w:rsidRPr="001A5D39">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公允价值（元）</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31,106,127.20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4.26</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1,703,000.00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0.23</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2,050,000.00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0.28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lastRenderedPageBreak/>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25,984,000.00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3.56</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60,843,127.20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8.33</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601939</w:t>
            </w:r>
          </w:p>
        </w:tc>
        <w:tc>
          <w:tcPr>
            <w:vAlign w:val="center"/>
          </w:tcPr>
          <w:p>
            <w:pPr>
              <w:jc w:val="center"/>
            </w:pPr>
            <w:r>
              <w:rPr>
                <w:color w:val="000000"/>
                <w:sz w:val="24"/>
              </w:rPr>
              <w:t>建设银行</w:t>
            </w:r>
          </w:p>
        </w:tc>
        <w:tc>
          <w:tcPr>
            <w:vAlign w:val="center"/>
          </w:tcPr>
          <w:p>
            <w:pPr>
              <w:jc w:val="right"/>
            </w:pPr>
            <w:r>
              <w:rPr>
                <w:color w:val="000000"/>
                <w:sz w:val="24"/>
              </w:rPr>
              <w:t>1,300,000</w:t>
            </w:r>
          </w:p>
        </w:tc>
        <w:tc>
          <w:tcPr>
            <w:vAlign w:val="center"/>
          </w:tcPr>
          <w:p>
            <w:pPr>
              <w:jc w:val="right"/>
            </w:pPr>
            <w:r>
              <w:rPr>
                <w:color w:val="000000"/>
                <w:sz w:val="24"/>
              </w:rPr>
              <w:t>9,412,000.00</w:t>
            </w:r>
          </w:p>
        </w:tc>
        <w:tc>
          <w:tcPr>
            <w:vAlign w:val="center"/>
          </w:tcPr>
          <w:p>
            <w:pPr>
              <w:jc w:val="right"/>
            </w:pPr>
            <w:r>
              <w:rPr>
                <w:color w:val="000000"/>
                <w:sz w:val="24"/>
              </w:rPr>
              <w:t>1.29</w:t>
            </w:r>
          </w:p>
        </w:tc>
      </w:tr>
      <w:tr>
        <w:tc>
          <w:tcPr>
            <w:vAlign w:val="center"/>
          </w:tcPr>
          <w:p>
            <w:pPr>
              <w:jc w:val="center"/>
            </w:pPr>
            <w:r>
              <w:rPr>
                <w:color w:val="000000"/>
                <w:sz w:val="24"/>
              </w:rPr>
              <w:t>2</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1,600,000</w:t>
            </w:r>
          </w:p>
        </w:tc>
        <w:tc>
          <w:tcPr>
            <w:vAlign w:val="center"/>
          </w:tcPr>
          <w:p>
            <w:pPr>
              <w:jc w:val="right"/>
            </w:pPr>
            <w:r>
              <w:rPr>
                <w:color w:val="000000"/>
                <w:sz w:val="24"/>
              </w:rPr>
              <w:t>9,232,000.00</w:t>
            </w:r>
          </w:p>
        </w:tc>
        <w:tc>
          <w:tcPr>
            <w:vAlign w:val="center"/>
          </w:tcPr>
          <w:p>
            <w:pPr>
              <w:jc w:val="right"/>
            </w:pPr>
            <w:r>
              <w:rPr>
                <w:color w:val="000000"/>
                <w:sz w:val="24"/>
              </w:rPr>
              <w:t>1.26</w:t>
            </w:r>
          </w:p>
        </w:tc>
      </w:tr>
      <w:tr>
        <w:tc>
          <w:tcPr>
            <w:vAlign w:val="center"/>
          </w:tcPr>
          <w:p>
            <w:pPr>
              <w:jc w:val="center"/>
            </w:pPr>
            <w:r>
              <w:rPr>
                <w:color w:val="000000"/>
                <w:sz w:val="24"/>
              </w:rPr>
              <w:t>3</w:t>
            </w:r>
          </w:p>
        </w:tc>
        <w:tc>
          <w:tcPr>
            <w:vAlign w:val="center"/>
          </w:tcPr>
          <w:p>
            <w:pPr>
              <w:jc w:val="center"/>
            </w:pPr>
            <w:r>
              <w:rPr>
                <w:color w:val="000000"/>
                <w:sz w:val="24"/>
              </w:rPr>
              <w:t>600276</w:t>
            </w:r>
          </w:p>
        </w:tc>
        <w:tc>
          <w:tcPr>
            <w:vAlign w:val="center"/>
          </w:tcPr>
          <w:p>
            <w:pPr>
              <w:jc w:val="center"/>
            </w:pPr>
            <w:r>
              <w:rPr>
                <w:color w:val="000000"/>
                <w:sz w:val="24"/>
              </w:rPr>
              <w:t>恒瑞医药</w:t>
            </w:r>
          </w:p>
        </w:tc>
        <w:tc>
          <w:tcPr>
            <w:vAlign w:val="center"/>
          </w:tcPr>
          <w:p>
            <w:pPr>
              <w:jc w:val="right"/>
            </w:pPr>
            <w:r>
              <w:rPr>
                <w:color w:val="000000"/>
                <w:sz w:val="24"/>
              </w:rPr>
              <w:t>104,000</w:t>
            </w:r>
          </w:p>
        </w:tc>
        <w:tc>
          <w:tcPr>
            <w:vAlign w:val="center"/>
          </w:tcPr>
          <w:p>
            <w:pPr>
              <w:jc w:val="right"/>
            </w:pPr>
            <w:r>
              <w:rPr>
                <w:color w:val="000000"/>
                <w:sz w:val="24"/>
              </w:rPr>
              <w:t>6,604,000.00</w:t>
            </w:r>
          </w:p>
        </w:tc>
        <w:tc>
          <w:tcPr>
            <w:vAlign w:val="center"/>
          </w:tcPr>
          <w:p>
            <w:pPr>
              <w:jc w:val="right"/>
            </w:pPr>
            <w:r>
              <w:rPr>
                <w:color w:val="000000"/>
                <w:sz w:val="24"/>
              </w:rPr>
              <w:t>0.90</w:t>
            </w:r>
          </w:p>
        </w:tc>
      </w:tr>
      <w:tr>
        <w:tc>
          <w:tcPr>
            <w:vAlign w:val="center"/>
          </w:tcPr>
          <w:p>
            <w:pPr>
              <w:jc w:val="center"/>
            </w:pPr>
            <w:r>
              <w:rPr>
                <w:color w:val="000000"/>
                <w:sz w:val="24"/>
              </w:rPr>
              <w:t>4</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250,000</w:t>
            </w:r>
          </w:p>
        </w:tc>
        <w:tc>
          <w:tcPr>
            <w:vAlign w:val="center"/>
          </w:tcPr>
          <w:p>
            <w:pPr>
              <w:jc w:val="right"/>
            </w:pPr>
            <w:r>
              <w:rPr>
                <w:color w:val="000000"/>
                <w:sz w:val="24"/>
              </w:rPr>
              <w:t>6,420,000.00</w:t>
            </w:r>
          </w:p>
        </w:tc>
        <w:tc>
          <w:tcPr>
            <w:vAlign w:val="center"/>
          </w:tcPr>
          <w:p>
            <w:pPr>
              <w:jc w:val="right"/>
            </w:pPr>
            <w:r>
              <w:rPr>
                <w:color w:val="000000"/>
                <w:sz w:val="24"/>
              </w:rPr>
              <w:t>0.88</w:t>
            </w:r>
          </w:p>
        </w:tc>
      </w:tr>
      <w:tr>
        <w:tc>
          <w:tcPr>
            <w:vAlign w:val="center"/>
          </w:tcPr>
          <w:p>
            <w:pPr>
              <w:jc w:val="center"/>
            </w:pPr>
            <w:r>
              <w:rPr>
                <w:color w:val="000000"/>
                <w:sz w:val="24"/>
              </w:rPr>
              <w:t>5</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8,000</w:t>
            </w:r>
          </w:p>
        </w:tc>
        <w:tc>
          <w:tcPr>
            <w:vAlign w:val="center"/>
          </w:tcPr>
          <w:p>
            <w:pPr>
              <w:jc w:val="right"/>
            </w:pPr>
            <w:r>
              <w:rPr>
                <w:color w:val="000000"/>
                <w:sz w:val="24"/>
              </w:rPr>
              <w:t>5,840,000.00</w:t>
            </w:r>
          </w:p>
        </w:tc>
        <w:tc>
          <w:tcPr>
            <w:vAlign w:val="center"/>
          </w:tcPr>
          <w:p>
            <w:pPr>
              <w:jc w:val="right"/>
            </w:pPr>
            <w:r>
              <w:rPr>
                <w:color w:val="000000"/>
                <w:sz w:val="24"/>
              </w:rPr>
              <w:t>0.80</w:t>
            </w:r>
          </w:p>
        </w:tc>
      </w:tr>
      <w:tr>
        <w:tc>
          <w:tcPr>
            <w:vAlign w:val="center"/>
          </w:tcPr>
          <w:p>
            <w:pPr>
              <w:jc w:val="center"/>
            </w:pPr>
            <w:r>
              <w:rPr>
                <w:color w:val="000000"/>
                <w:sz w:val="24"/>
              </w:rPr>
              <w:t>6</w:t>
            </w:r>
          </w:p>
        </w:tc>
        <w:tc>
          <w:tcPr>
            <w:vAlign w:val="center"/>
          </w:tcPr>
          <w:p>
            <w:pPr>
              <w:jc w:val="center"/>
            </w:pPr>
            <w:r>
              <w:rPr>
                <w:color w:val="000000"/>
                <w:sz w:val="24"/>
              </w:rPr>
              <w:t>601318</w:t>
            </w:r>
          </w:p>
        </w:tc>
        <w:tc>
          <w:tcPr>
            <w:vAlign w:val="center"/>
          </w:tcPr>
          <w:p>
            <w:pPr>
              <w:jc w:val="center"/>
            </w:pPr>
            <w:r>
              <w:rPr>
                <w:color w:val="000000"/>
                <w:sz w:val="24"/>
              </w:rPr>
              <w:t>中国平安</w:t>
            </w:r>
          </w:p>
        </w:tc>
        <w:tc>
          <w:tcPr>
            <w:vAlign w:val="center"/>
          </w:tcPr>
          <w:p>
            <w:pPr>
              <w:jc w:val="right"/>
            </w:pPr>
            <w:r>
              <w:rPr>
                <w:color w:val="000000"/>
                <w:sz w:val="24"/>
              </w:rPr>
              <w:t>80,000</w:t>
            </w:r>
          </w:p>
        </w:tc>
        <w:tc>
          <w:tcPr>
            <w:vAlign w:val="center"/>
          </w:tcPr>
          <w:p>
            <w:pPr>
              <w:jc w:val="right"/>
            </w:pPr>
            <w:r>
              <w:rPr>
                <w:color w:val="000000"/>
                <w:sz w:val="24"/>
              </w:rPr>
              <w:t>5,480,000.00</w:t>
            </w:r>
          </w:p>
        </w:tc>
        <w:tc>
          <w:tcPr>
            <w:vAlign w:val="center"/>
          </w:tcPr>
          <w:p>
            <w:pPr>
              <w:jc w:val="right"/>
            </w:pPr>
            <w:r>
              <w:rPr>
                <w:color w:val="000000"/>
                <w:sz w:val="24"/>
              </w:rPr>
              <w:t>0.75</w:t>
            </w:r>
          </w:p>
        </w:tc>
      </w:tr>
      <w:tr>
        <w:tc>
          <w:tcPr>
            <w:vAlign w:val="center"/>
          </w:tcPr>
          <w:p>
            <w:pPr>
              <w:jc w:val="center"/>
            </w:pPr>
            <w:r>
              <w:rPr>
                <w:color w:val="000000"/>
                <w:sz w:val="24"/>
              </w:rPr>
              <w:t>7</w:t>
            </w:r>
          </w:p>
        </w:tc>
        <w:tc>
          <w:tcPr>
            <w:vAlign w:val="center"/>
          </w:tcPr>
          <w:p>
            <w:pPr>
              <w:jc w:val="center"/>
            </w:pPr>
            <w:r>
              <w:rPr>
                <w:color w:val="000000"/>
                <w:sz w:val="24"/>
              </w:rPr>
              <w:t>600056</w:t>
            </w:r>
          </w:p>
        </w:tc>
        <w:tc>
          <w:tcPr>
            <w:vAlign w:val="center"/>
          </w:tcPr>
          <w:p>
            <w:pPr>
              <w:jc w:val="center"/>
            </w:pPr>
            <w:r>
              <w:rPr>
                <w:color w:val="000000"/>
                <w:sz w:val="24"/>
              </w:rPr>
              <w:t>中国医药</w:t>
            </w:r>
          </w:p>
        </w:tc>
        <w:tc>
          <w:tcPr>
            <w:vAlign w:val="center"/>
          </w:tcPr>
          <w:p>
            <w:pPr>
              <w:jc w:val="right"/>
            </w:pPr>
            <w:r>
              <w:rPr>
                <w:color w:val="000000"/>
                <w:sz w:val="24"/>
              </w:rPr>
              <w:t>250,000</w:t>
            </w:r>
          </w:p>
        </w:tc>
        <w:tc>
          <w:tcPr>
            <w:vAlign w:val="center"/>
          </w:tcPr>
          <w:p>
            <w:pPr>
              <w:jc w:val="right"/>
            </w:pPr>
            <w:r>
              <w:rPr>
                <w:color w:val="000000"/>
                <w:sz w:val="24"/>
              </w:rPr>
              <w:t>4,205,000.00</w:t>
            </w:r>
          </w:p>
        </w:tc>
        <w:tc>
          <w:tcPr>
            <w:vAlign w:val="center"/>
          </w:tcPr>
          <w:p>
            <w:pPr>
              <w:jc w:val="right"/>
            </w:pPr>
            <w:r>
              <w:rPr>
                <w:color w:val="000000"/>
                <w:sz w:val="24"/>
              </w:rPr>
              <w:t>0.58</w:t>
            </w:r>
          </w:p>
        </w:tc>
      </w:tr>
      <w:tr>
        <w:tc>
          <w:tcPr>
            <w:vAlign w:val="center"/>
          </w:tcPr>
          <w:p>
            <w:pPr>
              <w:jc w:val="center"/>
            </w:pPr>
            <w:r>
              <w:rPr>
                <w:color w:val="000000"/>
                <w:sz w:val="24"/>
              </w:rPr>
              <w:t>8</w:t>
            </w:r>
          </w:p>
        </w:tc>
        <w:tc>
          <w:tcPr>
            <w:vAlign w:val="center"/>
          </w:tcPr>
          <w:p>
            <w:pPr>
              <w:jc w:val="center"/>
            </w:pPr>
            <w:r>
              <w:rPr>
                <w:color w:val="000000"/>
                <w:sz w:val="24"/>
              </w:rPr>
              <w:t>600329</w:t>
            </w:r>
          </w:p>
        </w:tc>
        <w:tc>
          <w:tcPr>
            <w:vAlign w:val="center"/>
          </w:tcPr>
          <w:p>
            <w:pPr>
              <w:jc w:val="center"/>
            </w:pPr>
            <w:r>
              <w:rPr>
                <w:color w:val="000000"/>
                <w:sz w:val="24"/>
              </w:rPr>
              <w:t>中新药业</w:t>
            </w:r>
          </w:p>
        </w:tc>
        <w:tc>
          <w:tcPr>
            <w:vAlign w:val="center"/>
          </w:tcPr>
          <w:p>
            <w:pPr>
              <w:jc w:val="right"/>
            </w:pPr>
            <w:r>
              <w:rPr>
                <w:color w:val="000000"/>
                <w:sz w:val="24"/>
              </w:rPr>
              <w:t>150,000</w:t>
            </w:r>
          </w:p>
        </w:tc>
        <w:tc>
          <w:tcPr>
            <w:vAlign w:val="center"/>
          </w:tcPr>
          <w:p>
            <w:pPr>
              <w:jc w:val="right"/>
            </w:pPr>
            <w:r>
              <w:rPr>
                <w:color w:val="000000"/>
                <w:sz w:val="24"/>
              </w:rPr>
              <w:t>2,295,000.00</w:t>
            </w:r>
          </w:p>
        </w:tc>
        <w:tc>
          <w:tcPr>
            <w:vAlign w:val="center"/>
          </w:tcPr>
          <w:p>
            <w:pPr>
              <w:jc w:val="right"/>
            </w:pPr>
            <w:r>
              <w:rPr>
                <w:color w:val="000000"/>
                <w:sz w:val="24"/>
              </w:rPr>
              <w:t>0.31</w:t>
            </w:r>
          </w:p>
        </w:tc>
      </w:tr>
      <w:tr>
        <w:tc>
          <w:tcPr>
            <w:vAlign w:val="center"/>
          </w:tcPr>
          <w:p>
            <w:pPr>
              <w:jc w:val="center"/>
            </w:pPr>
            <w:r>
              <w:rPr>
                <w:color w:val="000000"/>
                <w:sz w:val="24"/>
              </w:rPr>
              <w:t>9</w:t>
            </w:r>
          </w:p>
        </w:tc>
        <w:tc>
          <w:tcPr>
            <w:vAlign w:val="center"/>
          </w:tcPr>
          <w:p>
            <w:pPr>
              <w:jc w:val="center"/>
            </w:pPr>
            <w:r>
              <w:rPr>
                <w:color w:val="000000"/>
                <w:sz w:val="24"/>
              </w:rPr>
              <w:t>601607</w:t>
            </w:r>
          </w:p>
        </w:tc>
        <w:tc>
          <w:tcPr>
            <w:vAlign w:val="center"/>
          </w:tcPr>
          <w:p>
            <w:pPr>
              <w:jc w:val="center"/>
            </w:pPr>
            <w:r>
              <w:rPr>
                <w:color w:val="000000"/>
                <w:sz w:val="24"/>
              </w:rPr>
              <w:t>上海医药</w:t>
            </w:r>
          </w:p>
        </w:tc>
        <w:tc>
          <w:tcPr>
            <w:vAlign w:val="center"/>
          </w:tcPr>
          <w:p>
            <w:pPr>
              <w:jc w:val="right"/>
            </w:pPr>
            <w:r>
              <w:rPr>
                <w:color w:val="000000"/>
                <w:sz w:val="24"/>
              </w:rPr>
              <w:t>100,000</w:t>
            </w:r>
          </w:p>
        </w:tc>
        <w:tc>
          <w:tcPr>
            <w:vAlign w:val="center"/>
          </w:tcPr>
          <w:p>
            <w:pPr>
              <w:jc w:val="right"/>
            </w:pPr>
            <w:r>
              <w:rPr>
                <w:color w:val="000000"/>
                <w:sz w:val="24"/>
              </w:rPr>
              <w:t>2,050,000.00</w:t>
            </w:r>
          </w:p>
        </w:tc>
        <w:tc>
          <w:tcPr>
            <w:vAlign w:val="center"/>
          </w:tcPr>
          <w:p>
            <w:pPr>
              <w:jc w:val="right"/>
            </w:pPr>
            <w:r>
              <w:rPr>
                <w:color w:val="000000"/>
                <w:sz w:val="24"/>
              </w:rPr>
              <w:t>0.28</w:t>
            </w:r>
          </w:p>
        </w:tc>
      </w:tr>
      <w:tr>
        <w:tc>
          <w:tcPr>
            <w:vAlign w:val="center"/>
          </w:tcPr>
          <w:p>
            <w:pPr>
              <w:jc w:val="center"/>
            </w:pPr>
            <w:r>
              <w:rPr>
                <w:color w:val="000000"/>
                <w:sz w:val="24"/>
              </w:rPr>
              <w:t>10</w:t>
            </w:r>
          </w:p>
        </w:tc>
        <w:tc>
          <w:tcPr>
            <w:vAlign w:val="center"/>
          </w:tcPr>
          <w:p>
            <w:pPr>
              <w:jc w:val="center"/>
            </w:pPr>
            <w:r>
              <w:rPr>
                <w:color w:val="000000"/>
                <w:sz w:val="24"/>
              </w:rPr>
              <w:t>601988</w:t>
            </w:r>
          </w:p>
        </w:tc>
        <w:tc>
          <w:tcPr>
            <w:vAlign w:val="center"/>
          </w:tcPr>
          <w:p>
            <w:pPr>
              <w:jc w:val="center"/>
            </w:pPr>
            <w:r>
              <w:rPr>
                <w:color w:val="000000"/>
                <w:sz w:val="24"/>
              </w:rPr>
              <w:t>中国银行</w:t>
            </w:r>
          </w:p>
        </w:tc>
        <w:tc>
          <w:tcPr>
            <w:vAlign w:val="center"/>
          </w:tcPr>
          <w:p>
            <w:pPr>
              <w:jc w:val="right"/>
            </w:pPr>
            <w:r>
              <w:rPr>
                <w:color w:val="000000"/>
                <w:sz w:val="24"/>
              </w:rPr>
              <w:t>500,000</w:t>
            </w:r>
          </w:p>
        </w:tc>
        <w:tc>
          <w:tcPr>
            <w:vAlign w:val="center"/>
          </w:tcPr>
          <w:p>
            <w:pPr>
              <w:jc w:val="right"/>
            </w:pPr>
            <w:r>
              <w:rPr>
                <w:color w:val="000000"/>
                <w:sz w:val="24"/>
              </w:rPr>
              <w:t>1,860,000.00</w:t>
            </w:r>
          </w:p>
        </w:tc>
        <w:tc>
          <w:tcPr>
            <w:vAlign w:val="center"/>
          </w:tcPr>
          <w:p>
            <w:pPr>
              <w:jc w:val="right"/>
            </w:pPr>
            <w:r>
              <w:rPr>
                <w:color w:val="000000"/>
                <w:sz w:val="24"/>
              </w:rPr>
              <w:t>0.25</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148,000,000.00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20.26</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148,000,000.00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20.26</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180,685,000.00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24.74</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19,968,000.00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2.73</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384,589,000.00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52.65</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733,242,000.00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100.38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type="dxa" w:w="8868"/>
        <w:jc w:val="center"/>
        <w:tblLayout w:type="fixed"/>
        <w:tblCellMar>
          <w:top w:type="dxa" w:w="57"/>
          <w:bottom w:type="dxa" w:w="57"/>
        </w:tblCellMar>
        <w:tblLook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180210</w:t>
            </w:r>
          </w:p>
        </w:tc>
        <w:tc>
          <w:tcPr>
            <w:vAlign w:val="center"/>
          </w:tcPr>
          <w:p>
            <w:pPr>
              <w:jc w:val="center"/>
            </w:pPr>
            <w:r>
              <w:rPr>
                <w:color w:val="000000"/>
                <w:sz w:val="24"/>
              </w:rPr>
              <w:t>18国开10</w:t>
            </w:r>
          </w:p>
        </w:tc>
        <w:tc>
          <w:tcPr>
            <w:vAlign w:val="center"/>
          </w:tcPr>
          <w:p>
            <w:pPr>
              <w:jc w:val="right"/>
            </w:pPr>
            <w:r>
              <w:rPr>
                <w:color w:val="000000"/>
                <w:sz w:val="24"/>
              </w:rPr>
              <w:t>600,000</w:t>
            </w:r>
          </w:p>
        </w:tc>
        <w:tc>
          <w:tcPr>
            <w:vAlign w:val="center"/>
          </w:tcPr>
          <w:p>
            <w:pPr>
              <w:jc w:val="right"/>
            </w:pPr>
            <w:r>
              <w:rPr>
                <w:color w:val="000000"/>
                <w:sz w:val="24"/>
              </w:rPr>
              <w:t>59,238,000.00</w:t>
            </w:r>
          </w:p>
        </w:tc>
        <w:tc>
          <w:tcPr>
            <w:vAlign w:val="center"/>
          </w:tcPr>
          <w:p>
            <w:pPr>
              <w:jc w:val="right"/>
            </w:pPr>
            <w:r>
              <w:rPr>
                <w:color w:val="000000"/>
                <w:sz w:val="24"/>
              </w:rPr>
              <w:t>8.11</w:t>
            </w:r>
          </w:p>
        </w:tc>
      </w:tr>
      <w:tr>
        <w:tc>
          <w:tcPr>
            <w:vAlign w:val="center"/>
          </w:tcPr>
          <w:p>
            <w:pPr>
              <w:jc w:val="center"/>
            </w:pPr>
            <w:r>
              <w:rPr>
                <w:color w:val="000000"/>
                <w:sz w:val="24"/>
              </w:rPr>
              <w:t>2</w:t>
            </w:r>
          </w:p>
        </w:tc>
        <w:tc>
          <w:tcPr>
            <w:vAlign w:val="center"/>
          </w:tcPr>
          <w:p>
            <w:pPr>
              <w:jc w:val="center"/>
            </w:pPr>
            <w:r>
              <w:rPr>
                <w:color w:val="000000"/>
                <w:sz w:val="24"/>
              </w:rPr>
              <w:t>018005</w:t>
            </w:r>
          </w:p>
        </w:tc>
        <w:tc>
          <w:tcPr>
            <w:vAlign w:val="center"/>
          </w:tcPr>
          <w:p>
            <w:pPr>
              <w:jc w:val="center"/>
            </w:pPr>
            <w:r>
              <w:rPr>
                <w:color w:val="000000"/>
                <w:sz w:val="24"/>
              </w:rPr>
              <w:t>国开1701</w:t>
            </w:r>
          </w:p>
        </w:tc>
        <w:tc>
          <w:tcPr>
            <w:vAlign w:val="center"/>
          </w:tcPr>
          <w:p>
            <w:pPr>
              <w:jc w:val="right"/>
            </w:pPr>
            <w:r>
              <w:rPr>
                <w:color w:val="000000"/>
                <w:sz w:val="24"/>
              </w:rPr>
              <w:t>390,000</w:t>
            </w:r>
          </w:p>
        </w:tc>
        <w:tc>
          <w:tcPr>
            <w:vAlign w:val="center"/>
          </w:tcPr>
          <w:p>
            <w:pPr>
              <w:jc w:val="right"/>
            </w:pPr>
            <w:r>
              <w:rPr>
                <w:color w:val="000000"/>
                <w:sz w:val="24"/>
              </w:rPr>
              <w:t>39,234,000.00</w:t>
            </w:r>
          </w:p>
        </w:tc>
        <w:tc>
          <w:tcPr>
            <w:vAlign w:val="center"/>
          </w:tcPr>
          <w:p>
            <w:pPr>
              <w:jc w:val="right"/>
            </w:pPr>
            <w:r>
              <w:rPr>
                <w:color w:val="000000"/>
                <w:sz w:val="24"/>
              </w:rPr>
              <w:t>5.37</w:t>
            </w:r>
          </w:p>
        </w:tc>
      </w:tr>
      <w:tr>
        <w:tc>
          <w:tcPr>
            <w:vAlign w:val="center"/>
          </w:tcPr>
          <w:p>
            <w:pPr>
              <w:jc w:val="center"/>
            </w:pPr>
            <w:r>
              <w:rPr>
                <w:color w:val="000000"/>
                <w:sz w:val="24"/>
              </w:rPr>
              <w:t>3</w:t>
            </w:r>
          </w:p>
        </w:tc>
        <w:tc>
          <w:tcPr>
            <w:vAlign w:val="center"/>
          </w:tcPr>
          <w:p>
            <w:pPr>
              <w:jc w:val="center"/>
            </w:pPr>
            <w:r>
              <w:rPr>
                <w:color w:val="000000"/>
                <w:sz w:val="24"/>
              </w:rPr>
              <w:t>101753037</w:t>
            </w:r>
          </w:p>
        </w:tc>
        <w:tc>
          <w:tcPr>
            <w:vAlign w:val="center"/>
          </w:tcPr>
          <w:p>
            <w:pPr>
              <w:jc w:val="center"/>
            </w:pPr>
            <w:r>
              <w:rPr>
                <w:color w:val="000000"/>
                <w:sz w:val="24"/>
              </w:rPr>
              <w:t>17苏国信MTN002</w:t>
            </w:r>
          </w:p>
        </w:tc>
        <w:tc>
          <w:tcPr>
            <w:vAlign w:val="center"/>
          </w:tcPr>
          <w:p>
            <w:pPr>
              <w:jc w:val="right"/>
            </w:pPr>
            <w:r>
              <w:rPr>
                <w:color w:val="000000"/>
                <w:sz w:val="24"/>
              </w:rPr>
              <w:t>300,000</w:t>
            </w:r>
          </w:p>
        </w:tc>
        <w:tc>
          <w:tcPr>
            <w:vAlign w:val="center"/>
          </w:tcPr>
          <w:p>
            <w:pPr>
              <w:jc w:val="right"/>
            </w:pPr>
            <w:r>
              <w:rPr>
                <w:color w:val="000000"/>
                <w:sz w:val="24"/>
              </w:rPr>
              <w:t>30,777,000.00</w:t>
            </w:r>
          </w:p>
        </w:tc>
        <w:tc>
          <w:tcPr>
            <w:vAlign w:val="center"/>
          </w:tcPr>
          <w:p>
            <w:pPr>
              <w:jc w:val="right"/>
            </w:pPr>
            <w:r>
              <w:rPr>
                <w:color w:val="000000"/>
                <w:sz w:val="24"/>
              </w:rPr>
              <w:t>4.21</w:t>
            </w:r>
          </w:p>
        </w:tc>
      </w:tr>
      <w:tr>
        <w:tc>
          <w:tcPr>
            <w:vAlign w:val="center"/>
          </w:tcPr>
          <w:p>
            <w:pPr>
              <w:jc w:val="center"/>
            </w:pPr>
            <w:r>
              <w:rPr>
                <w:color w:val="000000"/>
                <w:sz w:val="24"/>
              </w:rPr>
              <w:t>4</w:t>
            </w:r>
          </w:p>
        </w:tc>
        <w:tc>
          <w:tcPr>
            <w:vAlign w:val="center"/>
          </w:tcPr>
          <w:p>
            <w:pPr>
              <w:jc w:val="center"/>
            </w:pPr>
            <w:r>
              <w:rPr>
                <w:color w:val="000000"/>
                <w:sz w:val="24"/>
              </w:rPr>
              <w:t>101559005</w:t>
            </w:r>
          </w:p>
        </w:tc>
        <w:tc>
          <w:tcPr>
            <w:vAlign w:val="center"/>
          </w:tcPr>
          <w:p>
            <w:pPr>
              <w:jc w:val="center"/>
            </w:pPr>
            <w:r>
              <w:rPr>
                <w:color w:val="000000"/>
                <w:sz w:val="24"/>
              </w:rPr>
              <w:t>15苏国资MTN001</w:t>
            </w:r>
          </w:p>
        </w:tc>
        <w:tc>
          <w:tcPr>
            <w:vAlign w:val="center"/>
          </w:tcPr>
          <w:p>
            <w:pPr>
              <w:jc w:val="right"/>
            </w:pPr>
            <w:r>
              <w:rPr>
                <w:color w:val="000000"/>
                <w:sz w:val="24"/>
              </w:rPr>
              <w:t>300,000</w:t>
            </w:r>
          </w:p>
        </w:tc>
        <w:tc>
          <w:tcPr>
            <w:vAlign w:val="center"/>
          </w:tcPr>
          <w:p>
            <w:pPr>
              <w:jc w:val="right"/>
            </w:pPr>
            <w:r>
              <w:rPr>
                <w:color w:val="000000"/>
                <w:sz w:val="24"/>
              </w:rPr>
              <w:t>30,549,000.00</w:t>
            </w:r>
          </w:p>
        </w:tc>
        <w:tc>
          <w:tcPr>
            <w:vAlign w:val="center"/>
          </w:tcPr>
          <w:p>
            <w:pPr>
              <w:jc w:val="right"/>
            </w:pPr>
            <w:r>
              <w:rPr>
                <w:color w:val="000000"/>
                <w:sz w:val="24"/>
              </w:rPr>
              <w:t>4.18</w:t>
            </w:r>
          </w:p>
        </w:tc>
      </w:tr>
      <w:tr>
        <w:tc>
          <w:tcPr>
            <w:vAlign w:val="center"/>
          </w:tcPr>
          <w:p>
            <w:pPr>
              <w:jc w:val="center"/>
            </w:pPr>
            <w:r>
              <w:rPr>
                <w:color w:val="000000"/>
                <w:sz w:val="24"/>
              </w:rPr>
              <w:t>5</w:t>
            </w:r>
          </w:p>
        </w:tc>
        <w:tc>
          <w:tcPr>
            <w:vAlign w:val="center"/>
          </w:tcPr>
          <w:p>
            <w:pPr>
              <w:jc w:val="center"/>
            </w:pPr>
            <w:r>
              <w:rPr>
                <w:color w:val="000000"/>
                <w:sz w:val="24"/>
              </w:rPr>
              <w:t>101800480</w:t>
            </w:r>
          </w:p>
        </w:tc>
        <w:tc>
          <w:tcPr>
            <w:vAlign w:val="center"/>
          </w:tcPr>
          <w:p>
            <w:pPr>
              <w:jc w:val="center"/>
            </w:pPr>
            <w:r>
              <w:rPr>
                <w:color w:val="000000"/>
                <w:sz w:val="24"/>
              </w:rPr>
              <w:t>18物产中大MTN001</w:t>
            </w:r>
          </w:p>
        </w:tc>
        <w:tc>
          <w:tcPr>
            <w:vAlign w:val="center"/>
          </w:tcPr>
          <w:p>
            <w:pPr>
              <w:jc w:val="right"/>
            </w:pPr>
            <w:r>
              <w:rPr>
                <w:color w:val="000000"/>
                <w:sz w:val="24"/>
              </w:rPr>
              <w:t>300,000</w:t>
            </w:r>
          </w:p>
        </w:tc>
        <w:tc>
          <w:tcPr>
            <w:vAlign w:val="center"/>
          </w:tcPr>
          <w:p>
            <w:pPr>
              <w:jc w:val="right"/>
            </w:pPr>
            <w:r>
              <w:rPr>
                <w:color w:val="000000"/>
                <w:sz w:val="24"/>
              </w:rPr>
              <w:t>30,522,000.00</w:t>
            </w:r>
          </w:p>
        </w:tc>
        <w:tc>
          <w:tcPr>
            <w:vAlign w:val="center"/>
          </w:tcPr>
          <w:p>
            <w:pPr>
              <w:jc w:val="right"/>
            </w:pPr>
            <w:r>
              <w:rPr>
                <w:color w:val="000000"/>
                <w:sz w:val="24"/>
              </w:rPr>
              <w:t>4.18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lastRenderedPageBreak/>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rsidRPr="007F52FA">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type="dxa" w:w="8868"/>
        <w:jc w:val="center"/>
        <w:tblLook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14,418.80</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11,605,185.87</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11,619,604.67</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7F52FA">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P="007C14DF" w:rsidR="001D5CD0" w:rsidRDefault="001D5CD0" w:rsidRPr="007F52FA">
      <w:pPr>
        <w:spacing w:before="29" w:line="288" w:lineRule="auto"/>
        <w:rPr>
          <w:rFonts w:eastAsiaTheme="minorEastAsia"/>
          <w:sz w:val="24"/>
        </w:rPr>
      </w:pPr>
    </w:p>
    <w:p w:rsidP="007C14DF" w:rsidR="001D5CD0" w:rsidRDefault="001D5CD0" w:rsidRPr="007F52FA">
      <w:pPr>
        <w:spacing w:before="29" w:line="288" w:lineRule="auto"/>
        <w:rPr>
          <w:rFonts w:eastAsiaTheme="minorEastAsia"/>
          <w:color w:val="000000"/>
          <w:kern w:val="0"/>
          <w:sz w:val="24"/>
        </w:rPr>
      </w:pPr>
      <w:r w:rsidRPr="007F52FA">
        <w:rPr>
          <w:rFonts w:eastAsiaTheme="minorEastAsia"/>
          <w:color w:val="000000"/>
          <w:kern w:val="0"/>
          <w:sz w:val="24"/>
        </w:rPr>
        <w:lastRenderedPageBreak/>
        <w:t/>
      </w: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C51B4E" w:rsidRDefault="00C51B4E" w:rsidRPr="00C51B4E">
      <w:pPr>
        <w:pStyle w:val="1"/>
        <w:spacing w:afterLines="100" w:beforeLines="100" w:line="360" w:lineRule="auto"/>
        <w:jc w:val="center"/>
        <w:rPr>
          <w:rFonts w:eastAsiaTheme="minorEastAsia"/>
          <w:color w:themeColor="text1" w:val="000000"/>
          <w:kern w:val="0"/>
          <w:sz w:val="21"/>
          <w:szCs w:val="21"/>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Pr="00C51B4E">
        <w:rPr>
          <w:rFonts w:eastAsiaTheme="minorEastAsia" w:hint="eastAsia"/>
          <w:color w:themeColor="text1" w:val="000000"/>
          <w:kern w:val="0"/>
          <w:sz w:val="21"/>
          <w:szCs w:val="21"/>
        </w:rPr>
        <w:t>基金中基金</w:t>
      </w:r>
    </w:p>
    <w:p w:rsidP="00C51B4E" w:rsidR="00C51B4E" w:rsidRDefault="00C51B4E" w:rsidRPr="00C51B4E">
      <w:pPr>
        <w:adjustRightInd w:val="0"/>
        <w:snapToGrid w:val="0"/>
        <w:spacing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1</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报告期末按公允价值占基金资产净值比例大小排序的前十名基金投资明细</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本基金本报告期末未持有基金。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2</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当期交易及持有基金产生的费用</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本基金本报告期内未交易或持有基金。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3</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本报告期持有的基金发生的重大影响事件</w:t>
      </w:r>
    </w:p>
    <w:tbl>
      <w:tblPr>
        <w:tblStyle w:val="af2"/>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036"/>
      </w:tblGrid>
      <w:tr w:rsidR="00C51B4E" w:rsidRPr="00C51B4E" w:rsidTr="00F103C8">
        <w:tc>
          <w:tcPr>
            <w:tcW w:type="dxa" w:w="9036"/>
          </w:tcPr>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
            </w:r>
            <w:r w:rsidRPr="00C51B4E">
              <w:rPr>
                <w:rFonts w:eastAsiaTheme="minorEastAsia" w:hint="eastAsia"/>
                <w:color w:themeColor="text1" w:val="000000"/>
                <w:szCs w:val="21"/>
              </w:rPr>
              <w:t/>
            </w:r>
            <w:r w:rsidRPr="00C51B4E">
              <w:rPr>
                <w:rFonts w:eastAsiaTheme="minorEastAsia"/>
                <w:color w:themeColor="text1" w:val="000000"/>
                <w:szCs w:val="21"/>
              </w:rPr>
              <w:t/>
            </w:r>
            <w:r w:rsidRPr="00C51B4E">
              <w:rPr>
                <w:rFonts w:eastAsiaTheme="minorEastAsia" w:hint="eastAsia"/>
                <w:color w:themeColor="text1" w:val="000000"/>
                <w:szCs w:val="21"/>
              </w:rPr>
              <w:t>无。</w:t>
            </w:r>
          </w:p>
        </w:tc>
      </w:tr>
    </w:tbl>
    <w:p w:rsidP="000A2988" w:rsidR="009238DB" w:rsidRDefault="00C51B4E" w:rsidRPr="007F52FA">
      <w:pPr>
        <w:pStyle w:val="1"/>
        <w:spacing w:afterLines="100"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§7</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交银优择回报灵活配置混合A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交银优择回报灵活配置混合C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693,683,584.31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16,839.73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13,184.23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76,422.57</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10,667.79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69,061.96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693,686,100.75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24,200.34</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Lines="100"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Lines="100"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§9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9.1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2018/7/1-2018/9/30</w:t>
            </w:r>
          </w:p>
        </w:tc>
        <w:tc>
          <w:tcPr>
            <w:vAlign w:val="center"/>
          </w:tcPr>
          <w:p>
            <w:pPr>
              <w:jc w:val="center"/>
            </w:pPr>
            <w:r>
              <w:rPr>
                <w:rFonts w:ascii="宋体" w:hAnsi="宋体" w:hint="eastAsia"/>
                <w:color w:val="000000"/>
                <w:kern w:val="0"/>
                <w:szCs w:val="21"/>
              </w:rPr>
              <w:t>500,044,000.00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500,044,000.00</w:t>
            </w:r>
          </w:p>
        </w:tc>
        <w:tc>
          <w:tcPr>
            <w:vAlign w:val="center"/>
          </w:tcPr>
          <w:p>
            <w:pPr>
              <w:jc w:val="center"/>
            </w:pPr>
            <w:r>
              <w:rPr>
                <w:rFonts w:ascii="宋体" w:hAnsi="宋体" w:hint="eastAsia"/>
                <w:color w:val="000000"/>
                <w:kern w:val="0"/>
                <w:szCs w:val="21"/>
              </w:rPr>
              <w:t>72.08%</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2018/7/1-2018/9/30</w:t>
            </w:r>
          </w:p>
        </w:tc>
        <w:tc>
          <w:tcPr>
            <w:vAlign w:val="center"/>
          </w:tcPr>
          <w:p>
            <w:pPr>
              <w:jc w:val="center"/>
            </w:pPr>
            <w:r>
              <w:rPr>
                <w:rFonts w:ascii="宋体" w:hAnsi="宋体" w:hint="eastAsia"/>
                <w:color w:val="000000"/>
                <w:kern w:val="0"/>
                <w:szCs w:val="21"/>
              </w:rPr>
              <w:t>193,609,874.15</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193,609,874.15</w:t>
            </w:r>
          </w:p>
        </w:tc>
        <w:tc>
          <w:tcPr>
            <w:vAlign w:val="center"/>
          </w:tcPr>
          <w:p>
            <w:pPr>
              <w:jc w:val="center"/>
            </w:pPr>
            <w:r>
              <w:rPr>
                <w:rFonts w:ascii="宋体" w:hAnsi="宋体" w:hint="eastAsia"/>
                <w:color w:val="000000"/>
                <w:kern w:val="0"/>
                <w:szCs w:val="21"/>
              </w:rPr>
              <w:t>27.91%</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bookmarkStart w:id="2" w:name="_GoBack"/>
      <w:bookmarkEnd w:id="2"/>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1、中国证监会准予交银施罗德优择回报灵活配置混合型证券投资基金募集注册的文件；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2、《交银施罗德优择回报灵活配置混合型证券投资基金基金合同》；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3、《交银施罗德优择回报灵活配置混合型证券投资基金招募说明书》；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4、《交银施罗德优择回报灵活配置混合型证券投资基金托管协议》；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5、关于申请募集注册交银施罗德优择回报灵活配置混合型证券投资基金的法律意见书；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8、报告期内交银施罗德优择回报灵活配置混合型证券投资基金在指定报刊上各项公告的原稿。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A2988">
      <w:rPr>
        <w:noProof/>
        <w:kern w:val="0"/>
        <w:szCs w:val="21"/>
      </w:rPr>
      <w:t>21</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A2988">
      <w:rPr>
        <w:noProof/>
        <w:kern w:val="0"/>
        <w:szCs w:val="21"/>
      </w:rPr>
      <w:t>28</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1B5A1E" w:rsidRDefault="001B5A1E">
      <w:r>
        <w:separator/>
      </w:r>
    </w:p>
  </w:footnote>
  <w:footnote w:id="0" w:type="continuationSeparator">
    <w:p w:rsidR="001B5A1E" w:rsidRDefault="001B5A1E">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交银施罗德优择回报灵活配置混合型证券投资基金2018年第3季度报告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0" w:defUnhideWhenUsed="1">
    <w:lsdException w:name="Normal" w:qFormat="1" w:semiHidden="0" w:unhideWhenUsed="0"/>
    <w:lsdException w:name="heading 1" w:qFormat="1" w:semiHidden="0" w:uiPriority="99" w:unhideWhenUsed="0"/>
    <w:lsdException w:name="heading 2" w:qFormat="1"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nhideWhenUsed="0"/>
    <w:lsdException w:name="Body Text First Indent" w:semiHidden="0" w:unhideWhenUsed="0"/>
    <w:lsdException w:name="Strong" w:qFormat="1" w:semiHidden="0" w:uiPriority="22" w:unhideWhenUsed="0"/>
    <w:lsdException w:name="Emphasis" w:qFormat="1" w:semiHidden="0" w:unhideWhenUsed="0"/>
    <w:lsdException w:name="Plain Text" w:uiPriority="99"/>
    <w:lsdException w:name="Table Grid" w:qFormat="1"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1B44A-4F1F-404E-8194-4BCDA7DF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208</TotalTime>
  <Pages>28</Pages>
  <Words>4625</Words>
  <Characters>26366</Characters>
  <Application>Microsoft Office Word</Application>
  <DocSecurity>0</DocSecurity>
  <Lines>219</Lines>
  <Paragraphs>61</Paragraphs>
  <ScaleCrop>false</ScaleCrop>
  <Company>TRT. Ltd. Co.</Company>
  <LinksUpToDate>false</LinksUpToDate>
  <CharactersWithSpaces>30930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Administrator</cp:lastModifiedBy>
  <cp:lastPrinted>2007-07-19T00:46:00Z</cp:lastPrinted>
  <dcterms:modified xsi:type="dcterms:W3CDTF">2018-09-13T02:52:00Z</dcterms:modified>
  <cp:revision>377</cp:revision>
</cp:coreProperties>
</file>