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交银施罗德科技创新灵活配置混合型证券投资基金</w:t>
      </w:r>
    </w:p>
    <w:p w:rsidP="00C15CAC" w:rsidR="002279D3" w:rsidRDefault="002279D3" w:rsidRPr="0081286B">
      <w:pPr>
        <w:spacing w:before="29" w:line="288" w:lineRule="auto"/>
        <w:jc w:val="center"/>
        <w:rPr>
          <w:b/>
          <w:sz w:val="36"/>
          <w:szCs w:val="36"/>
        </w:rPr>
      </w:pPr>
      <w:r w:rsidRPr="0081286B">
        <w:rPr>
          <w:b/>
          <w:sz w:val="36"/>
          <w:szCs w:val="36"/>
        </w:rPr>
        <w:t>2018年第3季度报告</w:t>
      </w:r>
    </w:p>
    <w:p w:rsidP="00C15CAC" w:rsidR="004061AC" w:rsidRDefault="00655CD8" w:rsidRPr="0081286B">
      <w:pPr>
        <w:spacing w:before="29" w:line="288" w:lineRule="auto"/>
        <w:jc w:val="center"/>
        <w:rPr>
          <w:b/>
          <w:sz w:val="36"/>
          <w:szCs w:val="36"/>
        </w:rPr>
      </w:pPr>
      <w:r w:rsidRPr="0081286B">
        <w:rPr>
          <w:b/>
          <w:sz w:val="36"/>
          <w:szCs w:val="36"/>
        </w:rPr>
        <w:t>2018年9月30日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中国工商银行股份有限公司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二〇一八年十月二十六日</w:t>
      </w:r>
    </w:p>
    <w:p w:rsidP="0011537B" w:rsidR="004061AC" w:rsidRDefault="004061AC" w:rsidRPr="00414345">
      <w:pPr>
        <w:pStyle w:val="1"/>
        <w:spacing w:afterLines="100"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基金托管人中国工商银行股份有限公司根据本基金合同规定，于2018年10月25日复核了本报告中的财务指标、净值表现和投资组合报告等内容，保证复核内容不存在虚假记载、误导性陈述或者重大遗漏。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本报告期自2018年7月1日起至9月30日止。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交银科技创新灵活配置混合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519767</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519767</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2016年5月5日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249,677,604.45</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本基金重点关注以科技为创新驱动力、在产业竞争中掌握核心竞争优势的优质上市公司，在控制风险并保持基金资产良好的流动性的前提下，力争实现基金资产的长期稳定增值。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将综合考虑国家经济政策、经济周期、各行业的相对估值水平和行业竞争格局等因素，进行大类资产在各行业间的配置。本基金聚焦于具有科技创新优势的行业和企业，深度挖掘依附于科技创新背后的新商业模式，重点关注以科技为创新驱动力、在产业竞争中掌握核心竞争优势的优质上市公司，致力于占领科技创新进程中的制高点。 其中，本基金股票投资重点关注直接受益于科技创新红利、或在新科技、新技术推动下盈利水平长期显著提升的其他上市公司。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60%×沪深300指数+40%×中证综合债券指数</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(2018年7月1日-2018年9月30日)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-5,411,658.77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-4,217,842.79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-0.0203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251,677,761.21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1.008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-1.18%</w:t>
            </w:r>
          </w:p>
        </w:tc>
        <w:tc>
          <w:tcPr>
            <w:vAlign w:val="center"/>
          </w:tcPr>
          <w:p>
            <w:pPr>
              <w:jc w:val="center"/>
            </w:pPr>
            <w:r>
              <w:rPr>
                <w:color w:val="000000"/>
                <w:sz w:val="24"/>
                <w:szCs w:val="24"/>
              </w:rPr>
              <w:t>1.96%</w:t>
            </w:r>
          </w:p>
        </w:tc>
        <w:tc>
          <w:tcPr>
            <w:vAlign w:val="center"/>
          </w:tcPr>
          <w:p>
            <w:pPr>
              <w:jc w:val="center"/>
            </w:pPr>
            <w:r>
              <w:rPr>
                <w:color w:val="000000"/>
                <w:sz w:val="24"/>
                <w:szCs w:val="24"/>
              </w:rPr>
              <w:t>-0.58%</w:t>
            </w:r>
          </w:p>
        </w:tc>
        <w:tc>
          <w:tcPr>
            <w:vAlign w:val="center"/>
          </w:tcPr>
          <w:p>
            <w:pPr>
              <w:jc w:val="center"/>
            </w:pPr>
            <w:r>
              <w:rPr>
                <w:color w:val="000000"/>
                <w:sz w:val="24"/>
                <w:szCs w:val="24"/>
              </w:rPr>
              <w:t>0.81%</w:t>
            </w:r>
          </w:p>
        </w:tc>
        <w:tc>
          <w:tcPr>
            <w:vAlign w:val="center"/>
          </w:tcPr>
          <w:p>
            <w:pPr>
              <w:jc w:val="center"/>
            </w:pPr>
            <w:r>
              <w:rPr>
                <w:color w:val="000000"/>
                <w:sz w:val="24"/>
                <w:szCs w:val="24"/>
              </w:rPr>
              <w:t>-0.60%</w:t>
            </w:r>
          </w:p>
        </w:tc>
        <w:tc>
          <w:tcPr>
            <w:vAlign w:val="center"/>
          </w:tcPr>
          <w:p>
            <w:pPr>
              <w:jc w:val="center"/>
            </w:pPr>
            <w:r>
              <w:rPr>
                <w:color w:val="000000"/>
                <w:sz w:val="24"/>
                <w:szCs w:val="24"/>
              </w:rPr>
              <w:t>1.15%</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交银施罗德科技创新灵活配置混合型证券投资基金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2016年5月5日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2018年9月30日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芮晨</w:t>
            </w:r>
          </w:p>
        </w:tc>
        <w:tc>
          <w:tcPr>
            <w:vAlign w:val="center"/>
          </w:tcPr>
          <w:p>
            <w:pPr>
              <w:jc w:val="center"/>
            </w:pPr>
            <w:r>
              <w:rPr>
                <w:color w:val="000000"/>
                <w:sz w:val="24"/>
                <w:szCs w:val="24"/>
              </w:rPr>
              <w:t>交银先锋混合、交银科技创新灵活配置混合、交银数据产业灵活配置混合的基金经理</w:t>
            </w:r>
          </w:p>
        </w:tc>
        <w:tc>
          <w:tcPr>
            <w:vAlign w:val="center"/>
          </w:tcPr>
          <w:p>
            <w:pPr>
              <w:jc w:val="center"/>
            </w:pPr>
            <w:r>
              <w:rPr>
                <w:color w:val="000000"/>
                <w:sz w:val="24"/>
                <w:szCs w:val="24"/>
              </w:rPr>
              <w:t>2016-05-05</w:t>
            </w:r>
          </w:p>
        </w:tc>
        <w:tc>
          <w:tcPr>
            <w:vAlign w:val="center"/>
          </w:tcPr>
          <w:p>
            <w:pPr>
              <w:jc w:val="center"/>
            </w:pPr>
            <w:r>
              <w:rPr>
                <w:color w:val="000000"/>
                <w:sz w:val="24"/>
                <w:szCs w:val="24"/>
              </w:rPr>
              <w:t>-</w:t>
            </w:r>
          </w:p>
        </w:tc>
        <w:tc>
          <w:tcPr>
            <w:vAlign w:val="center"/>
          </w:tcPr>
          <w:p>
            <w:pPr>
              <w:jc w:val="center"/>
            </w:pPr>
            <w:r>
              <w:rPr>
                <w:color w:val="000000"/>
                <w:sz w:val="24"/>
                <w:szCs w:val="24"/>
              </w:rPr>
              <w:t>11年</w:t>
            </w:r>
          </w:p>
        </w:tc>
        <w:tc>
          <w:tcPr>
            <w:vAlign w:val="center"/>
          </w:tcPr>
          <w:p>
            <w:pPr>
              <w:jc w:val="both"/>
            </w:pPr>
            <w:r>
              <w:rPr>
                <w:color w:val="000000"/>
                <w:sz w:val="24"/>
                <w:szCs w:val="24"/>
              </w:rPr>
              <w:t>芮晨先生，内蒙古科技大学工学士。历任深圳尚诚资产管理有限公司研究员、研究副总监，国联安基金管理有限公司行业研究员、投资经理，浙商证券资产管理有限公司投资主办。2015年加入交银施罗德基金管理有限公司。</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三季度，中美贸易战恶化进一步压缩了市场的估值，我们看到股票市场上有很多板块和个股的估值已经非常具有吸引力，但是由于市场对未来抱有较为悲观的态度，建仓意愿较低。但我们认为中国市场的容量足够大，也有足够的自我调节能力。</w:t>
      </w:r>
    </w:p>
    <w:p>
      <w:pPr>
        <w:spacing w:before="29" w:line="288" w:lineRule="auto"/>
        <w:ind w:firstLine="480" w:firstLineChars="200"/>
        <w:rPr>
          <w:color w:val="000000"/>
          <w:sz w:val="24"/>
          <w:szCs w:val="24"/>
        </w:rPr>
      </w:pPr>
      <w:r>
        <w:rPr>
          <w:color w:val="000000"/>
          <w:sz w:val="24"/>
          <w:szCs w:val="24"/>
        </w:rPr>
        <w:t>现行的政策都在促使经济长期的良性发展，假以时日或可看到施行效果，比如抑制房地产投资和购买冲动、压缩负债、鼓励发展硬科技等。本组合大部分持仓与贸易战关联较小，主要选择子行业景气、业绩持续增长的个股，大部分集中于科技行业。</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展望四季度，我们仍然看好现已布局的行业的景气度，计划维持持仓。</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 主要财务指标” 及“3.2.1本报告期基金份额净值增长率及其与同期业绩比较基准收益率的比较”部分披露。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rsidRPr="007B5F21">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tbl>
      <w:tblPr>
        <w:tblStyle w:val="af7"/>
        <w:tblW w:type="dxa" w:w="8897"/>
        <w:tblInd w:type="dxa" w:w="108"/>
        <w:tblLayout w:type="fixed"/>
        <w:tblLook w:val="04A0"/>
      </w:tblPr>
      <w:tblGrid>
        <w:gridCol w:w="720"/>
        <w:gridCol w:w="2824"/>
        <w:gridCol w:w="2552"/>
        <w:gridCol w:w="2801"/>
      </w:tblGrid>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824"/>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r w:rsidRPr="007B5F21">
              <w:rPr>
                <w:rFonts w:eastAsiaTheme="minorEastAsia"/>
                <w:color w:themeColor="text1" w:val="000000"/>
                <w:sz w:val="24"/>
                <w:szCs w:val="24"/>
              </w:rPr>
              <w:t>(</w:t>
            </w:r>
            <w:r w:rsidRPr="007B5F21">
              <w:rPr>
                <w:rFonts w:eastAsiaTheme="minorEastAsia"/>
                <w:color w:themeColor="text1" w:val="000000"/>
                <w:sz w:val="24"/>
                <w:szCs w:val="24"/>
              </w:rPr>
              <w:t>元</w:t>
            </w: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1</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238,470,212.12</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92.95</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238,470,212.12</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92.95</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9,949,000.00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3.88</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9,949,000.00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3.88</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824"/>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6,067,918.67</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2.37</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2,075,652.84</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0.81</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256,562,783.63</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rsidRPr="00F51C4E">
      <w:pPr>
        <w:rPr>
          <w:b/>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公允价值（元）</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94,254,234.38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37.45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104,947,018.69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41.70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26,875,789.93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10.68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12,393,169.12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4.92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238,470,212.12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94.75</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000977</w:t>
            </w:r>
          </w:p>
        </w:tc>
        <w:tc>
          <w:tcPr>
            <w:vAlign w:val="center"/>
          </w:tcPr>
          <w:p>
            <w:pPr>
              <w:jc w:val="center"/>
            </w:pPr>
            <w:r>
              <w:rPr>
                <w:color w:val="000000"/>
                <w:sz w:val="24"/>
                <w:szCs w:val="24"/>
              </w:rPr>
              <w:t>浪潮信息</w:t>
            </w:r>
          </w:p>
        </w:tc>
        <w:tc>
          <w:tcPr>
            <w:vAlign w:val="center"/>
          </w:tcPr>
          <w:p>
            <w:pPr>
              <w:jc w:val="right"/>
            </w:pPr>
            <w:r>
              <w:rPr>
                <w:color w:val="000000"/>
                <w:sz w:val="24"/>
                <w:szCs w:val="24"/>
              </w:rPr>
              <w:t>959,652</w:t>
            </w:r>
          </w:p>
        </w:tc>
        <w:tc>
          <w:tcPr>
            <w:vAlign w:val="center"/>
          </w:tcPr>
          <w:p>
            <w:pPr>
              <w:jc w:val="right"/>
            </w:pPr>
            <w:r>
              <w:rPr>
                <w:color w:val="000000"/>
                <w:sz w:val="24"/>
                <w:szCs w:val="24"/>
              </w:rPr>
              <w:t>23,108,420.16</w:t>
            </w:r>
          </w:p>
        </w:tc>
        <w:tc>
          <w:tcPr>
            <w:vAlign w:val="center"/>
          </w:tcPr>
          <w:p>
            <w:pPr>
              <w:jc w:val="right"/>
            </w:pPr>
            <w:r>
              <w:rPr>
                <w:color w:val="000000"/>
                <w:sz w:val="24"/>
                <w:szCs w:val="24"/>
              </w:rPr>
              <w:t>9.18</w:t>
            </w:r>
          </w:p>
        </w:tc>
      </w:tr>
      <w:tr>
        <w:tc>
          <w:tcPr>
            <w:vAlign w:val="center"/>
          </w:tcPr>
          <w:p>
            <w:pPr>
              <w:jc w:val="center"/>
            </w:pPr>
            <w:r>
              <w:rPr>
                <w:color w:val="000000"/>
                <w:sz w:val="24"/>
                <w:szCs w:val="24"/>
              </w:rPr>
              <w:t>2</w:t>
            </w:r>
          </w:p>
        </w:tc>
        <w:tc>
          <w:tcPr>
            <w:vAlign w:val="center"/>
          </w:tcPr>
          <w:p>
            <w:pPr>
              <w:jc w:val="center"/>
            </w:pPr>
            <w:r>
              <w:rPr>
                <w:color w:val="000000"/>
                <w:sz w:val="24"/>
                <w:szCs w:val="24"/>
              </w:rPr>
              <w:t>300365</w:t>
            </w:r>
          </w:p>
        </w:tc>
        <w:tc>
          <w:tcPr>
            <w:vAlign w:val="center"/>
          </w:tcPr>
          <w:p>
            <w:pPr>
              <w:jc w:val="center"/>
            </w:pPr>
            <w:r>
              <w:rPr>
                <w:color w:val="000000"/>
                <w:sz w:val="24"/>
                <w:szCs w:val="24"/>
              </w:rPr>
              <w:t>恒华科技</w:t>
            </w:r>
          </w:p>
        </w:tc>
        <w:tc>
          <w:tcPr>
            <w:vAlign w:val="center"/>
          </w:tcPr>
          <w:p>
            <w:pPr>
              <w:jc w:val="right"/>
            </w:pPr>
            <w:r>
              <w:rPr>
                <w:color w:val="000000"/>
                <w:sz w:val="24"/>
                <w:szCs w:val="24"/>
              </w:rPr>
              <w:t>925,760</w:t>
            </w:r>
          </w:p>
        </w:tc>
        <w:tc>
          <w:tcPr>
            <w:vAlign w:val="center"/>
          </w:tcPr>
          <w:p>
            <w:pPr>
              <w:jc w:val="right"/>
            </w:pPr>
            <w:r>
              <w:rPr>
                <w:color w:val="000000"/>
                <w:sz w:val="24"/>
                <w:szCs w:val="24"/>
              </w:rPr>
              <w:t>22,847,756.80</w:t>
            </w:r>
          </w:p>
        </w:tc>
        <w:tc>
          <w:tcPr>
            <w:vAlign w:val="center"/>
          </w:tcPr>
          <w:p>
            <w:pPr>
              <w:jc w:val="right"/>
            </w:pPr>
            <w:r>
              <w:rPr>
                <w:color w:val="000000"/>
                <w:sz w:val="24"/>
                <w:szCs w:val="24"/>
              </w:rPr>
              <w:t>9.08</w:t>
            </w:r>
          </w:p>
        </w:tc>
      </w:tr>
      <w:tr>
        <w:tc>
          <w:tcPr>
            <w:vAlign w:val="center"/>
          </w:tcPr>
          <w:p>
            <w:pPr>
              <w:jc w:val="center"/>
            </w:pPr>
            <w:r>
              <w:rPr>
                <w:color w:val="000000"/>
                <w:sz w:val="24"/>
                <w:szCs w:val="24"/>
              </w:rPr>
              <w:t>3</w:t>
            </w:r>
          </w:p>
        </w:tc>
        <w:tc>
          <w:tcPr>
            <w:vAlign w:val="center"/>
          </w:tcPr>
          <w:p>
            <w:pPr>
              <w:jc w:val="center"/>
            </w:pPr>
            <w:r>
              <w:rPr>
                <w:color w:val="000000"/>
                <w:sz w:val="24"/>
                <w:szCs w:val="24"/>
              </w:rPr>
              <w:t>300253</w:t>
            </w:r>
          </w:p>
        </w:tc>
        <w:tc>
          <w:tcPr>
            <w:vAlign w:val="center"/>
          </w:tcPr>
          <w:p>
            <w:pPr>
              <w:jc w:val="center"/>
            </w:pPr>
            <w:r>
              <w:rPr>
                <w:color w:val="000000"/>
                <w:sz w:val="24"/>
                <w:szCs w:val="24"/>
              </w:rPr>
              <w:t>卫宁健康</w:t>
            </w:r>
          </w:p>
        </w:tc>
        <w:tc>
          <w:tcPr>
            <w:vAlign w:val="center"/>
          </w:tcPr>
          <w:p>
            <w:pPr>
              <w:jc w:val="right"/>
            </w:pPr>
            <w:r>
              <w:rPr>
                <w:color w:val="000000"/>
                <w:sz w:val="24"/>
                <w:szCs w:val="24"/>
              </w:rPr>
              <w:t>1,570,158</w:t>
            </w:r>
          </w:p>
        </w:tc>
        <w:tc>
          <w:tcPr>
            <w:vAlign w:val="center"/>
          </w:tcPr>
          <w:p>
            <w:pPr>
              <w:jc w:val="right"/>
            </w:pPr>
            <w:r>
              <w:rPr>
                <w:color w:val="000000"/>
                <w:sz w:val="24"/>
                <w:szCs w:val="24"/>
              </w:rPr>
              <w:t>22,641,678.36</w:t>
            </w:r>
          </w:p>
        </w:tc>
        <w:tc>
          <w:tcPr>
            <w:vAlign w:val="center"/>
          </w:tcPr>
          <w:p>
            <w:pPr>
              <w:jc w:val="right"/>
            </w:pPr>
            <w:r>
              <w:rPr>
                <w:color w:val="000000"/>
                <w:sz w:val="24"/>
                <w:szCs w:val="24"/>
              </w:rPr>
              <w:t>9.00</w:t>
            </w:r>
          </w:p>
        </w:tc>
      </w:tr>
      <w:tr>
        <w:tc>
          <w:tcPr>
            <w:vAlign w:val="center"/>
          </w:tcPr>
          <w:p>
            <w:pPr>
              <w:jc w:val="center"/>
            </w:pPr>
            <w:r>
              <w:rPr>
                <w:color w:val="000000"/>
                <w:sz w:val="24"/>
                <w:szCs w:val="24"/>
              </w:rPr>
              <w:t>4</w:t>
            </w:r>
          </w:p>
        </w:tc>
        <w:tc>
          <w:tcPr>
            <w:vAlign w:val="center"/>
          </w:tcPr>
          <w:p>
            <w:pPr>
              <w:jc w:val="center"/>
            </w:pPr>
            <w:r>
              <w:rPr>
                <w:color w:val="000000"/>
                <w:sz w:val="24"/>
                <w:szCs w:val="24"/>
              </w:rPr>
              <w:t>300572</w:t>
            </w:r>
          </w:p>
        </w:tc>
        <w:tc>
          <w:tcPr>
            <w:vAlign w:val="center"/>
          </w:tcPr>
          <w:p>
            <w:pPr>
              <w:jc w:val="center"/>
            </w:pPr>
            <w:r>
              <w:rPr>
                <w:color w:val="000000"/>
                <w:sz w:val="24"/>
                <w:szCs w:val="24"/>
              </w:rPr>
              <w:t>安车检测</w:t>
            </w:r>
          </w:p>
        </w:tc>
        <w:tc>
          <w:tcPr>
            <w:vAlign w:val="center"/>
          </w:tcPr>
          <w:p>
            <w:pPr>
              <w:jc w:val="right"/>
            </w:pPr>
            <w:r>
              <w:rPr>
                <w:color w:val="000000"/>
                <w:sz w:val="24"/>
                <w:szCs w:val="24"/>
              </w:rPr>
              <w:t>380,673</w:t>
            </w:r>
          </w:p>
        </w:tc>
        <w:tc>
          <w:tcPr>
            <w:vAlign w:val="center"/>
          </w:tcPr>
          <w:p>
            <w:pPr>
              <w:jc w:val="right"/>
            </w:pPr>
            <w:r>
              <w:rPr>
                <w:color w:val="000000"/>
                <w:sz w:val="24"/>
                <w:szCs w:val="24"/>
              </w:rPr>
              <w:t>16,814,326.41</w:t>
            </w:r>
          </w:p>
        </w:tc>
        <w:tc>
          <w:tcPr>
            <w:vAlign w:val="center"/>
          </w:tcPr>
          <w:p>
            <w:pPr>
              <w:jc w:val="right"/>
            </w:pPr>
            <w:r>
              <w:rPr>
                <w:color w:val="000000"/>
                <w:sz w:val="24"/>
                <w:szCs w:val="24"/>
              </w:rPr>
              <w:t>6.68</w:t>
            </w:r>
          </w:p>
        </w:tc>
      </w:tr>
      <w:tr>
        <w:tc>
          <w:tcPr>
            <w:vAlign w:val="center"/>
          </w:tcPr>
          <w:p>
            <w:pPr>
              <w:jc w:val="center"/>
            </w:pPr>
            <w:r>
              <w:rPr>
                <w:color w:val="000000"/>
                <w:sz w:val="24"/>
                <w:szCs w:val="24"/>
              </w:rPr>
              <w:t>5</w:t>
            </w:r>
          </w:p>
        </w:tc>
        <w:tc>
          <w:tcPr>
            <w:vAlign w:val="center"/>
          </w:tcPr>
          <w:p>
            <w:pPr>
              <w:jc w:val="center"/>
            </w:pPr>
            <w:r>
              <w:rPr>
                <w:color w:val="000000"/>
                <w:sz w:val="24"/>
                <w:szCs w:val="24"/>
              </w:rPr>
              <w:t>002371</w:t>
            </w:r>
          </w:p>
        </w:tc>
        <w:tc>
          <w:tcPr>
            <w:vAlign w:val="center"/>
          </w:tcPr>
          <w:p>
            <w:pPr>
              <w:jc w:val="center"/>
            </w:pPr>
            <w:r>
              <w:rPr>
                <w:color w:val="000000"/>
                <w:sz w:val="24"/>
                <w:szCs w:val="24"/>
              </w:rPr>
              <w:t>北方华创</w:t>
            </w:r>
          </w:p>
        </w:tc>
        <w:tc>
          <w:tcPr>
            <w:vAlign w:val="center"/>
          </w:tcPr>
          <w:p>
            <w:pPr>
              <w:jc w:val="right"/>
            </w:pPr>
            <w:r>
              <w:rPr>
                <w:color w:val="000000"/>
                <w:sz w:val="24"/>
                <w:szCs w:val="24"/>
              </w:rPr>
              <w:t>324,719</w:t>
            </w:r>
          </w:p>
        </w:tc>
        <w:tc>
          <w:tcPr>
            <w:vAlign w:val="center"/>
          </w:tcPr>
          <w:p>
            <w:pPr>
              <w:jc w:val="right"/>
            </w:pPr>
            <w:r>
              <w:rPr>
                <w:color w:val="000000"/>
                <w:sz w:val="24"/>
                <w:szCs w:val="24"/>
              </w:rPr>
              <w:t>15,281,276.14</w:t>
            </w:r>
          </w:p>
        </w:tc>
        <w:tc>
          <w:tcPr>
            <w:vAlign w:val="center"/>
          </w:tcPr>
          <w:p>
            <w:pPr>
              <w:jc w:val="right"/>
            </w:pPr>
            <w:r>
              <w:rPr>
                <w:color w:val="000000"/>
                <w:sz w:val="24"/>
                <w:szCs w:val="24"/>
              </w:rPr>
              <w:t>6.07</w:t>
            </w:r>
          </w:p>
        </w:tc>
      </w:tr>
      <w:tr>
        <w:tc>
          <w:tcPr>
            <w:vAlign w:val="center"/>
          </w:tcPr>
          <w:p>
            <w:pPr>
              <w:jc w:val="center"/>
            </w:pPr>
            <w:r>
              <w:rPr>
                <w:color w:val="000000"/>
                <w:sz w:val="24"/>
                <w:szCs w:val="24"/>
              </w:rPr>
              <w:t>6</w:t>
            </w:r>
          </w:p>
        </w:tc>
        <w:tc>
          <w:tcPr>
            <w:vAlign w:val="center"/>
          </w:tcPr>
          <w:p>
            <w:pPr>
              <w:jc w:val="center"/>
            </w:pPr>
            <w:r>
              <w:rPr>
                <w:color w:val="000000"/>
                <w:sz w:val="24"/>
                <w:szCs w:val="24"/>
              </w:rPr>
              <w:t>600048</w:t>
            </w:r>
          </w:p>
        </w:tc>
        <w:tc>
          <w:tcPr>
            <w:vAlign w:val="center"/>
          </w:tcPr>
          <w:p>
            <w:pPr>
              <w:jc w:val="center"/>
            </w:pPr>
            <w:r>
              <w:rPr>
                <w:color w:val="000000"/>
                <w:sz w:val="24"/>
                <w:szCs w:val="24"/>
              </w:rPr>
              <w:t>保利地产</w:t>
            </w:r>
          </w:p>
        </w:tc>
        <w:tc>
          <w:tcPr>
            <w:vAlign w:val="center"/>
          </w:tcPr>
          <w:p>
            <w:pPr>
              <w:jc w:val="right"/>
            </w:pPr>
            <w:r>
              <w:rPr>
                <w:color w:val="000000"/>
                <w:sz w:val="24"/>
                <w:szCs w:val="24"/>
              </w:rPr>
              <w:t>1,192,829</w:t>
            </w:r>
          </w:p>
        </w:tc>
        <w:tc>
          <w:tcPr>
            <w:vAlign w:val="center"/>
          </w:tcPr>
          <w:p>
            <w:pPr>
              <w:jc w:val="right"/>
            </w:pPr>
            <w:r>
              <w:rPr>
                <w:color w:val="000000"/>
                <w:sz w:val="24"/>
                <w:szCs w:val="24"/>
              </w:rPr>
              <w:t>14,516,728.93</w:t>
            </w:r>
          </w:p>
        </w:tc>
        <w:tc>
          <w:tcPr>
            <w:vAlign w:val="center"/>
          </w:tcPr>
          <w:p>
            <w:pPr>
              <w:jc w:val="right"/>
            </w:pPr>
            <w:r>
              <w:rPr>
                <w:color w:val="000000"/>
                <w:sz w:val="24"/>
                <w:szCs w:val="24"/>
              </w:rPr>
              <w:t>5.77</w:t>
            </w:r>
          </w:p>
        </w:tc>
      </w:tr>
      <w:tr>
        <w:tc>
          <w:tcPr>
            <w:vAlign w:val="center"/>
          </w:tcPr>
          <w:p>
            <w:pPr>
              <w:jc w:val="center"/>
            </w:pPr>
            <w:r>
              <w:rPr>
                <w:color w:val="000000"/>
                <w:sz w:val="24"/>
                <w:szCs w:val="24"/>
              </w:rPr>
              <w:t>7</w:t>
            </w:r>
          </w:p>
        </w:tc>
        <w:tc>
          <w:tcPr>
            <w:vAlign w:val="center"/>
          </w:tcPr>
          <w:p>
            <w:pPr>
              <w:jc w:val="center"/>
            </w:pPr>
            <w:r>
              <w:rPr>
                <w:color w:val="000000"/>
                <w:sz w:val="24"/>
                <w:szCs w:val="24"/>
              </w:rPr>
              <w:t>300012</w:t>
            </w:r>
          </w:p>
        </w:tc>
        <w:tc>
          <w:tcPr>
            <w:vAlign w:val="center"/>
          </w:tcPr>
          <w:p>
            <w:pPr>
              <w:jc w:val="center"/>
            </w:pPr>
            <w:r>
              <w:rPr>
                <w:color w:val="000000"/>
                <w:sz w:val="24"/>
                <w:szCs w:val="24"/>
              </w:rPr>
              <w:t>华测检测</w:t>
            </w:r>
          </w:p>
        </w:tc>
        <w:tc>
          <w:tcPr>
            <w:vAlign w:val="center"/>
          </w:tcPr>
          <w:p>
            <w:pPr>
              <w:jc w:val="right"/>
            </w:pPr>
            <w:r>
              <w:rPr>
                <w:color w:val="000000"/>
                <w:sz w:val="24"/>
                <w:szCs w:val="24"/>
              </w:rPr>
              <w:t>2,122,118</w:t>
            </w:r>
          </w:p>
        </w:tc>
        <w:tc>
          <w:tcPr>
            <w:vAlign w:val="center"/>
          </w:tcPr>
          <w:p>
            <w:pPr>
              <w:jc w:val="right"/>
            </w:pPr>
            <w:r>
              <w:rPr>
                <w:color w:val="000000"/>
                <w:sz w:val="24"/>
                <w:szCs w:val="24"/>
              </w:rPr>
              <w:t>12,393,169.12</w:t>
            </w:r>
          </w:p>
        </w:tc>
        <w:tc>
          <w:tcPr>
            <w:vAlign w:val="center"/>
          </w:tcPr>
          <w:p>
            <w:pPr>
              <w:jc w:val="right"/>
            </w:pPr>
            <w:r>
              <w:rPr>
                <w:color w:val="000000"/>
                <w:sz w:val="24"/>
                <w:szCs w:val="24"/>
              </w:rPr>
              <w:t>4.92</w:t>
            </w:r>
          </w:p>
        </w:tc>
      </w:tr>
      <w:tr>
        <w:tc>
          <w:tcPr>
            <w:vAlign w:val="center"/>
          </w:tcPr>
          <w:p>
            <w:pPr>
              <w:jc w:val="center"/>
            </w:pPr>
            <w:r>
              <w:rPr>
                <w:color w:val="000000"/>
                <w:sz w:val="24"/>
                <w:szCs w:val="24"/>
              </w:rPr>
              <w:t>8</w:t>
            </w:r>
          </w:p>
        </w:tc>
        <w:tc>
          <w:tcPr>
            <w:vAlign w:val="center"/>
          </w:tcPr>
          <w:p>
            <w:pPr>
              <w:jc w:val="center"/>
            </w:pPr>
            <w:r>
              <w:rPr>
                <w:color w:val="000000"/>
                <w:sz w:val="24"/>
                <w:szCs w:val="24"/>
              </w:rPr>
              <w:t>601155</w:t>
            </w:r>
          </w:p>
        </w:tc>
        <w:tc>
          <w:tcPr>
            <w:vAlign w:val="center"/>
          </w:tcPr>
          <w:p>
            <w:pPr>
              <w:jc w:val="center"/>
            </w:pPr>
            <w:r>
              <w:rPr>
                <w:color w:val="000000"/>
                <w:sz w:val="24"/>
                <w:szCs w:val="24"/>
              </w:rPr>
              <w:t>新城控股</w:t>
            </w:r>
          </w:p>
        </w:tc>
        <w:tc>
          <w:tcPr>
            <w:vAlign w:val="center"/>
          </w:tcPr>
          <w:p>
            <w:pPr>
              <w:jc w:val="right"/>
            </w:pPr>
            <w:r>
              <w:rPr>
                <w:color w:val="000000"/>
                <w:sz w:val="24"/>
                <w:szCs w:val="24"/>
              </w:rPr>
              <w:t>471,900</w:t>
            </w:r>
          </w:p>
        </w:tc>
        <w:tc>
          <w:tcPr>
            <w:vAlign w:val="center"/>
          </w:tcPr>
          <w:p>
            <w:pPr>
              <w:jc w:val="right"/>
            </w:pPr>
            <w:r>
              <w:rPr>
                <w:color w:val="000000"/>
                <w:sz w:val="24"/>
                <w:szCs w:val="24"/>
              </w:rPr>
              <w:t>12,359,061.00</w:t>
            </w:r>
          </w:p>
        </w:tc>
        <w:tc>
          <w:tcPr>
            <w:vAlign w:val="center"/>
          </w:tcPr>
          <w:p>
            <w:pPr>
              <w:jc w:val="right"/>
            </w:pPr>
            <w:r>
              <w:rPr>
                <w:color w:val="000000"/>
                <w:sz w:val="24"/>
                <w:szCs w:val="24"/>
              </w:rPr>
              <w:t>4.91</w:t>
            </w:r>
          </w:p>
        </w:tc>
      </w:tr>
      <w:tr>
        <w:tc>
          <w:tcPr>
            <w:vAlign w:val="center"/>
          </w:tcPr>
          <w:p>
            <w:pPr>
              <w:jc w:val="center"/>
            </w:pPr>
            <w:r>
              <w:rPr>
                <w:color w:val="000000"/>
                <w:sz w:val="24"/>
                <w:szCs w:val="24"/>
              </w:rPr>
              <w:t>9</w:t>
            </w:r>
          </w:p>
        </w:tc>
        <w:tc>
          <w:tcPr>
            <w:vAlign w:val="center"/>
          </w:tcPr>
          <w:p>
            <w:pPr>
              <w:jc w:val="center"/>
            </w:pPr>
            <w:r>
              <w:rPr>
                <w:color w:val="000000"/>
                <w:sz w:val="24"/>
                <w:szCs w:val="24"/>
              </w:rPr>
              <w:t>300212</w:t>
            </w:r>
          </w:p>
        </w:tc>
        <w:tc>
          <w:tcPr>
            <w:vAlign w:val="center"/>
          </w:tcPr>
          <w:p>
            <w:pPr>
              <w:jc w:val="center"/>
            </w:pPr>
            <w:r>
              <w:rPr>
                <w:color w:val="000000"/>
                <w:sz w:val="24"/>
                <w:szCs w:val="24"/>
              </w:rPr>
              <w:t>易华录</w:t>
            </w:r>
          </w:p>
        </w:tc>
        <w:tc>
          <w:tcPr>
            <w:vAlign w:val="center"/>
          </w:tcPr>
          <w:p>
            <w:pPr>
              <w:jc w:val="right"/>
            </w:pPr>
            <w:r>
              <w:rPr>
                <w:color w:val="000000"/>
                <w:sz w:val="24"/>
                <w:szCs w:val="24"/>
              </w:rPr>
              <w:t>410,374</w:t>
            </w:r>
          </w:p>
        </w:tc>
        <w:tc>
          <w:tcPr>
            <w:vAlign w:val="center"/>
          </w:tcPr>
          <w:p>
            <w:pPr>
              <w:jc w:val="right"/>
            </w:pPr>
            <w:r>
              <w:rPr>
                <w:color w:val="000000"/>
                <w:sz w:val="24"/>
                <w:szCs w:val="24"/>
              </w:rPr>
              <w:t>9,602,751.60</w:t>
            </w:r>
          </w:p>
        </w:tc>
        <w:tc>
          <w:tcPr>
            <w:vAlign w:val="center"/>
          </w:tcPr>
          <w:p>
            <w:pPr>
              <w:jc w:val="right"/>
            </w:pPr>
            <w:r>
              <w:rPr>
                <w:color w:val="000000"/>
                <w:sz w:val="24"/>
                <w:szCs w:val="24"/>
              </w:rPr>
              <w:t>3.82</w:t>
            </w:r>
          </w:p>
        </w:tc>
      </w:tr>
      <w:tr>
        <w:tc>
          <w:tcPr>
            <w:vAlign w:val="center"/>
          </w:tcPr>
          <w:p>
            <w:pPr>
              <w:jc w:val="center"/>
            </w:pPr>
            <w:r>
              <w:rPr>
                <w:color w:val="000000"/>
                <w:sz w:val="24"/>
                <w:szCs w:val="24"/>
              </w:rPr>
              <w:t>10</w:t>
            </w:r>
          </w:p>
        </w:tc>
        <w:tc>
          <w:tcPr>
            <w:vAlign w:val="center"/>
          </w:tcPr>
          <w:p>
            <w:pPr>
              <w:jc w:val="center"/>
            </w:pPr>
            <w:r>
              <w:rPr>
                <w:color w:val="000000"/>
                <w:sz w:val="24"/>
                <w:szCs w:val="24"/>
              </w:rPr>
              <w:t>600536</w:t>
            </w:r>
          </w:p>
        </w:tc>
        <w:tc>
          <w:tcPr>
            <w:vAlign w:val="center"/>
          </w:tcPr>
          <w:p>
            <w:pPr>
              <w:jc w:val="center"/>
            </w:pPr>
            <w:r>
              <w:rPr>
                <w:color w:val="000000"/>
                <w:sz w:val="24"/>
                <w:szCs w:val="24"/>
              </w:rPr>
              <w:t>中国软件</w:t>
            </w:r>
          </w:p>
        </w:tc>
        <w:tc>
          <w:tcPr>
            <w:vAlign w:val="center"/>
          </w:tcPr>
          <w:p>
            <w:pPr>
              <w:jc w:val="right"/>
            </w:pPr>
            <w:r>
              <w:rPr>
                <w:color w:val="000000"/>
                <w:sz w:val="24"/>
                <w:szCs w:val="24"/>
              </w:rPr>
              <w:t>314,300</w:t>
            </w:r>
          </w:p>
        </w:tc>
        <w:tc>
          <w:tcPr>
            <w:vAlign w:val="center"/>
          </w:tcPr>
          <w:p>
            <w:pPr>
              <w:jc w:val="right"/>
            </w:pPr>
            <w:r>
              <w:rPr>
                <w:color w:val="000000"/>
                <w:sz w:val="24"/>
                <w:szCs w:val="24"/>
              </w:rPr>
              <w:t>9,161,845.00</w:t>
            </w:r>
          </w:p>
        </w:tc>
        <w:tc>
          <w:tcPr>
            <w:vAlign w:val="center"/>
          </w:tcPr>
          <w:p>
            <w:pPr>
              <w:jc w:val="right"/>
            </w:pPr>
            <w:r>
              <w:rPr>
                <w:color w:val="000000"/>
                <w:sz w:val="24"/>
                <w:szCs w:val="24"/>
              </w:rPr>
              <w:t>3.64</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type="dxa" w:w="8868"/>
        <w:jc w:val="center"/>
        <w:tblLayout w:type="fixed"/>
        <w:tblLook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9,949,000.00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3.95</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9,949,000.00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3.95</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type="dxa" w:w="8868"/>
        <w:jc w:val="center"/>
        <w:tblLayout w:type="fixed"/>
        <w:tblCellMar>
          <w:top w:type="dxa" w:w="57"/>
          <w:bottom w:type="dxa" w:w="57"/>
        </w:tblCellMar>
        <w:tblLook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189937</w:t>
            </w:r>
          </w:p>
        </w:tc>
        <w:tc>
          <w:tcPr>
            <w:vAlign w:val="center"/>
          </w:tcPr>
          <w:p>
            <w:pPr>
              <w:jc w:val="center"/>
            </w:pPr>
            <w:r>
              <w:rPr>
                <w:color w:val="000000"/>
                <w:sz w:val="24"/>
                <w:szCs w:val="24"/>
              </w:rPr>
              <w:t>18贴现国债37</w:t>
            </w:r>
          </w:p>
        </w:tc>
        <w:tc>
          <w:tcPr>
            <w:vAlign w:val="center"/>
          </w:tcPr>
          <w:p>
            <w:pPr>
              <w:jc w:val="right"/>
            </w:pPr>
            <w:r>
              <w:rPr>
                <w:color w:val="000000"/>
                <w:sz w:val="24"/>
                <w:szCs w:val="24"/>
              </w:rPr>
              <w:t>100,000</w:t>
            </w:r>
          </w:p>
        </w:tc>
        <w:tc>
          <w:tcPr>
            <w:vAlign w:val="center"/>
          </w:tcPr>
          <w:p>
            <w:pPr>
              <w:jc w:val="right"/>
            </w:pPr>
            <w:r>
              <w:rPr>
                <w:color w:val="000000"/>
                <w:sz w:val="24"/>
                <w:szCs w:val="24"/>
              </w:rPr>
              <w:t>9,949,000.00</w:t>
            </w:r>
          </w:p>
        </w:tc>
        <w:tc>
          <w:tcPr>
            <w:vAlign w:val="center"/>
          </w:tcPr>
          <w:p>
            <w:pPr>
              <w:jc w:val="right"/>
            </w:pPr>
            <w:r>
              <w:rPr>
                <w:color w:val="000000"/>
                <w:sz w:val="24"/>
                <w:szCs w:val="24"/>
              </w:rPr>
              <w:t>3.95</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sz w:val="24"/>
          <w:szCs w:val="24"/>
        </w:rPr>
      </w:pP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lastRenderedPageBreak/>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horzAnchor="margin" w:leftFromText="180" w:rightFromText="180" w:tblpXSpec="center" w:tblpY="265" w:vertAnchor="text"/>
        <w:tblW w:type="dxa" w:w="8868"/>
        <w:jc w:val="center"/>
        <w:tblLayout w:type="fixed"/>
        <w:tblCellMar>
          <w:top w:type="dxa" w:w="-1"/>
          <w:bottom w:type="dxa" w:w="-1"/>
        </w:tblCellMar>
        <w:tblLook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64,759.46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28,636.20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1,982,257.18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2,075,652.84</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11537B" w:rsidR="001F3E2A" w:rsidRDefault="001F3E2A" w:rsidRPr="00575270">
      <w:pPr>
        <w:pStyle w:val="1"/>
        <w:spacing w:afterLines="100" w:beforeLines="100" w:line="360" w:lineRule="auto"/>
        <w:jc w:val="center"/>
        <w:rPr>
          <w:rFonts w:eastAsiaTheme="minorEastAsia"/>
          <w:color w:themeColor="text1" w:val="000000"/>
          <w:kern w:val="0"/>
          <w:sz w:val="24"/>
          <w:szCs w:val="24"/>
        </w:rPr>
      </w:pPr>
      <w:r w:rsidRPr="00575270">
        <w:rPr>
          <w:rFonts w:eastAsiaTheme="minorEastAsia"/>
          <w:color w:themeColor="text1" w:val="000000"/>
          <w:kern w:val="0"/>
          <w:sz w:val="24"/>
          <w:szCs w:val="24"/>
        </w:rPr>
        <w:lastRenderedPageBreak/>
        <w:t>§6</w:t>
      </w:r>
      <w:r w:rsidRPr="00575270">
        <w:rPr>
          <w:rFonts w:eastAsiaTheme="minorEastAsia" w:hint="eastAsia"/>
          <w:color w:themeColor="text1" w:val="000000"/>
          <w:kern w:val="0"/>
          <w:sz w:val="24"/>
          <w:szCs w:val="24"/>
        </w:rPr>
        <w:t xml:space="preserve">  </w:t>
      </w:r>
      <w:r w:rsidRPr="00575270">
        <w:rPr>
          <w:rFonts w:eastAsiaTheme="minorEastAsia" w:hint="eastAsia"/>
          <w:color w:themeColor="text1" w:val="000000"/>
          <w:kern w:val="0"/>
          <w:sz w:val="24"/>
          <w:szCs w:val="24"/>
        </w:rPr>
        <w:t>基金中基金</w:t>
      </w:r>
    </w:p>
    <w:p w:rsidP="001F3E2A" w:rsidR="001F3E2A" w:rsidRDefault="001F3E2A" w:rsidRPr="00575270">
      <w:pPr>
        <w:adjustRightInd w:val="0"/>
        <w:snapToGrid w:val="0"/>
        <w:spacing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1</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报告期末按公允价值占基金资产净值比例大小排序的前十名基金投资明细</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本基金本报告期末未持有基金。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2</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当期交易及持有基金产生的费用</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本基金本报告期内未交易或持有基金。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3</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本报告期持有的基金发生的重大影响事件</w:t>
      </w:r>
    </w:p>
    <w:tbl>
      <w:tblPr>
        <w:tblStyle w:val="af7"/>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val="04A0"/>
      </w:tblPr>
      <w:tblGrid>
        <w:gridCol w:w="9242"/>
      </w:tblGrid>
      <w:tr w:rsidR="001F3E2A" w:rsidRPr="00575270" w:rsidTr="00D9393A">
        <w:tc>
          <w:tcPr>
            <w:tcW w:type="dxa" w:w="9036"/>
          </w:tcPr>
          <w:p w:rsidP="00CD14C0"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
            </w: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无。</w:t>
            </w:r>
          </w:p>
        </w:tc>
      </w:tr>
    </w:tbl>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Lines="100" w:beforeLines="100" w:line="360" w:lineRule="auto"/>
        <w:jc w:val="center"/>
        <w:rPr>
          <w:rFonts w:eastAsiaTheme="minorEastAsia"/>
          <w:color w:themeColor="text1" w:val="000000"/>
          <w:kern w:val="0"/>
          <w:sz w:val="24"/>
          <w:szCs w:val="24"/>
        </w:rPr>
      </w:pPr>
      <w:bookmarkStart w:id="2" w:name="_GoBack"/>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7</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bookmarkEnd w:id="2"/>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151,445,828.33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190,540,009.51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92,308,233.39</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249,677,604.45</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Lines="100"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8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8.1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Lines="100"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1、中国证监会准予交银施罗德科技创新灵活配置混合型证券投资基金募集注册的文件；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2、《交银施罗德科技创新灵活配置混合型证券投资基金基金合同》；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3、《交银施罗德科技创新灵活配置混合型证券投资基金招募说明书》；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4、《交银施罗德科技创新灵活配置混合型证券投资基金托管协议》；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5、关于申请募集注册交银施罗德科技创新灵活配置混合型证券投资基金的法律意见书；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8、报告期内交银施罗德科技创新灵活配置混合型证券投资基金在指定报刊上各项公告的原稿。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11537B">
      <w:rPr>
        <w:noProof/>
        <w:kern w:val="0"/>
        <w:szCs w:val="21"/>
      </w:rPr>
      <w:t>19</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11537B">
      <w:rPr>
        <w:noProof/>
        <w:kern w:val="0"/>
        <w:szCs w:val="21"/>
      </w:rPr>
      <w:t>25</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P="00876D65" w:rsidR="004B2AF4" w:rsidRDefault="004B2AF4">
      <w:r>
        <w:separator/>
      </w:r>
    </w:p>
  </w:footnote>
  <w:footnote w:id="0" w:type="continuationSeparator">
    <w:p w:rsidP="00876D65" w:rsidR="004B2AF4" w:rsidRDefault="004B2AF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090A26" w:rsidR="00171EF0" w:rsidRDefault="00DC456F" w:rsidRPr="00DC456F">
    <w:pPr>
      <w:pStyle w:val="a9"/>
      <w:pBdr>
        <w:bottom w:color="auto" w:space="0" w:sz="6" w:val="single"/>
      </w:pBdr>
      <w:jc w:val="right"/>
      <w:rPr>
        <w:sz w:val="24"/>
        <w:szCs w:val="24"/>
      </w:rPr>
    </w:pPr>
    <w:r w:rsidRPr="003E676C">
      <w:rPr>
        <w:sz w:val="24"/>
        <w:szCs w:val="24"/>
      </w:rPr>
      <w:t>交银施罗德科技创新灵活配置混合型证券投资基金2018年第3季度报告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nhideWhenUsed="0"/>
    <w:lsdException w:name="heading 2" w:qFormat="1"/>
    <w:lsdException w:name="heading 3" w:qFormat="1"/>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uiPriority="35"/>
    <w:lsdException w:name="footnote reference" w:uiPriority="0"/>
    <w:lsdException w:name="Title" w:qFormat="1" w:semiHidden="0" w:unhideWhenUsed="0"/>
    <w:lsdException w:name="Default Paragraph Font" w:uiPriority="1"/>
    <w:lsdException w:name="Subtitle" w:qFormat="1" w:semiHidden="0" w:uiPriority="11" w:unhideWhenUsed="0"/>
    <w:lsdException w:name="Date" w:uiPriority="0"/>
    <w:lsdException w:name="Strong" w:qFormat="1" w:semiHidden="0" w:uiPriority="22" w:unhideWhenUsed="0"/>
    <w:lsdException w:name="Emphasis" w:qFormat="1" w:semiHidden="0" w:uiPriority="20" w:unhideWhenUsed="0"/>
    <w:lsdException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65BAF-6A5D-4E6F-B945-BE15026D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25</Pages>
  <Words>4136</Words>
  <Characters>23578</Characters>
  <Application>Microsoft Office Word</Application>
  <DocSecurity>0</DocSecurity>
  <Lines>196</Lines>
  <Paragraphs>55</Paragraphs>
  <ScaleCrop>false</ScaleCrop>
  <Company/>
  <LinksUpToDate>false</LinksUpToDate>
  <CharactersWithSpaces>27659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Administrator</cp:lastModifiedBy>
  <dcterms:modified xsi:type="dcterms:W3CDTF">2018-09-13T02:58:00Z</dcterms:modified>
  <cp:revision>578</cp:revision>
</cp:coreProperties>
</file>