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交银施罗德安心收益债券型证券投资基金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C0219" w:rsidRDefault="0042253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交银安心收益债券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81,414,801.46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w:t>
            </w:r>
            <w:r w:rsidRPr="00414345">
              <w:rPr>
                <w:color w:val="000000"/>
                <w:kern w:val="0"/>
                <w:sz w:val="24"/>
                <w:szCs w:val="24"/>
              </w:rPr>
              <w:lastRenderedPageBreak/>
              <w:t>前提下，本基金适度关注股票、权证市场的运行状况与相应风险收益特征，有效把握投资机会，适时增强组合收益。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中债综合全价指数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22530" w:rsidRPr="00414345" w:rsidTr="0042253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22530" w:rsidRPr="00414345" w:rsidTr="0042253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-1,026,089.14</w:t>
            </w:r>
          </w:p>
        </w:tc>
      </w:tr>
      <w:tr w:rsidR="00422530" w:rsidRPr="00414345" w:rsidTr="0042253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-352,328.24</w:t>
            </w:r>
          </w:p>
        </w:tc>
      </w:tr>
      <w:tr w:rsidR="00422530" w:rsidRPr="00414345" w:rsidTr="0042253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-0.0040</w:t>
            </w:r>
          </w:p>
        </w:tc>
      </w:tr>
      <w:tr w:rsidR="00422530" w:rsidRPr="00414345" w:rsidTr="0042253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82,459,217.44</w:t>
            </w:r>
          </w:p>
        </w:tc>
      </w:tr>
      <w:tr w:rsidR="00422530" w:rsidRPr="00414345" w:rsidTr="0042253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1.013</w:t>
            </w:r>
          </w:p>
        </w:tc>
      </w:tr>
    </w:tbl>
    <w:p w:rsidR="005C0219" w:rsidRDefault="0042253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557F7D">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C0219">
        <w:trPr>
          <w:jc w:val="center"/>
        </w:trPr>
        <w:tc>
          <w:tcPr>
            <w:tcW w:w="1701" w:type="dxa"/>
            <w:vAlign w:val="center"/>
          </w:tcPr>
          <w:p w:rsidR="005C0219" w:rsidRDefault="00422530">
            <w:pPr>
              <w:jc w:val="left"/>
            </w:pPr>
            <w:r>
              <w:rPr>
                <w:color w:val="000000"/>
                <w:sz w:val="24"/>
                <w:szCs w:val="24"/>
              </w:rPr>
              <w:t>过去三个月</w:t>
            </w:r>
          </w:p>
        </w:tc>
        <w:tc>
          <w:tcPr>
            <w:tcW w:w="1045" w:type="dxa"/>
            <w:vAlign w:val="center"/>
          </w:tcPr>
          <w:p w:rsidR="005C0219" w:rsidRDefault="00422530">
            <w:pPr>
              <w:jc w:val="center"/>
            </w:pPr>
            <w:r>
              <w:rPr>
                <w:color w:val="000000"/>
                <w:sz w:val="24"/>
                <w:szCs w:val="24"/>
              </w:rPr>
              <w:t>-0.49%</w:t>
            </w:r>
          </w:p>
        </w:tc>
        <w:tc>
          <w:tcPr>
            <w:tcW w:w="1344" w:type="dxa"/>
            <w:vAlign w:val="center"/>
          </w:tcPr>
          <w:p w:rsidR="005C0219" w:rsidRDefault="00422530">
            <w:pPr>
              <w:jc w:val="center"/>
            </w:pPr>
            <w:r>
              <w:rPr>
                <w:color w:val="000000"/>
                <w:sz w:val="24"/>
                <w:szCs w:val="24"/>
              </w:rPr>
              <w:t>0.14%</w:t>
            </w:r>
          </w:p>
        </w:tc>
        <w:tc>
          <w:tcPr>
            <w:tcW w:w="1194" w:type="dxa"/>
            <w:vAlign w:val="center"/>
          </w:tcPr>
          <w:p w:rsidR="005C0219" w:rsidRDefault="00422530">
            <w:pPr>
              <w:jc w:val="center"/>
            </w:pPr>
            <w:r>
              <w:rPr>
                <w:color w:val="000000"/>
                <w:sz w:val="24"/>
                <w:szCs w:val="24"/>
              </w:rPr>
              <w:t>0.57%</w:t>
            </w:r>
          </w:p>
        </w:tc>
        <w:tc>
          <w:tcPr>
            <w:tcW w:w="1492" w:type="dxa"/>
            <w:vAlign w:val="center"/>
          </w:tcPr>
          <w:p w:rsidR="005C0219" w:rsidRDefault="00422530">
            <w:pPr>
              <w:jc w:val="center"/>
            </w:pPr>
            <w:r>
              <w:rPr>
                <w:color w:val="000000"/>
                <w:sz w:val="24"/>
                <w:szCs w:val="24"/>
              </w:rPr>
              <w:t>0.07%</w:t>
            </w:r>
          </w:p>
        </w:tc>
        <w:tc>
          <w:tcPr>
            <w:tcW w:w="1194" w:type="dxa"/>
            <w:vAlign w:val="center"/>
          </w:tcPr>
          <w:p w:rsidR="005C0219" w:rsidRDefault="00422530">
            <w:pPr>
              <w:jc w:val="center"/>
            </w:pPr>
            <w:r>
              <w:rPr>
                <w:color w:val="000000"/>
                <w:sz w:val="24"/>
                <w:szCs w:val="24"/>
              </w:rPr>
              <w:t>-1.06%</w:t>
            </w:r>
          </w:p>
        </w:tc>
        <w:tc>
          <w:tcPr>
            <w:tcW w:w="898" w:type="dxa"/>
            <w:vAlign w:val="center"/>
          </w:tcPr>
          <w:p w:rsidR="005C0219" w:rsidRDefault="00422530">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交银施罗德安心收益债券型证券投资基金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注：本基金由交银施罗德荣和保本混合型证券投资基金转型而来。本基金转型日为</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w:t>
      </w:r>
      <w:r w:rsidRPr="00414345">
        <w:rPr>
          <w:color w:val="000000"/>
          <w:sz w:val="24"/>
          <w:szCs w:val="24"/>
        </w:rPr>
        <w:t>日，基金转型日至报告期期末，本基金转型时间未满一年。本基金的投资转型期为交银施罗德荣和保本混合型证券投资基金保本周期到期期间截止日的次日（即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C0219">
        <w:trPr>
          <w:jc w:val="center"/>
        </w:trPr>
        <w:tc>
          <w:tcPr>
            <w:tcW w:w="846" w:type="dxa"/>
            <w:vAlign w:val="center"/>
          </w:tcPr>
          <w:p w:rsidR="005C0219" w:rsidRDefault="00422530">
            <w:pPr>
              <w:jc w:val="center"/>
            </w:pPr>
            <w:r>
              <w:rPr>
                <w:color w:val="000000"/>
                <w:sz w:val="24"/>
                <w:szCs w:val="24"/>
              </w:rPr>
              <w:t>唐赟</w:t>
            </w:r>
          </w:p>
        </w:tc>
        <w:tc>
          <w:tcPr>
            <w:tcW w:w="845" w:type="dxa"/>
            <w:vAlign w:val="center"/>
          </w:tcPr>
          <w:p w:rsidR="005C0219" w:rsidRDefault="00422530">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、交银双利债券、交银双轮动债券、交银裕通纯债债券、交银安心收益债券的基金经理</w:t>
            </w:r>
          </w:p>
        </w:tc>
        <w:tc>
          <w:tcPr>
            <w:tcW w:w="1549" w:type="dxa"/>
            <w:vAlign w:val="center"/>
          </w:tcPr>
          <w:p w:rsidR="005C0219" w:rsidRDefault="00422530">
            <w:pPr>
              <w:jc w:val="center"/>
            </w:pPr>
            <w:r>
              <w:rPr>
                <w:color w:val="000000"/>
                <w:sz w:val="24"/>
                <w:szCs w:val="24"/>
              </w:rPr>
              <w:t>2015-11-07</w:t>
            </w:r>
          </w:p>
        </w:tc>
        <w:tc>
          <w:tcPr>
            <w:tcW w:w="1548" w:type="dxa"/>
            <w:vAlign w:val="center"/>
          </w:tcPr>
          <w:p w:rsidR="005C0219" w:rsidRDefault="00422530">
            <w:pPr>
              <w:jc w:val="center"/>
            </w:pPr>
            <w:r>
              <w:rPr>
                <w:color w:val="000000"/>
                <w:sz w:val="24"/>
                <w:szCs w:val="24"/>
              </w:rPr>
              <w:t>-</w:t>
            </w:r>
          </w:p>
        </w:tc>
        <w:tc>
          <w:tcPr>
            <w:tcW w:w="1407" w:type="dxa"/>
            <w:vAlign w:val="center"/>
          </w:tcPr>
          <w:p w:rsidR="005C0219" w:rsidRDefault="004A3D33">
            <w:pPr>
              <w:jc w:val="center"/>
            </w:pPr>
            <w:r>
              <w:rPr>
                <w:color w:val="000000"/>
                <w:sz w:val="24"/>
                <w:szCs w:val="24"/>
              </w:rPr>
              <w:t>8</w:t>
            </w:r>
            <w:bookmarkStart w:id="0" w:name="_GoBack"/>
            <w:bookmarkEnd w:id="0"/>
            <w:r w:rsidR="00422530">
              <w:rPr>
                <w:color w:val="000000"/>
                <w:sz w:val="24"/>
                <w:szCs w:val="24"/>
              </w:rPr>
              <w:t>年</w:t>
            </w:r>
          </w:p>
        </w:tc>
        <w:tc>
          <w:tcPr>
            <w:tcW w:w="2673" w:type="dxa"/>
            <w:vAlign w:val="center"/>
          </w:tcPr>
          <w:p w:rsidR="005C0219" w:rsidRDefault="00422530">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C0219" w:rsidRDefault="0042253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C0219" w:rsidRDefault="0042253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C0219" w:rsidRDefault="0042253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C0219" w:rsidRDefault="00422530">
      <w:pPr>
        <w:spacing w:before="29" w:line="288" w:lineRule="auto"/>
        <w:ind w:firstLineChars="200" w:firstLine="480"/>
        <w:rPr>
          <w:color w:val="000000"/>
          <w:sz w:val="24"/>
          <w:szCs w:val="24"/>
        </w:rPr>
      </w:pPr>
      <w:r>
        <w:rPr>
          <w:color w:val="000000"/>
          <w:sz w:val="24"/>
          <w:szCs w:val="24"/>
        </w:rPr>
        <w:t>三季度伊始，在央行定向降准落地、大规模投放流动性使得资金面极度宽松的背景下，回购利率中枢一度下行至</w:t>
      </w:r>
      <w:r>
        <w:rPr>
          <w:color w:val="000000"/>
          <w:sz w:val="24"/>
          <w:szCs w:val="24"/>
        </w:rPr>
        <w:t>2017</w:t>
      </w:r>
      <w:r>
        <w:rPr>
          <w:color w:val="000000"/>
          <w:sz w:val="24"/>
          <w:szCs w:val="24"/>
        </w:rPr>
        <w:t>年以来的新低点，同业存单利率中枢也发生断崖式下行，带动债券市场收益率在七月继续下行。进入八月，利空因素逐渐增多，国常会和政治局会议发出对积极的财政政策、减税降费、扩大内需的表态之后，宏观经济政策开始调整，去杠杆从</w:t>
      </w:r>
      <w:r>
        <w:rPr>
          <w:color w:val="000000"/>
          <w:sz w:val="24"/>
          <w:szCs w:val="24"/>
        </w:rPr>
        <w:t>“</w:t>
      </w:r>
      <w:r>
        <w:rPr>
          <w:color w:val="000000"/>
          <w:sz w:val="24"/>
          <w:szCs w:val="24"/>
        </w:rPr>
        <w:t>宽货币</w:t>
      </w:r>
      <w:r>
        <w:rPr>
          <w:color w:val="000000"/>
          <w:sz w:val="24"/>
          <w:szCs w:val="24"/>
        </w:rPr>
        <w:t>+</w:t>
      </w:r>
      <w:r>
        <w:rPr>
          <w:color w:val="000000"/>
          <w:sz w:val="24"/>
          <w:szCs w:val="24"/>
        </w:rPr>
        <w:t>紧信用</w:t>
      </w:r>
      <w:r>
        <w:rPr>
          <w:color w:val="000000"/>
          <w:sz w:val="24"/>
          <w:szCs w:val="24"/>
        </w:rPr>
        <w:t>”</w:t>
      </w:r>
      <w:r>
        <w:rPr>
          <w:color w:val="000000"/>
          <w:sz w:val="24"/>
          <w:szCs w:val="24"/>
        </w:rPr>
        <w:t>的组合逐渐向</w:t>
      </w:r>
      <w:r>
        <w:rPr>
          <w:color w:val="000000"/>
          <w:sz w:val="24"/>
          <w:szCs w:val="24"/>
        </w:rPr>
        <w:t>“</w:t>
      </w:r>
      <w:r>
        <w:rPr>
          <w:color w:val="000000"/>
          <w:sz w:val="24"/>
          <w:szCs w:val="24"/>
        </w:rPr>
        <w:t>宽货币</w:t>
      </w:r>
      <w:r>
        <w:rPr>
          <w:color w:val="000000"/>
          <w:sz w:val="24"/>
          <w:szCs w:val="24"/>
        </w:rPr>
        <w:t>+</w:t>
      </w:r>
      <w:r>
        <w:rPr>
          <w:color w:val="000000"/>
          <w:sz w:val="24"/>
          <w:szCs w:val="24"/>
        </w:rPr>
        <w:t>宽信用</w:t>
      </w:r>
      <w:r>
        <w:rPr>
          <w:color w:val="000000"/>
          <w:sz w:val="24"/>
          <w:szCs w:val="24"/>
        </w:rPr>
        <w:t>”</w:t>
      </w:r>
      <w:r>
        <w:rPr>
          <w:color w:val="000000"/>
          <w:sz w:val="24"/>
          <w:szCs w:val="24"/>
        </w:rPr>
        <w:t>调整。八月和九月，地方债供给大幅放量、市场对通胀回暖的预期提升、进出口数据表现坚挺等多个空方因素的出现，导致债券市场回调，收益率震荡上行。</w:t>
      </w:r>
    </w:p>
    <w:p w:rsidR="005C0219" w:rsidRDefault="00422530">
      <w:pPr>
        <w:spacing w:before="29" w:line="288" w:lineRule="auto"/>
        <w:ind w:firstLineChars="200" w:firstLine="480"/>
        <w:rPr>
          <w:color w:val="000000"/>
          <w:sz w:val="24"/>
          <w:szCs w:val="24"/>
        </w:rPr>
      </w:pPr>
      <w:r>
        <w:rPr>
          <w:color w:val="000000"/>
          <w:sz w:val="24"/>
          <w:szCs w:val="24"/>
        </w:rPr>
        <w:t>报告期内，基于对资金面维持大体宽松、信用利差有收窄空间，同时收益率下行阶段性见底的判断，本基金在维持债券底仓整体久期的同时，对底仓的结构做出部分调整，提升静态收益率和杠杆套息利差，择机进行长久期利率债的波段操作。同时，基于对权益市场较为谨慎的看法，控制组合的权益仓位，选择个别具有防御性板块个股进行波段操作为组合增强收益。</w:t>
      </w:r>
    </w:p>
    <w:p w:rsidR="005C0219" w:rsidRDefault="00422530">
      <w:pPr>
        <w:spacing w:before="29" w:line="288" w:lineRule="auto"/>
        <w:ind w:firstLineChars="200" w:firstLine="480"/>
        <w:rPr>
          <w:color w:val="000000"/>
          <w:sz w:val="24"/>
          <w:szCs w:val="24"/>
        </w:rPr>
      </w:pPr>
      <w:r>
        <w:rPr>
          <w:color w:val="000000"/>
          <w:sz w:val="24"/>
          <w:szCs w:val="24"/>
        </w:rPr>
        <w:t>展望四季度，我们判断债市可能在震荡中保持下行。一方面，在去杠杆不断深入的背景下，经济下行风险仍然较高，货币政策整体偏宽松的总基调不会发生根本性改变，而宽信用财政政策的效果有待检验。虽然前期信用紧缩导致的企业资金链断裂风险现在已经引起各方面的重视，财政政策开始发力，但是在各类融资渠道收紧、银行资本金又较为不足的情况下，九月份国内信用风险仍不断发酵，新增数起债券违约事件，四季度的信用重新扩张道路仍漫长且艰难。另一方面，货币政策受到的外部环境牵制在不断增强，美联储加息和缩表的按计划推进，导致全球流动性收紧，新兴市场危机涌现，而中美贸易摩擦带来的汇率贬值压力经过三季度的释放之后，当前人民币对一篮子货币的汇率水平较低，未来继续贬值的空间收窄。以上因素将对央行的货币和汇率政策形成一定掣肘。整体上，我们认为四季度固定资产投资难见起色，国内经济基本面大概率疲软，叠加地方债供给压力减小，均对债券市场形成利好，但是外部市场环境对货币政策的牵制可能会导致收益率出现阶段性波动。在操作策略上，我们或将保持当前中性偏高的组合久期，以中高等级的信用债为底仓，严格把控信用风险，并择机进行利率债的波段操作，以期增强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可转债方面，四季度我们认为转债缺乏系统性的机会，我们将在控制转债仓位的前提下，关注新兴行业转债个券，灵活操作尽力为组合增强收益。权益市场方面，虽然市场整体估值水平已处于较低区域，但市场仍在寻底的过程中。在市场下行趋势结束之前，我们可能仍将保持较低的权益类资产仓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5,052,500.00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5,052,500.00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80,145,000.00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80,145,000.00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1,574,604.57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4,824,539.40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5.27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91,596,643.97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4,141,860.00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910,640.00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5,052,500.00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6.13</w:t>
            </w:r>
          </w:p>
        </w:tc>
      </w:tr>
    </w:tbl>
    <w:p w:rsidR="0031136E" w:rsidRDefault="0031136E"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C0219">
        <w:trPr>
          <w:jc w:val="center"/>
        </w:trPr>
        <w:tc>
          <w:tcPr>
            <w:tcW w:w="855" w:type="dxa"/>
            <w:vAlign w:val="center"/>
          </w:tcPr>
          <w:p w:rsidR="005C0219" w:rsidRDefault="00422530">
            <w:pPr>
              <w:jc w:val="center"/>
            </w:pPr>
            <w:r>
              <w:rPr>
                <w:color w:val="000000"/>
                <w:sz w:val="24"/>
                <w:szCs w:val="24"/>
              </w:rPr>
              <w:t>1</w:t>
            </w:r>
          </w:p>
        </w:tc>
        <w:tc>
          <w:tcPr>
            <w:tcW w:w="1334" w:type="dxa"/>
            <w:vAlign w:val="center"/>
          </w:tcPr>
          <w:p w:rsidR="005C0219" w:rsidRDefault="00422530">
            <w:pPr>
              <w:jc w:val="center"/>
            </w:pPr>
            <w:r>
              <w:rPr>
                <w:color w:val="000000"/>
                <w:sz w:val="24"/>
                <w:szCs w:val="24"/>
              </w:rPr>
              <w:t>002353</w:t>
            </w:r>
          </w:p>
        </w:tc>
        <w:tc>
          <w:tcPr>
            <w:tcW w:w="1777" w:type="dxa"/>
            <w:vAlign w:val="center"/>
          </w:tcPr>
          <w:p w:rsidR="005C0219" w:rsidRDefault="00422530">
            <w:pPr>
              <w:jc w:val="center"/>
            </w:pPr>
            <w:r>
              <w:rPr>
                <w:color w:val="000000"/>
                <w:sz w:val="24"/>
                <w:szCs w:val="24"/>
              </w:rPr>
              <w:t>杰瑞股份</w:t>
            </w:r>
          </w:p>
        </w:tc>
        <w:tc>
          <w:tcPr>
            <w:tcW w:w="1334" w:type="dxa"/>
            <w:vAlign w:val="center"/>
          </w:tcPr>
          <w:p w:rsidR="005C0219" w:rsidRDefault="00422530">
            <w:pPr>
              <w:jc w:val="right"/>
            </w:pPr>
            <w:r>
              <w:rPr>
                <w:color w:val="000000"/>
                <w:sz w:val="24"/>
                <w:szCs w:val="24"/>
              </w:rPr>
              <w:t>32,000</w:t>
            </w:r>
          </w:p>
        </w:tc>
        <w:tc>
          <w:tcPr>
            <w:tcW w:w="1924" w:type="dxa"/>
            <w:vAlign w:val="center"/>
          </w:tcPr>
          <w:p w:rsidR="005C0219" w:rsidRDefault="00422530">
            <w:pPr>
              <w:jc w:val="right"/>
            </w:pPr>
            <w:r>
              <w:rPr>
                <w:color w:val="000000"/>
                <w:sz w:val="24"/>
                <w:szCs w:val="24"/>
              </w:rPr>
              <w:t>696,960.00</w:t>
            </w:r>
          </w:p>
        </w:tc>
        <w:tc>
          <w:tcPr>
            <w:tcW w:w="1644" w:type="dxa"/>
            <w:vAlign w:val="center"/>
          </w:tcPr>
          <w:p w:rsidR="005C0219" w:rsidRDefault="00422530">
            <w:pPr>
              <w:jc w:val="right"/>
            </w:pPr>
            <w:r>
              <w:rPr>
                <w:color w:val="000000"/>
                <w:sz w:val="24"/>
                <w:szCs w:val="24"/>
              </w:rPr>
              <w:t>0.85</w:t>
            </w:r>
          </w:p>
        </w:tc>
      </w:tr>
      <w:tr w:rsidR="005C0219">
        <w:trPr>
          <w:jc w:val="center"/>
        </w:trPr>
        <w:tc>
          <w:tcPr>
            <w:tcW w:w="855" w:type="dxa"/>
            <w:vAlign w:val="center"/>
          </w:tcPr>
          <w:p w:rsidR="005C0219" w:rsidRDefault="00422530">
            <w:pPr>
              <w:jc w:val="center"/>
            </w:pPr>
            <w:r>
              <w:rPr>
                <w:color w:val="000000"/>
                <w:sz w:val="24"/>
                <w:szCs w:val="24"/>
              </w:rPr>
              <w:t>2</w:t>
            </w:r>
          </w:p>
        </w:tc>
        <w:tc>
          <w:tcPr>
            <w:tcW w:w="1334" w:type="dxa"/>
            <w:vAlign w:val="center"/>
          </w:tcPr>
          <w:p w:rsidR="005C0219" w:rsidRDefault="00422530">
            <w:pPr>
              <w:jc w:val="center"/>
            </w:pPr>
            <w:r>
              <w:rPr>
                <w:color w:val="000000"/>
                <w:sz w:val="24"/>
                <w:szCs w:val="24"/>
              </w:rPr>
              <w:t>601939</w:t>
            </w:r>
          </w:p>
        </w:tc>
        <w:tc>
          <w:tcPr>
            <w:tcW w:w="1777" w:type="dxa"/>
            <w:vAlign w:val="center"/>
          </w:tcPr>
          <w:p w:rsidR="005C0219" w:rsidRDefault="00422530">
            <w:pPr>
              <w:jc w:val="center"/>
            </w:pPr>
            <w:r>
              <w:rPr>
                <w:color w:val="000000"/>
                <w:sz w:val="24"/>
                <w:szCs w:val="24"/>
              </w:rPr>
              <w:t>建设银行</w:t>
            </w:r>
          </w:p>
        </w:tc>
        <w:tc>
          <w:tcPr>
            <w:tcW w:w="1334" w:type="dxa"/>
            <w:vAlign w:val="center"/>
          </w:tcPr>
          <w:p w:rsidR="005C0219" w:rsidRDefault="00422530">
            <w:pPr>
              <w:jc w:val="right"/>
            </w:pPr>
            <w:r>
              <w:rPr>
                <w:color w:val="000000"/>
                <w:sz w:val="24"/>
                <w:szCs w:val="24"/>
              </w:rPr>
              <w:t>70,000</w:t>
            </w:r>
          </w:p>
        </w:tc>
        <w:tc>
          <w:tcPr>
            <w:tcW w:w="1924" w:type="dxa"/>
            <w:vAlign w:val="center"/>
          </w:tcPr>
          <w:p w:rsidR="005C0219" w:rsidRDefault="00422530">
            <w:pPr>
              <w:jc w:val="right"/>
            </w:pPr>
            <w:r>
              <w:rPr>
                <w:color w:val="000000"/>
                <w:sz w:val="24"/>
                <w:szCs w:val="24"/>
              </w:rPr>
              <w:t>506,800.00</w:t>
            </w:r>
          </w:p>
        </w:tc>
        <w:tc>
          <w:tcPr>
            <w:tcW w:w="1644" w:type="dxa"/>
            <w:vAlign w:val="center"/>
          </w:tcPr>
          <w:p w:rsidR="005C0219" w:rsidRDefault="00422530">
            <w:pPr>
              <w:jc w:val="right"/>
            </w:pPr>
            <w:r>
              <w:rPr>
                <w:color w:val="000000"/>
                <w:sz w:val="24"/>
                <w:szCs w:val="24"/>
              </w:rPr>
              <w:t>0.61</w:t>
            </w:r>
          </w:p>
        </w:tc>
      </w:tr>
      <w:tr w:rsidR="005C0219">
        <w:trPr>
          <w:jc w:val="center"/>
        </w:trPr>
        <w:tc>
          <w:tcPr>
            <w:tcW w:w="855" w:type="dxa"/>
            <w:vAlign w:val="center"/>
          </w:tcPr>
          <w:p w:rsidR="005C0219" w:rsidRDefault="00422530">
            <w:pPr>
              <w:jc w:val="center"/>
            </w:pPr>
            <w:r>
              <w:rPr>
                <w:color w:val="000000"/>
                <w:sz w:val="24"/>
                <w:szCs w:val="24"/>
              </w:rPr>
              <w:t>3</w:t>
            </w:r>
          </w:p>
        </w:tc>
        <w:tc>
          <w:tcPr>
            <w:tcW w:w="1334" w:type="dxa"/>
            <w:vAlign w:val="center"/>
          </w:tcPr>
          <w:p w:rsidR="005C0219" w:rsidRDefault="00422530">
            <w:pPr>
              <w:jc w:val="center"/>
            </w:pPr>
            <w:r>
              <w:rPr>
                <w:color w:val="000000"/>
                <w:sz w:val="24"/>
                <w:szCs w:val="24"/>
              </w:rPr>
              <w:t>600872</w:t>
            </w:r>
          </w:p>
        </w:tc>
        <w:tc>
          <w:tcPr>
            <w:tcW w:w="1777" w:type="dxa"/>
            <w:vAlign w:val="center"/>
          </w:tcPr>
          <w:p w:rsidR="005C0219" w:rsidRDefault="00422530">
            <w:pPr>
              <w:jc w:val="center"/>
            </w:pPr>
            <w:r>
              <w:rPr>
                <w:color w:val="000000"/>
                <w:sz w:val="24"/>
                <w:szCs w:val="24"/>
              </w:rPr>
              <w:t>中炬高新</w:t>
            </w:r>
          </w:p>
        </w:tc>
        <w:tc>
          <w:tcPr>
            <w:tcW w:w="1334" w:type="dxa"/>
            <w:vAlign w:val="center"/>
          </w:tcPr>
          <w:p w:rsidR="005C0219" w:rsidRDefault="00422530">
            <w:pPr>
              <w:jc w:val="right"/>
            </w:pPr>
            <w:r>
              <w:rPr>
                <w:color w:val="000000"/>
                <w:sz w:val="24"/>
                <w:szCs w:val="24"/>
              </w:rPr>
              <w:t>15,000</w:t>
            </w:r>
          </w:p>
        </w:tc>
        <w:tc>
          <w:tcPr>
            <w:tcW w:w="1924" w:type="dxa"/>
            <w:vAlign w:val="center"/>
          </w:tcPr>
          <w:p w:rsidR="005C0219" w:rsidRDefault="00422530">
            <w:pPr>
              <w:jc w:val="right"/>
            </w:pPr>
            <w:r>
              <w:rPr>
                <w:color w:val="000000"/>
                <w:sz w:val="24"/>
                <w:szCs w:val="24"/>
              </w:rPr>
              <w:t>489,000.00</w:t>
            </w:r>
          </w:p>
        </w:tc>
        <w:tc>
          <w:tcPr>
            <w:tcW w:w="1644" w:type="dxa"/>
            <w:vAlign w:val="center"/>
          </w:tcPr>
          <w:p w:rsidR="005C0219" w:rsidRDefault="00422530">
            <w:pPr>
              <w:jc w:val="right"/>
            </w:pPr>
            <w:r>
              <w:rPr>
                <w:color w:val="000000"/>
                <w:sz w:val="24"/>
                <w:szCs w:val="24"/>
              </w:rPr>
              <w:t>0.59</w:t>
            </w:r>
          </w:p>
        </w:tc>
      </w:tr>
      <w:tr w:rsidR="005C0219">
        <w:trPr>
          <w:jc w:val="center"/>
        </w:trPr>
        <w:tc>
          <w:tcPr>
            <w:tcW w:w="855" w:type="dxa"/>
            <w:vAlign w:val="center"/>
          </w:tcPr>
          <w:p w:rsidR="005C0219" w:rsidRDefault="00422530">
            <w:pPr>
              <w:jc w:val="center"/>
            </w:pPr>
            <w:r>
              <w:rPr>
                <w:color w:val="000000"/>
                <w:sz w:val="24"/>
                <w:szCs w:val="24"/>
              </w:rPr>
              <w:t>4</w:t>
            </w:r>
          </w:p>
        </w:tc>
        <w:tc>
          <w:tcPr>
            <w:tcW w:w="1334" w:type="dxa"/>
            <w:vAlign w:val="center"/>
          </w:tcPr>
          <w:p w:rsidR="005C0219" w:rsidRDefault="00422530">
            <w:pPr>
              <w:jc w:val="center"/>
            </w:pPr>
            <w:r>
              <w:rPr>
                <w:color w:val="000000"/>
                <w:sz w:val="24"/>
                <w:szCs w:val="24"/>
              </w:rPr>
              <w:t>600305</w:t>
            </w:r>
          </w:p>
        </w:tc>
        <w:tc>
          <w:tcPr>
            <w:tcW w:w="1777" w:type="dxa"/>
            <w:vAlign w:val="center"/>
          </w:tcPr>
          <w:p w:rsidR="005C0219" w:rsidRDefault="00422530">
            <w:pPr>
              <w:jc w:val="center"/>
            </w:pPr>
            <w:r>
              <w:rPr>
                <w:color w:val="000000"/>
                <w:sz w:val="24"/>
                <w:szCs w:val="24"/>
              </w:rPr>
              <w:t>恒顺醋业</w:t>
            </w:r>
          </w:p>
        </w:tc>
        <w:tc>
          <w:tcPr>
            <w:tcW w:w="1334" w:type="dxa"/>
            <w:vAlign w:val="center"/>
          </w:tcPr>
          <w:p w:rsidR="005C0219" w:rsidRDefault="00422530">
            <w:pPr>
              <w:jc w:val="right"/>
            </w:pPr>
            <w:r>
              <w:rPr>
                <w:color w:val="000000"/>
                <w:sz w:val="24"/>
                <w:szCs w:val="24"/>
              </w:rPr>
              <w:t>40,000</w:t>
            </w:r>
          </w:p>
        </w:tc>
        <w:tc>
          <w:tcPr>
            <w:tcW w:w="1924" w:type="dxa"/>
            <w:vAlign w:val="center"/>
          </w:tcPr>
          <w:p w:rsidR="005C0219" w:rsidRDefault="00422530">
            <w:pPr>
              <w:jc w:val="right"/>
            </w:pPr>
            <w:r>
              <w:rPr>
                <w:color w:val="000000"/>
                <w:sz w:val="24"/>
                <w:szCs w:val="24"/>
              </w:rPr>
              <w:t>459,600.00</w:t>
            </w:r>
          </w:p>
        </w:tc>
        <w:tc>
          <w:tcPr>
            <w:tcW w:w="1644" w:type="dxa"/>
            <w:vAlign w:val="center"/>
          </w:tcPr>
          <w:p w:rsidR="005C0219" w:rsidRDefault="00422530">
            <w:pPr>
              <w:jc w:val="right"/>
            </w:pPr>
            <w:r>
              <w:rPr>
                <w:color w:val="000000"/>
                <w:sz w:val="24"/>
                <w:szCs w:val="24"/>
              </w:rPr>
              <w:t>0.56</w:t>
            </w:r>
          </w:p>
        </w:tc>
      </w:tr>
      <w:tr w:rsidR="005C0219">
        <w:trPr>
          <w:jc w:val="center"/>
        </w:trPr>
        <w:tc>
          <w:tcPr>
            <w:tcW w:w="855" w:type="dxa"/>
            <w:vAlign w:val="center"/>
          </w:tcPr>
          <w:p w:rsidR="005C0219" w:rsidRDefault="00422530">
            <w:pPr>
              <w:jc w:val="center"/>
            </w:pPr>
            <w:r>
              <w:rPr>
                <w:color w:val="000000"/>
                <w:sz w:val="24"/>
                <w:szCs w:val="24"/>
              </w:rPr>
              <w:t>5</w:t>
            </w:r>
          </w:p>
        </w:tc>
        <w:tc>
          <w:tcPr>
            <w:tcW w:w="1334" w:type="dxa"/>
            <w:vAlign w:val="center"/>
          </w:tcPr>
          <w:p w:rsidR="005C0219" w:rsidRDefault="00422530">
            <w:pPr>
              <w:jc w:val="center"/>
            </w:pPr>
            <w:r>
              <w:rPr>
                <w:color w:val="000000"/>
                <w:sz w:val="24"/>
                <w:szCs w:val="24"/>
              </w:rPr>
              <w:t>002507</w:t>
            </w:r>
          </w:p>
        </w:tc>
        <w:tc>
          <w:tcPr>
            <w:tcW w:w="1777" w:type="dxa"/>
            <w:vAlign w:val="center"/>
          </w:tcPr>
          <w:p w:rsidR="005C0219" w:rsidRDefault="00422530">
            <w:pPr>
              <w:jc w:val="center"/>
            </w:pPr>
            <w:r>
              <w:rPr>
                <w:color w:val="000000"/>
                <w:sz w:val="24"/>
                <w:szCs w:val="24"/>
              </w:rPr>
              <w:t>涪陵榨菜</w:t>
            </w:r>
          </w:p>
        </w:tc>
        <w:tc>
          <w:tcPr>
            <w:tcW w:w="1334" w:type="dxa"/>
            <w:vAlign w:val="center"/>
          </w:tcPr>
          <w:p w:rsidR="005C0219" w:rsidRDefault="00422530">
            <w:pPr>
              <w:jc w:val="right"/>
            </w:pPr>
            <w:r>
              <w:rPr>
                <w:color w:val="000000"/>
                <w:sz w:val="24"/>
                <w:szCs w:val="24"/>
              </w:rPr>
              <w:t>17,000</w:t>
            </w:r>
          </w:p>
        </w:tc>
        <w:tc>
          <w:tcPr>
            <w:tcW w:w="1924" w:type="dxa"/>
            <w:vAlign w:val="center"/>
          </w:tcPr>
          <w:p w:rsidR="005C0219" w:rsidRDefault="00422530">
            <w:pPr>
              <w:jc w:val="right"/>
            </w:pPr>
            <w:r>
              <w:rPr>
                <w:color w:val="000000"/>
                <w:sz w:val="24"/>
                <w:szCs w:val="24"/>
              </w:rPr>
              <w:t>442,850.00</w:t>
            </w:r>
          </w:p>
        </w:tc>
        <w:tc>
          <w:tcPr>
            <w:tcW w:w="1644" w:type="dxa"/>
            <w:vAlign w:val="center"/>
          </w:tcPr>
          <w:p w:rsidR="005C0219" w:rsidRDefault="00422530">
            <w:pPr>
              <w:jc w:val="right"/>
            </w:pPr>
            <w:r>
              <w:rPr>
                <w:color w:val="000000"/>
                <w:sz w:val="24"/>
                <w:szCs w:val="24"/>
              </w:rPr>
              <w:t>0.54</w:t>
            </w:r>
          </w:p>
        </w:tc>
      </w:tr>
      <w:tr w:rsidR="005C0219">
        <w:trPr>
          <w:jc w:val="center"/>
        </w:trPr>
        <w:tc>
          <w:tcPr>
            <w:tcW w:w="855" w:type="dxa"/>
            <w:vAlign w:val="center"/>
          </w:tcPr>
          <w:p w:rsidR="005C0219" w:rsidRDefault="00422530">
            <w:pPr>
              <w:jc w:val="center"/>
            </w:pPr>
            <w:r>
              <w:rPr>
                <w:color w:val="000000"/>
                <w:sz w:val="24"/>
                <w:szCs w:val="24"/>
              </w:rPr>
              <w:t>6</w:t>
            </w:r>
          </w:p>
        </w:tc>
        <w:tc>
          <w:tcPr>
            <w:tcW w:w="1334" w:type="dxa"/>
            <w:vAlign w:val="center"/>
          </w:tcPr>
          <w:p w:rsidR="005C0219" w:rsidRDefault="00422530">
            <w:pPr>
              <w:jc w:val="center"/>
            </w:pPr>
            <w:r>
              <w:rPr>
                <w:color w:val="000000"/>
                <w:sz w:val="24"/>
                <w:szCs w:val="24"/>
              </w:rPr>
              <w:t>002228</w:t>
            </w:r>
          </w:p>
        </w:tc>
        <w:tc>
          <w:tcPr>
            <w:tcW w:w="1777" w:type="dxa"/>
            <w:vAlign w:val="center"/>
          </w:tcPr>
          <w:p w:rsidR="005C0219" w:rsidRDefault="00422530">
            <w:pPr>
              <w:jc w:val="center"/>
            </w:pPr>
            <w:r>
              <w:rPr>
                <w:color w:val="000000"/>
                <w:sz w:val="24"/>
                <w:szCs w:val="24"/>
              </w:rPr>
              <w:t>合兴包装</w:t>
            </w:r>
          </w:p>
        </w:tc>
        <w:tc>
          <w:tcPr>
            <w:tcW w:w="1334" w:type="dxa"/>
            <w:vAlign w:val="center"/>
          </w:tcPr>
          <w:p w:rsidR="005C0219" w:rsidRDefault="00422530">
            <w:pPr>
              <w:jc w:val="right"/>
            </w:pPr>
            <w:r>
              <w:rPr>
                <w:color w:val="000000"/>
                <w:sz w:val="24"/>
                <w:szCs w:val="24"/>
              </w:rPr>
              <w:t>60,000</w:t>
            </w:r>
          </w:p>
        </w:tc>
        <w:tc>
          <w:tcPr>
            <w:tcW w:w="1924" w:type="dxa"/>
            <w:vAlign w:val="center"/>
          </w:tcPr>
          <w:p w:rsidR="005C0219" w:rsidRDefault="00422530">
            <w:pPr>
              <w:jc w:val="right"/>
            </w:pPr>
            <w:r>
              <w:rPr>
                <w:color w:val="000000"/>
                <w:sz w:val="24"/>
                <w:szCs w:val="24"/>
              </w:rPr>
              <w:t>435,600.00</w:t>
            </w:r>
          </w:p>
        </w:tc>
        <w:tc>
          <w:tcPr>
            <w:tcW w:w="1644" w:type="dxa"/>
            <w:vAlign w:val="center"/>
          </w:tcPr>
          <w:p w:rsidR="005C0219" w:rsidRDefault="00422530">
            <w:pPr>
              <w:jc w:val="right"/>
            </w:pPr>
            <w:r>
              <w:rPr>
                <w:color w:val="000000"/>
                <w:sz w:val="24"/>
                <w:szCs w:val="24"/>
              </w:rPr>
              <w:t>0.53</w:t>
            </w:r>
          </w:p>
        </w:tc>
      </w:tr>
      <w:tr w:rsidR="005C0219">
        <w:trPr>
          <w:jc w:val="center"/>
        </w:trPr>
        <w:tc>
          <w:tcPr>
            <w:tcW w:w="855" w:type="dxa"/>
            <w:vAlign w:val="center"/>
          </w:tcPr>
          <w:p w:rsidR="005C0219" w:rsidRDefault="00422530">
            <w:pPr>
              <w:jc w:val="center"/>
            </w:pPr>
            <w:r>
              <w:rPr>
                <w:color w:val="000000"/>
                <w:sz w:val="24"/>
                <w:szCs w:val="24"/>
              </w:rPr>
              <w:t>7</w:t>
            </w:r>
          </w:p>
        </w:tc>
        <w:tc>
          <w:tcPr>
            <w:tcW w:w="1334" w:type="dxa"/>
            <w:vAlign w:val="center"/>
          </w:tcPr>
          <w:p w:rsidR="005C0219" w:rsidRDefault="00422530">
            <w:pPr>
              <w:jc w:val="center"/>
            </w:pPr>
            <w:r>
              <w:rPr>
                <w:color w:val="000000"/>
                <w:sz w:val="24"/>
                <w:szCs w:val="24"/>
              </w:rPr>
              <w:t>300132</w:t>
            </w:r>
          </w:p>
        </w:tc>
        <w:tc>
          <w:tcPr>
            <w:tcW w:w="1777" w:type="dxa"/>
            <w:vAlign w:val="center"/>
          </w:tcPr>
          <w:p w:rsidR="005C0219" w:rsidRDefault="00422530">
            <w:pPr>
              <w:jc w:val="center"/>
            </w:pPr>
            <w:r>
              <w:rPr>
                <w:color w:val="000000"/>
                <w:sz w:val="24"/>
                <w:szCs w:val="24"/>
              </w:rPr>
              <w:t>青松股份</w:t>
            </w:r>
          </w:p>
        </w:tc>
        <w:tc>
          <w:tcPr>
            <w:tcW w:w="1334" w:type="dxa"/>
            <w:vAlign w:val="center"/>
          </w:tcPr>
          <w:p w:rsidR="005C0219" w:rsidRDefault="00422530">
            <w:pPr>
              <w:jc w:val="right"/>
            </w:pPr>
            <w:r>
              <w:rPr>
                <w:color w:val="000000"/>
                <w:sz w:val="24"/>
                <w:szCs w:val="24"/>
              </w:rPr>
              <w:t>30,000</w:t>
            </w:r>
          </w:p>
        </w:tc>
        <w:tc>
          <w:tcPr>
            <w:tcW w:w="1924" w:type="dxa"/>
            <w:vAlign w:val="center"/>
          </w:tcPr>
          <w:p w:rsidR="005C0219" w:rsidRDefault="00422530">
            <w:pPr>
              <w:jc w:val="right"/>
            </w:pPr>
            <w:r>
              <w:rPr>
                <w:color w:val="000000"/>
                <w:sz w:val="24"/>
                <w:szCs w:val="24"/>
              </w:rPr>
              <w:t>422,700.00</w:t>
            </w:r>
          </w:p>
        </w:tc>
        <w:tc>
          <w:tcPr>
            <w:tcW w:w="1644" w:type="dxa"/>
            <w:vAlign w:val="center"/>
          </w:tcPr>
          <w:p w:rsidR="005C0219" w:rsidRDefault="00422530">
            <w:pPr>
              <w:jc w:val="right"/>
            </w:pPr>
            <w:r>
              <w:rPr>
                <w:color w:val="000000"/>
                <w:sz w:val="24"/>
                <w:szCs w:val="24"/>
              </w:rPr>
              <w:t>0.51</w:t>
            </w:r>
          </w:p>
        </w:tc>
      </w:tr>
      <w:tr w:rsidR="005C0219">
        <w:trPr>
          <w:jc w:val="center"/>
        </w:trPr>
        <w:tc>
          <w:tcPr>
            <w:tcW w:w="855" w:type="dxa"/>
            <w:vAlign w:val="center"/>
          </w:tcPr>
          <w:p w:rsidR="005C0219" w:rsidRDefault="00422530">
            <w:pPr>
              <w:jc w:val="center"/>
            </w:pPr>
            <w:r>
              <w:rPr>
                <w:color w:val="000000"/>
                <w:sz w:val="24"/>
                <w:szCs w:val="24"/>
              </w:rPr>
              <w:t>8</w:t>
            </w:r>
          </w:p>
        </w:tc>
        <w:tc>
          <w:tcPr>
            <w:tcW w:w="1334" w:type="dxa"/>
            <w:vAlign w:val="center"/>
          </w:tcPr>
          <w:p w:rsidR="005C0219" w:rsidRDefault="00422530">
            <w:pPr>
              <w:jc w:val="center"/>
            </w:pPr>
            <w:r>
              <w:rPr>
                <w:color w:val="000000"/>
                <w:sz w:val="24"/>
                <w:szCs w:val="24"/>
              </w:rPr>
              <w:t>000596</w:t>
            </w:r>
          </w:p>
        </w:tc>
        <w:tc>
          <w:tcPr>
            <w:tcW w:w="1777" w:type="dxa"/>
            <w:vAlign w:val="center"/>
          </w:tcPr>
          <w:p w:rsidR="005C0219" w:rsidRDefault="00422530">
            <w:pPr>
              <w:jc w:val="center"/>
            </w:pPr>
            <w:r>
              <w:rPr>
                <w:color w:val="000000"/>
                <w:sz w:val="24"/>
                <w:szCs w:val="24"/>
              </w:rPr>
              <w:t>古井贡酒</w:t>
            </w:r>
          </w:p>
        </w:tc>
        <w:tc>
          <w:tcPr>
            <w:tcW w:w="1334" w:type="dxa"/>
            <w:vAlign w:val="center"/>
          </w:tcPr>
          <w:p w:rsidR="005C0219" w:rsidRDefault="00422530">
            <w:pPr>
              <w:jc w:val="right"/>
            </w:pPr>
            <w:r>
              <w:rPr>
                <w:color w:val="000000"/>
                <w:sz w:val="24"/>
                <w:szCs w:val="24"/>
              </w:rPr>
              <w:t>5,000</w:t>
            </w:r>
          </w:p>
        </w:tc>
        <w:tc>
          <w:tcPr>
            <w:tcW w:w="1924" w:type="dxa"/>
            <w:vAlign w:val="center"/>
          </w:tcPr>
          <w:p w:rsidR="005C0219" w:rsidRDefault="00422530">
            <w:pPr>
              <w:jc w:val="right"/>
            </w:pPr>
            <w:r>
              <w:rPr>
                <w:color w:val="000000"/>
                <w:sz w:val="24"/>
                <w:szCs w:val="24"/>
              </w:rPr>
              <w:t>416,150.00</w:t>
            </w:r>
          </w:p>
        </w:tc>
        <w:tc>
          <w:tcPr>
            <w:tcW w:w="1644" w:type="dxa"/>
            <w:vAlign w:val="center"/>
          </w:tcPr>
          <w:p w:rsidR="005C0219" w:rsidRDefault="00422530">
            <w:pPr>
              <w:jc w:val="right"/>
            </w:pPr>
            <w:r>
              <w:rPr>
                <w:color w:val="000000"/>
                <w:sz w:val="24"/>
                <w:szCs w:val="24"/>
              </w:rPr>
              <w:t>0.50</w:t>
            </w:r>
          </w:p>
        </w:tc>
      </w:tr>
      <w:tr w:rsidR="005C0219">
        <w:trPr>
          <w:jc w:val="center"/>
        </w:trPr>
        <w:tc>
          <w:tcPr>
            <w:tcW w:w="855" w:type="dxa"/>
            <w:vAlign w:val="center"/>
          </w:tcPr>
          <w:p w:rsidR="005C0219" w:rsidRDefault="00422530">
            <w:pPr>
              <w:jc w:val="center"/>
            </w:pPr>
            <w:r>
              <w:rPr>
                <w:color w:val="000000"/>
                <w:sz w:val="24"/>
                <w:szCs w:val="24"/>
              </w:rPr>
              <w:t>9</w:t>
            </w:r>
          </w:p>
        </w:tc>
        <w:tc>
          <w:tcPr>
            <w:tcW w:w="1334" w:type="dxa"/>
            <w:vAlign w:val="center"/>
          </w:tcPr>
          <w:p w:rsidR="005C0219" w:rsidRDefault="00422530">
            <w:pPr>
              <w:jc w:val="center"/>
            </w:pPr>
            <w:r>
              <w:rPr>
                <w:color w:val="000000"/>
                <w:sz w:val="24"/>
                <w:szCs w:val="24"/>
              </w:rPr>
              <w:t>601336</w:t>
            </w:r>
          </w:p>
        </w:tc>
        <w:tc>
          <w:tcPr>
            <w:tcW w:w="1777" w:type="dxa"/>
            <w:vAlign w:val="center"/>
          </w:tcPr>
          <w:p w:rsidR="005C0219" w:rsidRDefault="00422530">
            <w:pPr>
              <w:jc w:val="center"/>
            </w:pPr>
            <w:r>
              <w:rPr>
                <w:color w:val="000000"/>
                <w:sz w:val="24"/>
                <w:szCs w:val="24"/>
              </w:rPr>
              <w:t>新华保险</w:t>
            </w:r>
          </w:p>
        </w:tc>
        <w:tc>
          <w:tcPr>
            <w:tcW w:w="1334" w:type="dxa"/>
            <w:vAlign w:val="center"/>
          </w:tcPr>
          <w:p w:rsidR="005C0219" w:rsidRDefault="00422530">
            <w:pPr>
              <w:jc w:val="right"/>
            </w:pPr>
            <w:r>
              <w:rPr>
                <w:color w:val="000000"/>
                <w:sz w:val="24"/>
                <w:szCs w:val="24"/>
              </w:rPr>
              <w:t>8,000</w:t>
            </w:r>
          </w:p>
        </w:tc>
        <w:tc>
          <w:tcPr>
            <w:tcW w:w="1924" w:type="dxa"/>
            <w:vAlign w:val="center"/>
          </w:tcPr>
          <w:p w:rsidR="005C0219" w:rsidRDefault="00422530">
            <w:pPr>
              <w:jc w:val="right"/>
            </w:pPr>
            <w:r>
              <w:rPr>
                <w:color w:val="000000"/>
                <w:sz w:val="24"/>
                <w:szCs w:val="24"/>
              </w:rPr>
              <w:t>403,840.00</w:t>
            </w:r>
          </w:p>
        </w:tc>
        <w:tc>
          <w:tcPr>
            <w:tcW w:w="1644" w:type="dxa"/>
            <w:vAlign w:val="center"/>
          </w:tcPr>
          <w:p w:rsidR="005C0219" w:rsidRDefault="00422530">
            <w:pPr>
              <w:jc w:val="right"/>
            </w:pPr>
            <w:r>
              <w:rPr>
                <w:color w:val="000000"/>
                <w:sz w:val="24"/>
                <w:szCs w:val="24"/>
              </w:rPr>
              <w:t>0.49</w:t>
            </w:r>
          </w:p>
        </w:tc>
      </w:tr>
      <w:tr w:rsidR="005C0219">
        <w:trPr>
          <w:jc w:val="center"/>
        </w:trPr>
        <w:tc>
          <w:tcPr>
            <w:tcW w:w="855" w:type="dxa"/>
            <w:vAlign w:val="center"/>
          </w:tcPr>
          <w:p w:rsidR="005C0219" w:rsidRDefault="00422530">
            <w:pPr>
              <w:jc w:val="center"/>
            </w:pPr>
            <w:r>
              <w:rPr>
                <w:color w:val="000000"/>
                <w:sz w:val="24"/>
                <w:szCs w:val="24"/>
              </w:rPr>
              <w:t>10</w:t>
            </w:r>
          </w:p>
        </w:tc>
        <w:tc>
          <w:tcPr>
            <w:tcW w:w="1334" w:type="dxa"/>
            <w:vAlign w:val="center"/>
          </w:tcPr>
          <w:p w:rsidR="005C0219" w:rsidRDefault="00422530">
            <w:pPr>
              <w:jc w:val="center"/>
            </w:pPr>
            <w:r>
              <w:rPr>
                <w:color w:val="000000"/>
                <w:sz w:val="24"/>
                <w:szCs w:val="24"/>
              </w:rPr>
              <w:t>603369</w:t>
            </w:r>
          </w:p>
        </w:tc>
        <w:tc>
          <w:tcPr>
            <w:tcW w:w="1777" w:type="dxa"/>
            <w:vAlign w:val="center"/>
          </w:tcPr>
          <w:p w:rsidR="005C0219" w:rsidRDefault="00422530">
            <w:pPr>
              <w:jc w:val="center"/>
            </w:pPr>
            <w:r>
              <w:rPr>
                <w:color w:val="000000"/>
                <w:sz w:val="24"/>
                <w:szCs w:val="24"/>
              </w:rPr>
              <w:t>今世缘</w:t>
            </w:r>
          </w:p>
        </w:tc>
        <w:tc>
          <w:tcPr>
            <w:tcW w:w="1334" w:type="dxa"/>
            <w:vAlign w:val="center"/>
          </w:tcPr>
          <w:p w:rsidR="005C0219" w:rsidRDefault="00422530">
            <w:pPr>
              <w:jc w:val="right"/>
            </w:pPr>
            <w:r>
              <w:rPr>
                <w:color w:val="000000"/>
                <w:sz w:val="24"/>
                <w:szCs w:val="24"/>
              </w:rPr>
              <w:t>20,000</w:t>
            </w:r>
          </w:p>
        </w:tc>
        <w:tc>
          <w:tcPr>
            <w:tcW w:w="1924" w:type="dxa"/>
            <w:vAlign w:val="center"/>
          </w:tcPr>
          <w:p w:rsidR="005C0219" w:rsidRDefault="00422530">
            <w:pPr>
              <w:jc w:val="right"/>
            </w:pPr>
            <w:r>
              <w:rPr>
                <w:color w:val="000000"/>
                <w:sz w:val="24"/>
                <w:szCs w:val="24"/>
              </w:rPr>
              <w:t>400,000.00</w:t>
            </w:r>
          </w:p>
        </w:tc>
        <w:tc>
          <w:tcPr>
            <w:tcW w:w="1644" w:type="dxa"/>
            <w:vAlign w:val="center"/>
          </w:tcPr>
          <w:p w:rsidR="005C0219" w:rsidRDefault="00422530">
            <w:pPr>
              <w:jc w:val="right"/>
            </w:pPr>
            <w:r>
              <w:rPr>
                <w:color w:val="000000"/>
                <w:sz w:val="24"/>
                <w:szCs w:val="24"/>
              </w:rPr>
              <w:t>0.49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39,925,500.00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48.42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35,189,500.00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42.68</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80,145,000.00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97.19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C0219">
        <w:trPr>
          <w:jc w:val="center"/>
        </w:trPr>
        <w:tc>
          <w:tcPr>
            <w:tcW w:w="850" w:type="dxa"/>
            <w:vAlign w:val="center"/>
          </w:tcPr>
          <w:p w:rsidR="005C0219" w:rsidRDefault="00422530">
            <w:pPr>
              <w:jc w:val="center"/>
            </w:pPr>
            <w:r>
              <w:rPr>
                <w:color w:val="000000"/>
                <w:sz w:val="24"/>
                <w:szCs w:val="24"/>
              </w:rPr>
              <w:t>1</w:t>
            </w:r>
          </w:p>
        </w:tc>
        <w:tc>
          <w:tcPr>
            <w:tcW w:w="1475" w:type="dxa"/>
            <w:vAlign w:val="center"/>
          </w:tcPr>
          <w:p w:rsidR="005C0219" w:rsidRDefault="00422530">
            <w:pPr>
              <w:jc w:val="center"/>
            </w:pPr>
            <w:r>
              <w:rPr>
                <w:color w:val="000000"/>
                <w:sz w:val="24"/>
                <w:szCs w:val="24"/>
              </w:rPr>
              <w:t>101800354</w:t>
            </w:r>
          </w:p>
        </w:tc>
        <w:tc>
          <w:tcPr>
            <w:tcW w:w="1769" w:type="dxa"/>
            <w:vAlign w:val="center"/>
          </w:tcPr>
          <w:p w:rsidR="005C0219" w:rsidRDefault="00422530">
            <w:pPr>
              <w:jc w:val="center"/>
            </w:pPr>
            <w:r>
              <w:rPr>
                <w:color w:val="000000"/>
                <w:sz w:val="24"/>
                <w:szCs w:val="24"/>
              </w:rPr>
              <w:t>18</w:t>
            </w:r>
            <w:r>
              <w:rPr>
                <w:color w:val="000000"/>
                <w:sz w:val="24"/>
                <w:szCs w:val="24"/>
              </w:rPr>
              <w:t>萧山钱江</w:t>
            </w:r>
            <w:r>
              <w:rPr>
                <w:color w:val="000000"/>
                <w:sz w:val="24"/>
                <w:szCs w:val="24"/>
              </w:rPr>
              <w:t>MTN003</w:t>
            </w:r>
          </w:p>
        </w:tc>
        <w:tc>
          <w:tcPr>
            <w:tcW w:w="1387" w:type="dxa"/>
            <w:vAlign w:val="center"/>
          </w:tcPr>
          <w:p w:rsidR="005C0219" w:rsidRDefault="00422530">
            <w:pPr>
              <w:jc w:val="right"/>
            </w:pPr>
            <w:r>
              <w:rPr>
                <w:color w:val="000000"/>
                <w:sz w:val="24"/>
                <w:szCs w:val="24"/>
              </w:rPr>
              <w:t>50,000</w:t>
            </w:r>
          </w:p>
        </w:tc>
        <w:tc>
          <w:tcPr>
            <w:tcW w:w="2150" w:type="dxa"/>
            <w:vAlign w:val="center"/>
          </w:tcPr>
          <w:p w:rsidR="005C0219" w:rsidRDefault="00422530">
            <w:pPr>
              <w:jc w:val="right"/>
            </w:pPr>
            <w:r>
              <w:rPr>
                <w:color w:val="000000"/>
                <w:sz w:val="24"/>
                <w:szCs w:val="24"/>
              </w:rPr>
              <w:t>5,151,000.00</w:t>
            </w:r>
          </w:p>
        </w:tc>
        <w:tc>
          <w:tcPr>
            <w:tcW w:w="1237" w:type="dxa"/>
            <w:vAlign w:val="center"/>
          </w:tcPr>
          <w:p w:rsidR="005C0219" w:rsidRDefault="00422530">
            <w:pPr>
              <w:jc w:val="right"/>
            </w:pPr>
            <w:r>
              <w:rPr>
                <w:color w:val="000000"/>
                <w:sz w:val="24"/>
                <w:szCs w:val="24"/>
              </w:rPr>
              <w:t>6.25</w:t>
            </w:r>
          </w:p>
        </w:tc>
      </w:tr>
      <w:tr w:rsidR="005C0219">
        <w:trPr>
          <w:jc w:val="center"/>
        </w:trPr>
        <w:tc>
          <w:tcPr>
            <w:tcW w:w="850" w:type="dxa"/>
            <w:vAlign w:val="center"/>
          </w:tcPr>
          <w:p w:rsidR="005C0219" w:rsidRDefault="00422530">
            <w:pPr>
              <w:jc w:val="center"/>
            </w:pPr>
            <w:r>
              <w:rPr>
                <w:color w:val="000000"/>
                <w:sz w:val="24"/>
                <w:szCs w:val="24"/>
              </w:rPr>
              <w:t>2</w:t>
            </w:r>
          </w:p>
        </w:tc>
        <w:tc>
          <w:tcPr>
            <w:tcW w:w="1475" w:type="dxa"/>
            <w:vAlign w:val="center"/>
          </w:tcPr>
          <w:p w:rsidR="005C0219" w:rsidRDefault="00422530">
            <w:pPr>
              <w:jc w:val="center"/>
            </w:pPr>
            <w:r>
              <w:rPr>
                <w:color w:val="000000"/>
                <w:sz w:val="24"/>
                <w:szCs w:val="24"/>
              </w:rPr>
              <w:t>101800583</w:t>
            </w:r>
          </w:p>
        </w:tc>
        <w:tc>
          <w:tcPr>
            <w:tcW w:w="1769" w:type="dxa"/>
            <w:vAlign w:val="center"/>
          </w:tcPr>
          <w:p w:rsidR="005C0219" w:rsidRDefault="00422530">
            <w:pPr>
              <w:jc w:val="center"/>
            </w:pPr>
            <w:r>
              <w:rPr>
                <w:color w:val="000000"/>
                <w:sz w:val="24"/>
                <w:szCs w:val="24"/>
              </w:rPr>
              <w:t>18</w:t>
            </w:r>
            <w:r>
              <w:rPr>
                <w:color w:val="000000"/>
                <w:sz w:val="24"/>
                <w:szCs w:val="24"/>
              </w:rPr>
              <w:t>拱墅经投</w:t>
            </w:r>
            <w:r>
              <w:rPr>
                <w:color w:val="000000"/>
                <w:sz w:val="24"/>
                <w:szCs w:val="24"/>
              </w:rPr>
              <w:t>MTN001</w:t>
            </w:r>
          </w:p>
        </w:tc>
        <w:tc>
          <w:tcPr>
            <w:tcW w:w="1387" w:type="dxa"/>
            <w:vAlign w:val="center"/>
          </w:tcPr>
          <w:p w:rsidR="005C0219" w:rsidRDefault="00422530">
            <w:pPr>
              <w:jc w:val="right"/>
            </w:pPr>
            <w:r>
              <w:rPr>
                <w:color w:val="000000"/>
                <w:sz w:val="24"/>
                <w:szCs w:val="24"/>
              </w:rPr>
              <w:t>50,000</w:t>
            </w:r>
          </w:p>
        </w:tc>
        <w:tc>
          <w:tcPr>
            <w:tcW w:w="2150" w:type="dxa"/>
            <w:vAlign w:val="center"/>
          </w:tcPr>
          <w:p w:rsidR="005C0219" w:rsidRDefault="00422530">
            <w:pPr>
              <w:jc w:val="right"/>
            </w:pPr>
            <w:r>
              <w:rPr>
                <w:color w:val="000000"/>
                <w:sz w:val="24"/>
                <w:szCs w:val="24"/>
              </w:rPr>
              <w:t>5,114,500.00</w:t>
            </w:r>
          </w:p>
        </w:tc>
        <w:tc>
          <w:tcPr>
            <w:tcW w:w="1237" w:type="dxa"/>
            <w:vAlign w:val="center"/>
          </w:tcPr>
          <w:p w:rsidR="005C0219" w:rsidRDefault="00422530">
            <w:pPr>
              <w:jc w:val="right"/>
            </w:pPr>
            <w:r>
              <w:rPr>
                <w:color w:val="000000"/>
                <w:sz w:val="24"/>
                <w:szCs w:val="24"/>
              </w:rPr>
              <w:t>6.20</w:t>
            </w:r>
          </w:p>
        </w:tc>
      </w:tr>
      <w:tr w:rsidR="005C0219">
        <w:trPr>
          <w:jc w:val="center"/>
        </w:trPr>
        <w:tc>
          <w:tcPr>
            <w:tcW w:w="850" w:type="dxa"/>
            <w:vAlign w:val="center"/>
          </w:tcPr>
          <w:p w:rsidR="005C0219" w:rsidRDefault="00422530">
            <w:pPr>
              <w:jc w:val="center"/>
            </w:pPr>
            <w:r>
              <w:rPr>
                <w:color w:val="000000"/>
                <w:sz w:val="24"/>
                <w:szCs w:val="24"/>
              </w:rPr>
              <w:t>3</w:t>
            </w:r>
          </w:p>
        </w:tc>
        <w:tc>
          <w:tcPr>
            <w:tcW w:w="1475" w:type="dxa"/>
            <w:vAlign w:val="center"/>
          </w:tcPr>
          <w:p w:rsidR="005C0219" w:rsidRDefault="00422530">
            <w:pPr>
              <w:jc w:val="center"/>
            </w:pPr>
            <w:r>
              <w:rPr>
                <w:color w:val="000000"/>
                <w:sz w:val="24"/>
                <w:szCs w:val="24"/>
              </w:rPr>
              <w:t>143353</w:t>
            </w:r>
          </w:p>
        </w:tc>
        <w:tc>
          <w:tcPr>
            <w:tcW w:w="1769" w:type="dxa"/>
            <w:vAlign w:val="center"/>
          </w:tcPr>
          <w:p w:rsidR="005C0219" w:rsidRDefault="00422530">
            <w:pPr>
              <w:jc w:val="center"/>
            </w:pPr>
            <w:r>
              <w:rPr>
                <w:color w:val="000000"/>
                <w:sz w:val="24"/>
                <w:szCs w:val="24"/>
              </w:rPr>
              <w:t>17</w:t>
            </w:r>
            <w:r>
              <w:rPr>
                <w:color w:val="000000"/>
                <w:sz w:val="24"/>
                <w:szCs w:val="24"/>
              </w:rPr>
              <w:t>中车</w:t>
            </w:r>
            <w:r>
              <w:rPr>
                <w:color w:val="000000"/>
                <w:sz w:val="24"/>
                <w:szCs w:val="24"/>
              </w:rPr>
              <w:t>G1</w:t>
            </w:r>
          </w:p>
        </w:tc>
        <w:tc>
          <w:tcPr>
            <w:tcW w:w="1387" w:type="dxa"/>
            <w:vAlign w:val="center"/>
          </w:tcPr>
          <w:p w:rsidR="005C0219" w:rsidRDefault="00422530">
            <w:pPr>
              <w:jc w:val="right"/>
            </w:pPr>
            <w:r>
              <w:rPr>
                <w:color w:val="000000"/>
                <w:sz w:val="24"/>
                <w:szCs w:val="24"/>
              </w:rPr>
              <w:t>50,000</w:t>
            </w:r>
          </w:p>
        </w:tc>
        <w:tc>
          <w:tcPr>
            <w:tcW w:w="2150" w:type="dxa"/>
            <w:vAlign w:val="center"/>
          </w:tcPr>
          <w:p w:rsidR="005C0219" w:rsidRDefault="00422530">
            <w:pPr>
              <w:jc w:val="right"/>
            </w:pPr>
            <w:r>
              <w:rPr>
                <w:color w:val="000000"/>
                <w:sz w:val="24"/>
                <w:szCs w:val="24"/>
              </w:rPr>
              <w:t>5,089,000.00</w:t>
            </w:r>
          </w:p>
        </w:tc>
        <w:tc>
          <w:tcPr>
            <w:tcW w:w="1237" w:type="dxa"/>
            <w:vAlign w:val="center"/>
          </w:tcPr>
          <w:p w:rsidR="005C0219" w:rsidRDefault="00422530">
            <w:pPr>
              <w:jc w:val="right"/>
            </w:pPr>
            <w:r>
              <w:rPr>
                <w:color w:val="000000"/>
                <w:sz w:val="24"/>
                <w:szCs w:val="24"/>
              </w:rPr>
              <w:t>6.17</w:t>
            </w:r>
          </w:p>
        </w:tc>
      </w:tr>
      <w:tr w:rsidR="005C0219">
        <w:trPr>
          <w:jc w:val="center"/>
        </w:trPr>
        <w:tc>
          <w:tcPr>
            <w:tcW w:w="850" w:type="dxa"/>
            <w:vAlign w:val="center"/>
          </w:tcPr>
          <w:p w:rsidR="005C0219" w:rsidRDefault="00422530">
            <w:pPr>
              <w:jc w:val="center"/>
            </w:pPr>
            <w:r>
              <w:rPr>
                <w:color w:val="000000"/>
                <w:sz w:val="24"/>
                <w:szCs w:val="24"/>
              </w:rPr>
              <w:t>4</w:t>
            </w:r>
          </w:p>
        </w:tc>
        <w:tc>
          <w:tcPr>
            <w:tcW w:w="1475" w:type="dxa"/>
            <w:vAlign w:val="center"/>
          </w:tcPr>
          <w:p w:rsidR="005C0219" w:rsidRDefault="00422530">
            <w:pPr>
              <w:jc w:val="center"/>
            </w:pPr>
            <w:r>
              <w:rPr>
                <w:color w:val="000000"/>
                <w:sz w:val="24"/>
                <w:szCs w:val="24"/>
              </w:rPr>
              <w:t>143538</w:t>
            </w:r>
          </w:p>
        </w:tc>
        <w:tc>
          <w:tcPr>
            <w:tcW w:w="1769" w:type="dxa"/>
            <w:vAlign w:val="center"/>
          </w:tcPr>
          <w:p w:rsidR="005C0219" w:rsidRDefault="00422530">
            <w:pPr>
              <w:jc w:val="center"/>
            </w:pPr>
            <w:r>
              <w:rPr>
                <w:color w:val="000000"/>
                <w:sz w:val="24"/>
                <w:szCs w:val="24"/>
              </w:rPr>
              <w:t>18</w:t>
            </w:r>
            <w:r>
              <w:rPr>
                <w:color w:val="000000"/>
                <w:sz w:val="24"/>
                <w:szCs w:val="24"/>
              </w:rPr>
              <w:t>陆债</w:t>
            </w:r>
            <w:r>
              <w:rPr>
                <w:color w:val="000000"/>
                <w:sz w:val="24"/>
                <w:szCs w:val="24"/>
              </w:rPr>
              <w:t>01</w:t>
            </w:r>
          </w:p>
        </w:tc>
        <w:tc>
          <w:tcPr>
            <w:tcW w:w="1387" w:type="dxa"/>
            <w:vAlign w:val="center"/>
          </w:tcPr>
          <w:p w:rsidR="005C0219" w:rsidRDefault="00422530">
            <w:pPr>
              <w:jc w:val="right"/>
            </w:pPr>
            <w:r>
              <w:rPr>
                <w:color w:val="000000"/>
                <w:sz w:val="24"/>
                <w:szCs w:val="24"/>
              </w:rPr>
              <w:t>50,000</w:t>
            </w:r>
          </w:p>
        </w:tc>
        <w:tc>
          <w:tcPr>
            <w:tcW w:w="2150" w:type="dxa"/>
            <w:vAlign w:val="center"/>
          </w:tcPr>
          <w:p w:rsidR="005C0219" w:rsidRDefault="00422530">
            <w:pPr>
              <w:jc w:val="right"/>
            </w:pPr>
            <w:r>
              <w:rPr>
                <w:color w:val="000000"/>
                <w:sz w:val="24"/>
                <w:szCs w:val="24"/>
              </w:rPr>
              <w:t>5,084,000.00</w:t>
            </w:r>
          </w:p>
        </w:tc>
        <w:tc>
          <w:tcPr>
            <w:tcW w:w="1237" w:type="dxa"/>
            <w:vAlign w:val="center"/>
          </w:tcPr>
          <w:p w:rsidR="005C0219" w:rsidRDefault="00422530">
            <w:pPr>
              <w:jc w:val="right"/>
            </w:pPr>
            <w:r>
              <w:rPr>
                <w:color w:val="000000"/>
                <w:sz w:val="24"/>
                <w:szCs w:val="24"/>
              </w:rPr>
              <w:t>6.17</w:t>
            </w:r>
          </w:p>
        </w:tc>
      </w:tr>
      <w:tr w:rsidR="005C0219">
        <w:trPr>
          <w:jc w:val="center"/>
        </w:trPr>
        <w:tc>
          <w:tcPr>
            <w:tcW w:w="850" w:type="dxa"/>
            <w:vAlign w:val="center"/>
          </w:tcPr>
          <w:p w:rsidR="005C0219" w:rsidRDefault="00422530">
            <w:pPr>
              <w:jc w:val="center"/>
            </w:pPr>
            <w:r>
              <w:rPr>
                <w:color w:val="000000"/>
                <w:sz w:val="24"/>
                <w:szCs w:val="24"/>
              </w:rPr>
              <w:t>5</w:t>
            </w:r>
          </w:p>
        </w:tc>
        <w:tc>
          <w:tcPr>
            <w:tcW w:w="1475" w:type="dxa"/>
            <w:vAlign w:val="center"/>
          </w:tcPr>
          <w:p w:rsidR="005C0219" w:rsidRDefault="00422530">
            <w:pPr>
              <w:jc w:val="center"/>
            </w:pPr>
            <w:r>
              <w:rPr>
                <w:color w:val="000000"/>
                <w:sz w:val="24"/>
                <w:szCs w:val="24"/>
              </w:rPr>
              <w:t>101762054</w:t>
            </w:r>
          </w:p>
        </w:tc>
        <w:tc>
          <w:tcPr>
            <w:tcW w:w="1769" w:type="dxa"/>
            <w:vAlign w:val="center"/>
          </w:tcPr>
          <w:p w:rsidR="005C0219" w:rsidRDefault="00422530">
            <w:pPr>
              <w:jc w:val="center"/>
            </w:pPr>
            <w:r>
              <w:rPr>
                <w:color w:val="000000"/>
                <w:sz w:val="24"/>
                <w:szCs w:val="24"/>
              </w:rPr>
              <w:t>17</w:t>
            </w:r>
            <w:r>
              <w:rPr>
                <w:color w:val="000000"/>
                <w:sz w:val="24"/>
                <w:szCs w:val="24"/>
              </w:rPr>
              <w:t>浙国贸</w:t>
            </w:r>
            <w:r>
              <w:rPr>
                <w:color w:val="000000"/>
                <w:sz w:val="24"/>
                <w:szCs w:val="24"/>
              </w:rPr>
              <w:t>MTN002</w:t>
            </w:r>
          </w:p>
        </w:tc>
        <w:tc>
          <w:tcPr>
            <w:tcW w:w="1387" w:type="dxa"/>
            <w:vAlign w:val="center"/>
          </w:tcPr>
          <w:p w:rsidR="005C0219" w:rsidRDefault="00422530">
            <w:pPr>
              <w:jc w:val="right"/>
            </w:pPr>
            <w:r>
              <w:rPr>
                <w:color w:val="000000"/>
                <w:sz w:val="24"/>
                <w:szCs w:val="24"/>
              </w:rPr>
              <w:t>50,000</w:t>
            </w:r>
          </w:p>
        </w:tc>
        <w:tc>
          <w:tcPr>
            <w:tcW w:w="2150" w:type="dxa"/>
            <w:vAlign w:val="center"/>
          </w:tcPr>
          <w:p w:rsidR="005C0219" w:rsidRDefault="00422530">
            <w:pPr>
              <w:jc w:val="right"/>
            </w:pPr>
            <w:r>
              <w:rPr>
                <w:color w:val="000000"/>
                <w:sz w:val="24"/>
                <w:szCs w:val="24"/>
              </w:rPr>
              <w:t>5,070,500.00</w:t>
            </w:r>
          </w:p>
        </w:tc>
        <w:tc>
          <w:tcPr>
            <w:tcW w:w="1237" w:type="dxa"/>
            <w:vAlign w:val="center"/>
          </w:tcPr>
          <w:p w:rsidR="005C0219" w:rsidRDefault="00422530">
            <w:pPr>
              <w:jc w:val="right"/>
            </w:pPr>
            <w:r>
              <w:rPr>
                <w:color w:val="000000"/>
                <w:sz w:val="24"/>
                <w:szCs w:val="24"/>
              </w:rPr>
              <w:t>6.15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39,108.01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3,697,893.44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1,087,220.35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317.60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4,824,539.40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422530" w:rsidP="001F3E2A">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hint="eastAsia"/>
          <w:color w:val="000000" w:themeColor="text1"/>
          <w:sz w:val="24"/>
          <w:szCs w:val="24"/>
        </w:rPr>
        <w:t>本基金本报告期内未交易或持有基金</w:t>
      </w:r>
      <w:r w:rsidR="001F3E2A" w:rsidRPr="00575270">
        <w:rPr>
          <w:rFonts w:eastAsiaTheme="minorEastAsia"/>
          <w:color w:val="000000" w:themeColor="text1"/>
          <w:sz w:val="24"/>
          <w:szCs w:val="24"/>
        </w:rPr>
        <w:t>。</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103,719,852.57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80,112.72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22,385,163.83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81,414,801.46</w:t>
            </w:r>
          </w:p>
        </w:tc>
      </w:tr>
    </w:tbl>
    <w:p w:rsidR="005C0219" w:rsidRDefault="0042253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C0219" w:rsidRDefault="0042253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、中国证监会准予交银施罗德荣和保本混合型证券投资基金募集注册的文件；</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、《交银施罗德安心收益债券型证券投资基金基金合同》；</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、《交银施罗德安心收益债券型证券投资基金招募说明书》；</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、《交银施罗德安心收益债券型证券投资基金托管协议》；</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、《交银施罗德荣和保本混合型证券投资基金基金合同》；</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、《交银施罗德荣和保本混合型证券投资基金招募说明书》；</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、《交银施罗德荣和保本混合型证券投资基金托管协议》；</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、《交银施罗德荣和保本混合型证券投资基金保证合同》；</w:t>
      </w:r>
    </w:p>
    <w:p w:rsidR="005C0219" w:rsidRDefault="00422530">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、关于申请募集注册交银施罗德荣和保本混合型证券投资基金的法律意见书；</w:t>
      </w:r>
      <w:r>
        <w:rPr>
          <w:color w:val="000000"/>
          <w:sz w:val="24"/>
          <w:szCs w:val="24"/>
        </w:rPr>
        <w:t xml:space="preserve"> </w:t>
      </w:r>
    </w:p>
    <w:p w:rsidR="005C0219" w:rsidRDefault="00422530">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、关于修改《交银施罗德荣和保本混合型证券投资基金基金合同》的法律意见书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、报告期内交银施罗德荣和保本混合型证券投资基金、交银施罗德安心收益债券型证券投资基金在指定报刊上各项公告的原稿。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C0219" w:rsidRDefault="0042253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94D" w:rsidRDefault="0046794D" w:rsidP="00876D65">
      <w:r>
        <w:separator/>
      </w:r>
    </w:p>
  </w:endnote>
  <w:endnote w:type="continuationSeparator" w:id="0">
    <w:p w:rsidR="0046794D" w:rsidRDefault="0046794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A3D33">
      <w:rPr>
        <w:noProof/>
        <w:kern w:val="0"/>
        <w:szCs w:val="21"/>
      </w:rPr>
      <w:t>4</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4A3D33">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94D" w:rsidRDefault="0046794D" w:rsidP="00876D65">
      <w:r>
        <w:separator/>
      </w:r>
    </w:p>
  </w:footnote>
  <w:footnote w:type="continuationSeparator" w:id="0">
    <w:p w:rsidR="0046794D" w:rsidRDefault="0046794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交银施罗德安心收益债券型证券投资基金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36E"/>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2530"/>
    <w:rsid w:val="00426096"/>
    <w:rsid w:val="00427F58"/>
    <w:rsid w:val="00433805"/>
    <w:rsid w:val="00443869"/>
    <w:rsid w:val="00443ABF"/>
    <w:rsid w:val="00460575"/>
    <w:rsid w:val="00463EC0"/>
    <w:rsid w:val="00464787"/>
    <w:rsid w:val="0046794D"/>
    <w:rsid w:val="00471408"/>
    <w:rsid w:val="00480B35"/>
    <w:rsid w:val="004858E0"/>
    <w:rsid w:val="00491C81"/>
    <w:rsid w:val="004934E9"/>
    <w:rsid w:val="004943C2"/>
    <w:rsid w:val="004949F3"/>
    <w:rsid w:val="004A11A7"/>
    <w:rsid w:val="004A3D33"/>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57F7D"/>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C0219"/>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2B6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208E"/>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2529"/>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8ED7EF-A4B1-4551-A263-B24FA423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1061-5EC5-4D21-8BA0-D6B550C0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13</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584</cp:revision>
  <dcterms:created xsi:type="dcterms:W3CDTF">2012-10-16T06:07:00Z</dcterms:created>
  <dcterms:modified xsi:type="dcterms:W3CDTF">2018-10-23T01:59:00Z</dcterms:modified>
</cp:coreProperties>
</file>