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121,161,278.70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121,057,277.63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104,001.07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(2018年7月1日-2018年9月30日)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425,509.24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845.38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284,350.06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-41.09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144,008,761.40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123,754.59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1.190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0.25%</w:t>
            </w:r>
          </w:p>
        </w:tc>
        <w:tc>
          <w:tcPr>
            <w:vAlign w:val="center"/>
          </w:tcPr>
          <w:p>
            <w:pPr>
              <w:jc w:val="center"/>
            </w:pPr>
            <w:r>
              <w:rPr>
                <w:color w:val="000000"/>
                <w:sz w:val="24"/>
              </w:rPr>
              <w:t>0.33%</w:t>
            </w:r>
          </w:p>
        </w:tc>
        <w:tc>
          <w:tcPr>
            <w:vAlign w:val="center"/>
          </w:tcPr>
          <w:p>
            <w:pPr>
              <w:jc w:val="center"/>
            </w:pPr>
            <w:r>
              <w:rPr>
                <w:color w:val="000000"/>
                <w:sz w:val="24"/>
              </w:rPr>
              <w:t>-0.60%</w:t>
            </w:r>
          </w:p>
        </w:tc>
        <w:tc>
          <w:tcPr>
            <w:vAlign w:val="center"/>
          </w:tcPr>
          <w:p>
            <w:pPr>
              <w:jc w:val="center"/>
            </w:pPr>
            <w:r>
              <w:rPr>
                <w:color w:val="000000"/>
                <w:sz w:val="24"/>
              </w:rPr>
              <w:t>0.67%</w:t>
            </w:r>
          </w:p>
        </w:tc>
        <w:tc>
          <w:tcPr>
            <w:vAlign w:val="center"/>
          </w:tcPr>
          <w:p>
            <w:pPr>
              <w:jc w:val="center"/>
            </w:pPr>
            <w:r>
              <w:rPr>
                <w:color w:val="000000"/>
                <w:sz w:val="24"/>
              </w:rPr>
              <w:t>0.85%</w:t>
            </w:r>
          </w:p>
        </w:tc>
        <w:tc>
          <w:tcPr>
            <w:vAlign w:val="center"/>
          </w:tcPr>
          <w:p>
            <w:pPr>
              <w:jc w:val="center"/>
            </w:pPr>
            <w:r>
              <w:rPr>
                <w:color w:val="000000"/>
                <w:sz w:val="24"/>
              </w:rPr>
              <w:t>-0.34%</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0.34%</w:t>
            </w:r>
          </w:p>
        </w:tc>
        <w:tc>
          <w:tcPr>
            <w:vAlign w:val="center"/>
          </w:tcPr>
          <w:p>
            <w:pPr>
              <w:jc w:val="center"/>
            </w:pPr>
            <w:r>
              <w:rPr>
                <w:color w:val="000000"/>
                <w:sz w:val="24"/>
              </w:rPr>
              <w:t>0.35%</w:t>
            </w:r>
          </w:p>
        </w:tc>
        <w:tc>
          <w:tcPr>
            <w:vAlign w:val="center"/>
          </w:tcPr>
          <w:p>
            <w:pPr>
              <w:jc w:val="center"/>
            </w:pPr>
            <w:r>
              <w:rPr>
                <w:color w:val="000000"/>
                <w:sz w:val="24"/>
              </w:rPr>
              <w:t>-0.60%</w:t>
            </w:r>
          </w:p>
        </w:tc>
        <w:tc>
          <w:tcPr>
            <w:vAlign w:val="center"/>
          </w:tcPr>
          <w:p>
            <w:pPr>
              <w:jc w:val="center"/>
            </w:pPr>
            <w:r>
              <w:rPr>
                <w:color w:val="000000"/>
                <w:sz w:val="24"/>
              </w:rPr>
              <w:t>0.67%</w:t>
            </w:r>
          </w:p>
        </w:tc>
        <w:tc>
          <w:tcPr>
            <w:vAlign w:val="center"/>
          </w:tcPr>
          <w:p>
            <w:pPr>
              <w:jc w:val="center"/>
            </w:pPr>
            <w:r>
              <w:rPr>
                <w:color w:val="000000"/>
                <w:sz w:val="24"/>
              </w:rPr>
              <w:t>0.94%</w:t>
            </w:r>
          </w:p>
        </w:tc>
        <w:tc>
          <w:tcPr>
            <w:vAlign w:val="center"/>
          </w:tcPr>
          <w:p>
            <w:pPr>
              <w:jc w:val="center"/>
            </w:pPr>
            <w:r>
              <w:rPr>
                <w:color w:val="000000"/>
                <w:sz w:val="24"/>
              </w:rPr>
              <w:t>-0.32%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2018年9月30日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注：图示日期为2015年6月2日至2018年9月30日。本基金建仓期为自基金合同生效日起的6个月。截至建仓期结束，本基金各项资产配置比例符合基金合同及招募说明书有关投资比例的约定。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注：本基金自2015年11月19日起，开始销售C类份额，当日投资者提交的申购申请于2015年11月20日被确认并将有效份额登记在册。图示日期为2015年11月20日至2018年9月30日。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裕祥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CPI也再次回到2%以上，同时国际原油价格突破新高，叠加人民币贬值预期，输入性通胀预期不断增强，市场陷入“滞涨”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0.92%和12.16%，10年期国债收益率上行13BP至3.61%，10年期国开债收益率小幅下行5BP至4.20%。</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策略层面，本基金重点关注中短久期信用债的配置价值，保持适度久期，同时保持组合流动性。本基金也积极关注权益二级市场的投资机会，从各方面争取为持有人赚取回报。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2018年四季度，“滞涨”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债券方面，在保持组合流动性的前提下关注交易窗口，把握适度久期，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30,357,407.36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30,357,407.36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20.99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110,262,000.00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76.23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110,262,000.00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76.23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1,877,173.50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1,646,723.60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144,643,304.46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22,015,407.36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15.27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2,050,000.00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6,292,000.00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4.37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30,357,407.36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21.06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78,000</w:t>
            </w:r>
          </w:p>
        </w:tc>
        <w:tc>
          <w:tcPr>
            <w:vAlign w:val="center"/>
          </w:tcPr>
          <w:p>
            <w:pPr>
              <w:jc w:val="right"/>
            </w:pPr>
            <w:r>
              <w:rPr>
                <w:color w:val="000000"/>
                <w:sz w:val="24"/>
              </w:rPr>
              <w:t>4,953,000.00</w:t>
            </w:r>
          </w:p>
        </w:tc>
        <w:tc>
          <w:tcPr>
            <w:vAlign w:val="center"/>
          </w:tcPr>
          <w:p>
            <w:pPr>
              <w:jc w:val="right"/>
            </w:pPr>
            <w:r>
              <w:rPr>
                <w:color w:val="000000"/>
                <w:sz w:val="24"/>
              </w:rPr>
              <w:t>3.44</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6,000</w:t>
            </w:r>
          </w:p>
        </w:tc>
        <w:tc>
          <w:tcPr>
            <w:vAlign w:val="center"/>
          </w:tcPr>
          <w:p>
            <w:pPr>
              <w:jc w:val="right"/>
            </w:pPr>
            <w:r>
              <w:rPr>
                <w:color w:val="000000"/>
                <w:sz w:val="24"/>
              </w:rPr>
              <w:t>4,380,000.00</w:t>
            </w:r>
          </w:p>
        </w:tc>
        <w:tc>
          <w:tcPr>
            <w:vAlign w:val="center"/>
          </w:tcPr>
          <w:p>
            <w:pPr>
              <w:jc w:val="right"/>
            </w:pPr>
            <w:r>
              <w:rPr>
                <w:color w:val="000000"/>
                <w:sz w:val="24"/>
              </w:rPr>
              <w:t>3.04</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150,000</w:t>
            </w:r>
          </w:p>
        </w:tc>
        <w:tc>
          <w:tcPr>
            <w:vAlign w:val="center"/>
          </w:tcPr>
          <w:p>
            <w:pPr>
              <w:jc w:val="right"/>
            </w:pPr>
            <w:r>
              <w:rPr>
                <w:color w:val="000000"/>
                <w:sz w:val="24"/>
              </w:rPr>
              <w:t>3,852,000.00</w:t>
            </w:r>
          </w:p>
        </w:tc>
        <w:tc>
          <w:tcPr>
            <w:vAlign w:val="center"/>
          </w:tcPr>
          <w:p>
            <w:pPr>
              <w:jc w:val="right"/>
            </w:pPr>
            <w:r>
              <w:rPr>
                <w:color w:val="000000"/>
                <w:sz w:val="24"/>
              </w:rPr>
              <w:t>2.67</w:t>
            </w:r>
          </w:p>
        </w:tc>
      </w:tr>
      <w:tr>
        <w:tc>
          <w:tcPr>
            <w:vAlign w:val="center"/>
          </w:tcPr>
          <w:p>
            <w:pPr>
              <w:jc w:val="center"/>
            </w:pPr>
            <w:r>
              <w:rPr>
                <w:color w:val="000000"/>
                <w:sz w:val="24"/>
              </w:rPr>
              <w:t>4</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200,000</w:t>
            </w:r>
          </w:p>
        </w:tc>
        <w:tc>
          <w:tcPr>
            <w:vAlign w:val="center"/>
          </w:tcPr>
          <w:p>
            <w:pPr>
              <w:jc w:val="right"/>
            </w:pPr>
            <w:r>
              <w:rPr>
                <w:color w:val="000000"/>
                <w:sz w:val="24"/>
              </w:rPr>
              <w:t>3,552,000.00</w:t>
            </w:r>
          </w:p>
        </w:tc>
        <w:tc>
          <w:tcPr>
            <w:vAlign w:val="center"/>
          </w:tcPr>
          <w:p>
            <w:pPr>
              <w:jc w:val="right"/>
            </w:pPr>
            <w:r>
              <w:rPr>
                <w:color w:val="000000"/>
                <w:sz w:val="24"/>
              </w:rPr>
              <w:t>2.46</w:t>
            </w:r>
          </w:p>
        </w:tc>
      </w:tr>
      <w:tr>
        <w:tc>
          <w:tcPr>
            <w:vAlign w:val="center"/>
          </w:tcPr>
          <w:p>
            <w:pPr>
              <w:jc w:val="center"/>
            </w:pPr>
            <w:r>
              <w:rPr>
                <w:color w:val="000000"/>
                <w:sz w:val="24"/>
              </w:rPr>
              <w:t>5</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40,000</w:t>
            </w:r>
          </w:p>
        </w:tc>
        <w:tc>
          <w:tcPr>
            <w:vAlign w:val="center"/>
          </w:tcPr>
          <w:p>
            <w:pPr>
              <w:jc w:val="right"/>
            </w:pPr>
            <w:r>
              <w:rPr>
                <w:color w:val="000000"/>
                <w:sz w:val="24"/>
              </w:rPr>
              <w:t>2,740,000.00</w:t>
            </w:r>
          </w:p>
        </w:tc>
        <w:tc>
          <w:tcPr>
            <w:vAlign w:val="center"/>
          </w:tcPr>
          <w:p>
            <w:pPr>
              <w:jc w:val="right"/>
            </w:pPr>
            <w:r>
              <w:rPr>
                <w:color w:val="000000"/>
                <w:sz w:val="24"/>
              </w:rPr>
              <w:t>1.90</w:t>
            </w:r>
          </w:p>
        </w:tc>
      </w:tr>
      <w:tr>
        <w:tc>
          <w:tcPr>
            <w:vAlign w:val="center"/>
          </w:tcPr>
          <w:p>
            <w:pPr>
              <w:jc w:val="center"/>
            </w:pPr>
            <w:r>
              <w:rPr>
                <w:color w:val="000000"/>
                <w:sz w:val="24"/>
              </w:rPr>
              <w:t>6</w:t>
            </w:r>
          </w:p>
        </w:tc>
        <w:tc>
          <w:tcPr>
            <w:vAlign w:val="center"/>
          </w:tcPr>
          <w:p>
            <w:pPr>
              <w:jc w:val="center"/>
            </w:pPr>
            <w:r>
              <w:rPr>
                <w:color w:val="000000"/>
                <w:sz w:val="24"/>
              </w:rPr>
              <w:t>600056</w:t>
            </w:r>
          </w:p>
        </w:tc>
        <w:tc>
          <w:tcPr>
            <w:vAlign w:val="center"/>
          </w:tcPr>
          <w:p>
            <w:pPr>
              <w:jc w:val="center"/>
            </w:pPr>
            <w:r>
              <w:rPr>
                <w:color w:val="000000"/>
                <w:sz w:val="24"/>
              </w:rPr>
              <w:t>中国医药</w:t>
            </w:r>
          </w:p>
        </w:tc>
        <w:tc>
          <w:tcPr>
            <w:vAlign w:val="center"/>
          </w:tcPr>
          <w:p>
            <w:pPr>
              <w:jc w:val="right"/>
            </w:pPr>
            <w:r>
              <w:rPr>
                <w:color w:val="000000"/>
                <w:sz w:val="24"/>
              </w:rPr>
              <w:t>150,088</w:t>
            </w:r>
          </w:p>
        </w:tc>
        <w:tc>
          <w:tcPr>
            <w:vAlign w:val="center"/>
          </w:tcPr>
          <w:p>
            <w:pPr>
              <w:jc w:val="right"/>
            </w:pPr>
            <w:r>
              <w:rPr>
                <w:color w:val="000000"/>
                <w:sz w:val="24"/>
              </w:rPr>
              <w:t>2,524,480.16</w:t>
            </w:r>
          </w:p>
        </w:tc>
        <w:tc>
          <w:tcPr>
            <w:vAlign w:val="center"/>
          </w:tcPr>
          <w:p>
            <w:pPr>
              <w:jc w:val="right"/>
            </w:pPr>
            <w:r>
              <w:rPr>
                <w:color w:val="000000"/>
                <w:sz w:val="24"/>
              </w:rPr>
              <w:t>1.75</w:t>
            </w:r>
          </w:p>
        </w:tc>
      </w:tr>
      <w:tr>
        <w:tc>
          <w:tcPr>
            <w:vAlign w:val="center"/>
          </w:tcPr>
          <w:p>
            <w:pPr>
              <w:jc w:val="center"/>
            </w:pPr>
            <w:r>
              <w:rPr>
                <w:color w:val="000000"/>
                <w:sz w:val="24"/>
              </w:rPr>
              <w:t>7</w:t>
            </w:r>
          </w:p>
        </w:tc>
        <w:tc>
          <w:tcPr>
            <w:vAlign w:val="center"/>
          </w:tcPr>
          <w:p>
            <w:pPr>
              <w:jc w:val="center"/>
            </w:pPr>
            <w:r>
              <w:rPr>
                <w:color w:val="000000"/>
                <w:sz w:val="24"/>
              </w:rPr>
              <w:t>601607</w:t>
            </w:r>
          </w:p>
        </w:tc>
        <w:tc>
          <w:tcPr>
            <w:vAlign w:val="center"/>
          </w:tcPr>
          <w:p>
            <w:pPr>
              <w:jc w:val="center"/>
            </w:pPr>
            <w:r>
              <w:rPr>
                <w:color w:val="000000"/>
                <w:sz w:val="24"/>
              </w:rPr>
              <w:t>上海医药</w:t>
            </w:r>
          </w:p>
        </w:tc>
        <w:tc>
          <w:tcPr>
            <w:vAlign w:val="center"/>
          </w:tcPr>
          <w:p>
            <w:pPr>
              <w:jc w:val="right"/>
            </w:pPr>
            <w:r>
              <w:rPr>
                <w:color w:val="000000"/>
                <w:sz w:val="24"/>
              </w:rPr>
              <w:t>100,000</w:t>
            </w:r>
          </w:p>
        </w:tc>
        <w:tc>
          <w:tcPr>
            <w:vAlign w:val="center"/>
          </w:tcPr>
          <w:p>
            <w:pPr>
              <w:jc w:val="right"/>
            </w:pPr>
            <w:r>
              <w:rPr>
                <w:color w:val="000000"/>
                <w:sz w:val="24"/>
              </w:rPr>
              <w:t>2,050,000.00</w:t>
            </w:r>
          </w:p>
        </w:tc>
        <w:tc>
          <w:tcPr>
            <w:vAlign w:val="center"/>
          </w:tcPr>
          <w:p>
            <w:pPr>
              <w:jc w:val="right"/>
            </w:pPr>
            <w:r>
              <w:rPr>
                <w:color w:val="000000"/>
                <w:sz w:val="24"/>
              </w:rPr>
              <w:t>1.42</w:t>
            </w:r>
          </w:p>
        </w:tc>
      </w:tr>
      <w:tr>
        <w:tc>
          <w:tcPr>
            <w:vAlign w:val="center"/>
          </w:tcPr>
          <w:p>
            <w:pPr>
              <w:jc w:val="center"/>
            </w:pPr>
            <w:r>
              <w:rPr>
                <w:color w:val="000000"/>
                <w:sz w:val="24"/>
              </w:rPr>
              <w:t>8</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70,000</w:t>
            </w:r>
          </w:p>
        </w:tc>
        <w:tc>
          <w:tcPr>
            <w:vAlign w:val="center"/>
          </w:tcPr>
          <w:p>
            <w:pPr>
              <w:jc w:val="right"/>
            </w:pPr>
            <w:r>
              <w:rPr>
                <w:color w:val="000000"/>
                <w:sz w:val="24"/>
              </w:rPr>
              <w:t>1,612,800.00</w:t>
            </w:r>
          </w:p>
        </w:tc>
        <w:tc>
          <w:tcPr>
            <w:vAlign w:val="center"/>
          </w:tcPr>
          <w:p>
            <w:pPr>
              <w:jc w:val="right"/>
            </w:pPr>
            <w:r>
              <w:rPr>
                <w:color w:val="000000"/>
                <w:sz w:val="24"/>
              </w:rPr>
              <w:t>1.12</w:t>
            </w:r>
          </w:p>
        </w:tc>
      </w:tr>
      <w:tr>
        <w:tc>
          <w:tcPr>
            <w:vAlign w:val="center"/>
          </w:tcPr>
          <w:p>
            <w:pPr>
              <w:jc w:val="center"/>
            </w:pPr>
            <w:r>
              <w:rPr>
                <w:color w:val="000000"/>
                <w:sz w:val="24"/>
              </w:rPr>
              <w:t>9</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40,000</w:t>
            </w:r>
          </w:p>
        </w:tc>
        <w:tc>
          <w:tcPr>
            <w:vAlign w:val="center"/>
          </w:tcPr>
          <w:p>
            <w:pPr>
              <w:jc w:val="right"/>
            </w:pPr>
            <w:r>
              <w:rPr>
                <w:color w:val="000000"/>
                <w:sz w:val="24"/>
              </w:rPr>
              <w:t>1,331,200.00</w:t>
            </w:r>
          </w:p>
        </w:tc>
        <w:tc>
          <w:tcPr>
            <w:vAlign w:val="center"/>
          </w:tcPr>
          <w:p>
            <w:pPr>
              <w:jc w:val="right"/>
            </w:pPr>
            <w:r>
              <w:rPr>
                <w:color w:val="000000"/>
                <w:sz w:val="24"/>
              </w:rPr>
              <w:t>0.92</w:t>
            </w:r>
          </w:p>
        </w:tc>
      </w:tr>
      <w:tr>
        <w:tc>
          <w:tcPr>
            <w:vAlign w:val="center"/>
          </w:tcPr>
          <w:p>
            <w:pPr>
              <w:jc w:val="center"/>
            </w:pPr>
            <w:r>
              <w:rPr>
                <w:color w:val="000000"/>
                <w:sz w:val="24"/>
              </w:rPr>
              <w:t>10</w:t>
            </w:r>
          </w:p>
        </w:tc>
        <w:tc>
          <w:tcPr>
            <w:vAlign w:val="center"/>
          </w:tcPr>
          <w:p>
            <w:pPr>
              <w:jc w:val="center"/>
            </w:pPr>
            <w:r>
              <w:rPr>
                <w:color w:val="000000"/>
                <w:sz w:val="24"/>
              </w:rPr>
              <w:t>600329</w:t>
            </w:r>
          </w:p>
        </w:tc>
        <w:tc>
          <w:tcPr>
            <w:vAlign w:val="center"/>
          </w:tcPr>
          <w:p>
            <w:pPr>
              <w:jc w:val="center"/>
            </w:pPr>
            <w:r>
              <w:rPr>
                <w:color w:val="000000"/>
                <w:sz w:val="24"/>
              </w:rPr>
              <w:t>中新药业</w:t>
            </w:r>
          </w:p>
        </w:tc>
        <w:tc>
          <w:tcPr>
            <w:vAlign w:val="center"/>
          </w:tcPr>
          <w:p>
            <w:pPr>
              <w:jc w:val="right"/>
            </w:pPr>
            <w:r>
              <w:rPr>
                <w:color w:val="000000"/>
                <w:sz w:val="24"/>
              </w:rPr>
              <w:t>80,000</w:t>
            </w:r>
          </w:p>
        </w:tc>
        <w:tc>
          <w:tcPr>
            <w:vAlign w:val="center"/>
          </w:tcPr>
          <w:p>
            <w:pPr>
              <w:jc w:val="right"/>
            </w:pPr>
            <w:r>
              <w:rPr>
                <w:color w:val="000000"/>
                <w:sz w:val="24"/>
              </w:rPr>
              <w:t>1,224,000.00</w:t>
            </w:r>
          </w:p>
        </w:tc>
        <w:tc>
          <w:tcPr>
            <w:vAlign w:val="center"/>
          </w:tcPr>
          <w:p>
            <w:pPr>
              <w:jc w:val="right"/>
            </w:pPr>
            <w:r>
              <w:rPr>
                <w:color w:val="000000"/>
                <w:sz w:val="24"/>
              </w:rPr>
              <w:t>0.85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51,018,000.00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51,018,000.00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49,264,000.00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34.18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9,980,000.00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6.92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110,262,000.00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76.50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200,000</w:t>
            </w:r>
          </w:p>
        </w:tc>
        <w:tc>
          <w:tcPr>
            <w:vAlign w:val="center"/>
          </w:tcPr>
          <w:p>
            <w:pPr>
              <w:jc w:val="right"/>
            </w:pPr>
            <w:r>
              <w:rPr>
                <w:color w:val="000000"/>
                <w:sz w:val="24"/>
              </w:rPr>
              <w:t>20,206,000.00</w:t>
            </w:r>
          </w:p>
        </w:tc>
        <w:tc>
          <w:tcPr>
            <w:vAlign w:val="center"/>
          </w:tcPr>
          <w:p>
            <w:pPr>
              <w:jc w:val="right"/>
            </w:pPr>
            <w:r>
              <w:rPr>
                <w:color w:val="000000"/>
                <w:sz w:val="24"/>
              </w:rPr>
              <w:t>14.02</w:t>
            </w:r>
          </w:p>
        </w:tc>
      </w:tr>
      <w:tr>
        <w:tc>
          <w:tcPr>
            <w:vAlign w:val="center"/>
          </w:tcPr>
          <w:p>
            <w:pPr>
              <w:jc w:val="center"/>
            </w:pPr>
            <w:r>
              <w:rPr>
                <w:color w:val="000000"/>
                <w:sz w:val="24"/>
              </w:rPr>
              <w:t>2</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200,000</w:t>
            </w:r>
          </w:p>
        </w:tc>
        <w:tc>
          <w:tcPr>
            <w:vAlign w:val="center"/>
          </w:tcPr>
          <w:p>
            <w:pPr>
              <w:jc w:val="right"/>
            </w:pPr>
            <w:r>
              <w:rPr>
                <w:color w:val="000000"/>
                <w:sz w:val="24"/>
              </w:rPr>
              <w:t>19,746,000.00</w:t>
            </w:r>
          </w:p>
        </w:tc>
        <w:tc>
          <w:tcPr>
            <w:vAlign w:val="center"/>
          </w:tcPr>
          <w:p>
            <w:pPr>
              <w:jc w:val="right"/>
            </w:pPr>
            <w:r>
              <w:rPr>
                <w:color w:val="000000"/>
                <w:sz w:val="24"/>
              </w:rPr>
              <w:t>13.70</w:t>
            </w:r>
          </w:p>
        </w:tc>
      </w:tr>
      <w:tr>
        <w:tc>
          <w:tcPr>
            <w:vAlign w:val="center"/>
          </w:tcPr>
          <w:p>
            <w:pPr>
              <w:jc w:val="center"/>
            </w:pPr>
            <w:r>
              <w:rPr>
                <w:color w:val="000000"/>
                <w:sz w:val="24"/>
              </w:rPr>
              <w:t>3</w:t>
            </w:r>
          </w:p>
        </w:tc>
        <w:tc>
          <w:tcPr>
            <w:vAlign w:val="center"/>
          </w:tcPr>
          <w:p>
            <w:pPr>
              <w:jc w:val="center"/>
            </w:pPr>
            <w:r>
              <w:rPr>
                <w:color w:val="000000"/>
                <w:sz w:val="24"/>
              </w:rPr>
              <w:t>018005</w:t>
            </w:r>
          </w:p>
        </w:tc>
        <w:tc>
          <w:tcPr>
            <w:vAlign w:val="center"/>
          </w:tcPr>
          <w:p>
            <w:pPr>
              <w:jc w:val="center"/>
            </w:pPr>
            <w:r>
              <w:rPr>
                <w:color w:val="000000"/>
                <w:sz w:val="24"/>
              </w:rPr>
              <w:t>国开1701</w:t>
            </w:r>
          </w:p>
        </w:tc>
        <w:tc>
          <w:tcPr>
            <w:vAlign w:val="center"/>
          </w:tcPr>
          <w:p>
            <w:pPr>
              <w:jc w:val="right"/>
            </w:pPr>
            <w:r>
              <w:rPr>
                <w:color w:val="000000"/>
                <w:sz w:val="24"/>
              </w:rPr>
              <w:t>110,000</w:t>
            </w:r>
          </w:p>
        </w:tc>
        <w:tc>
          <w:tcPr>
            <w:vAlign w:val="center"/>
          </w:tcPr>
          <w:p>
            <w:pPr>
              <w:jc w:val="right"/>
            </w:pPr>
            <w:r>
              <w:rPr>
                <w:color w:val="000000"/>
                <w:sz w:val="24"/>
              </w:rPr>
              <w:t>11,066,000.00</w:t>
            </w:r>
          </w:p>
        </w:tc>
        <w:tc>
          <w:tcPr>
            <w:vAlign w:val="center"/>
          </w:tcPr>
          <w:p>
            <w:pPr>
              <w:jc w:val="right"/>
            </w:pPr>
            <w:r>
              <w:rPr>
                <w:color w:val="000000"/>
                <w:sz w:val="24"/>
              </w:rPr>
              <w:t>7.68</w:t>
            </w:r>
          </w:p>
        </w:tc>
      </w:tr>
      <w:tr>
        <w:tc>
          <w:tcPr>
            <w:vAlign w:val="center"/>
          </w:tcPr>
          <w:p>
            <w:pPr>
              <w:jc w:val="center"/>
            </w:pPr>
            <w:r>
              <w:rPr>
                <w:color w:val="000000"/>
                <w:sz w:val="24"/>
              </w:rPr>
              <w:t>4</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100,000</w:t>
            </w:r>
          </w:p>
        </w:tc>
        <w:tc>
          <w:tcPr>
            <w:vAlign w:val="center"/>
          </w:tcPr>
          <w:p>
            <w:pPr>
              <w:jc w:val="right"/>
            </w:pPr>
            <w:r>
              <w:rPr>
                <w:color w:val="000000"/>
                <w:sz w:val="24"/>
              </w:rPr>
              <w:t>10,140,000.00</w:t>
            </w:r>
          </w:p>
        </w:tc>
        <w:tc>
          <w:tcPr>
            <w:vAlign w:val="center"/>
          </w:tcPr>
          <w:p>
            <w:pPr>
              <w:jc w:val="right"/>
            </w:pPr>
            <w:r>
              <w:rPr>
                <w:color w:val="000000"/>
                <w:sz w:val="24"/>
              </w:rPr>
              <w:t>7.04</w:t>
            </w:r>
          </w:p>
        </w:tc>
      </w:tr>
      <w:tr>
        <w:tc>
          <w:tcPr>
            <w:vAlign w:val="center"/>
          </w:tcPr>
          <w:p>
            <w:pPr>
              <w:jc w:val="center"/>
            </w:pPr>
            <w:r>
              <w:rPr>
                <w:color w:val="000000"/>
                <w:sz w:val="24"/>
              </w:rPr>
              <w:t>5</w:t>
            </w:r>
          </w:p>
        </w:tc>
        <w:tc>
          <w:tcPr>
            <w:vAlign w:val="center"/>
          </w:tcPr>
          <w:p>
            <w:pPr>
              <w:jc w:val="center"/>
            </w:pPr>
            <w:r>
              <w:rPr>
                <w:color w:val="000000"/>
                <w:sz w:val="24"/>
              </w:rPr>
              <w:t>143570</w:t>
            </w:r>
          </w:p>
        </w:tc>
        <w:tc>
          <w:tcPr>
            <w:vAlign w:val="center"/>
          </w:tcPr>
          <w:p>
            <w:pPr>
              <w:jc w:val="center"/>
            </w:pPr>
            <w:r>
              <w:rPr>
                <w:color w:val="000000"/>
                <w:sz w:val="24"/>
              </w:rPr>
              <w:t>18兵器01</w:t>
            </w:r>
          </w:p>
        </w:tc>
        <w:tc>
          <w:tcPr>
            <w:vAlign w:val="center"/>
          </w:tcPr>
          <w:p>
            <w:pPr>
              <w:jc w:val="right"/>
            </w:pPr>
            <w:r>
              <w:rPr>
                <w:color w:val="000000"/>
                <w:sz w:val="24"/>
              </w:rPr>
              <w:t>100,000</w:t>
            </w:r>
          </w:p>
        </w:tc>
        <w:tc>
          <w:tcPr>
            <w:vAlign w:val="center"/>
          </w:tcPr>
          <w:p>
            <w:pPr>
              <w:jc w:val="right"/>
            </w:pPr>
            <w:r>
              <w:rPr>
                <w:color w:val="000000"/>
                <w:sz w:val="24"/>
              </w:rPr>
              <w:t>10,097,000.00</w:t>
            </w:r>
          </w:p>
        </w:tc>
        <w:tc>
          <w:tcPr>
            <w:vAlign w:val="center"/>
          </w:tcPr>
          <w:p>
            <w:pPr>
              <w:jc w:val="right"/>
            </w:pPr>
            <w:r>
              <w:rPr>
                <w:color w:val="000000"/>
                <w:sz w:val="24"/>
              </w:rPr>
              <w:t>7.01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33,403.20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596.85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1,569,555.28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43,168.27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1,646,723.60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122,459,260.46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124,975.89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3,292,126.97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87,529.63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4,694,109.80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108,504.45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121,057,277.63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104,001.07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47,482,431.15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47,482,431.15</w:t>
            </w:r>
          </w:p>
        </w:tc>
        <w:tc>
          <w:tcPr>
            <w:vAlign w:val="center"/>
          </w:tcPr>
          <w:p>
            <w:pPr>
              <w:jc w:val="center"/>
            </w:pPr>
            <w:r>
              <w:rPr>
                <w:rFonts w:ascii="宋体" w:hAnsi="宋体" w:hint="eastAsia"/>
                <w:color w:val="000000"/>
                <w:kern w:val="0"/>
                <w:szCs w:val="21"/>
              </w:rPr>
              <w:t>39.19%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