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proofErr w:type="gramStart"/>
      <w:r w:rsidRPr="0081286B">
        <w:rPr>
          <w:b/>
          <w:sz w:val="36"/>
          <w:szCs w:val="36"/>
        </w:rPr>
        <w:t>交银施罗</w:t>
      </w:r>
      <w:proofErr w:type="gramEnd"/>
      <w:r w:rsidRPr="0081286B">
        <w:rPr>
          <w:b/>
          <w:sz w:val="36"/>
          <w:szCs w:val="36"/>
        </w:rPr>
        <w:t>德国</w:t>
      </w:r>
      <w:proofErr w:type="gramStart"/>
      <w:r w:rsidRPr="0081286B">
        <w:rPr>
          <w:b/>
          <w:sz w:val="36"/>
          <w:szCs w:val="36"/>
        </w:rPr>
        <w:t>企改</w:t>
      </w:r>
      <w:proofErr w:type="gramEnd"/>
      <w:r w:rsidRPr="0081286B">
        <w:rPr>
          <w:b/>
          <w:sz w:val="36"/>
          <w:szCs w:val="36"/>
        </w:rPr>
        <w:t>革灵活配置混合型证券投资基金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65694" w:rsidRDefault="00145A8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65694" w:rsidRDefault="00145A8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65694" w:rsidRDefault="00145A8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65694" w:rsidRDefault="00145A85">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065694" w:rsidRDefault="00145A8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2015</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607,732,548.11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。其中，本基金股票投资重点关注直接受益于国企改革红利、或在国企改革推动下盈利水平长期显著提升的其他上市公司。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45A85" w:rsidRPr="00414345" w:rsidTr="00145A8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145A85" w:rsidRPr="00414345" w:rsidTr="00145A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-29,455,886.77</w:t>
            </w:r>
          </w:p>
        </w:tc>
      </w:tr>
      <w:tr w:rsidR="00145A85" w:rsidRPr="00414345" w:rsidTr="00145A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-3,782,183.38</w:t>
            </w:r>
          </w:p>
        </w:tc>
      </w:tr>
      <w:tr w:rsidR="00145A85" w:rsidRPr="00414345" w:rsidTr="00145A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-0.0062</w:t>
            </w:r>
          </w:p>
        </w:tc>
      </w:tr>
      <w:tr w:rsidR="00145A85" w:rsidRPr="00414345" w:rsidTr="00145A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548,179,299.51</w:t>
            </w:r>
          </w:p>
        </w:tc>
      </w:tr>
      <w:tr w:rsidR="00145A85" w:rsidRPr="00414345" w:rsidTr="00145A8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0.902</w:t>
            </w:r>
          </w:p>
        </w:tc>
      </w:tr>
    </w:tbl>
    <w:p w:rsidR="00065694" w:rsidRDefault="00145A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65694">
        <w:trPr>
          <w:jc w:val="center"/>
        </w:trPr>
        <w:tc>
          <w:tcPr>
            <w:tcW w:w="1701" w:type="dxa"/>
            <w:vAlign w:val="center"/>
          </w:tcPr>
          <w:p w:rsidR="00065694" w:rsidRDefault="00145A85">
            <w:pPr>
              <w:jc w:val="left"/>
            </w:pPr>
            <w:r>
              <w:rPr>
                <w:color w:val="000000"/>
                <w:sz w:val="24"/>
                <w:szCs w:val="24"/>
              </w:rPr>
              <w:t>过去三个月</w:t>
            </w:r>
          </w:p>
        </w:tc>
        <w:tc>
          <w:tcPr>
            <w:tcW w:w="1045" w:type="dxa"/>
            <w:vAlign w:val="center"/>
          </w:tcPr>
          <w:p w:rsidR="00065694" w:rsidRDefault="00145A85">
            <w:pPr>
              <w:jc w:val="center"/>
            </w:pPr>
            <w:r>
              <w:rPr>
                <w:color w:val="000000"/>
                <w:sz w:val="24"/>
                <w:szCs w:val="24"/>
              </w:rPr>
              <w:t>-0.66%</w:t>
            </w:r>
          </w:p>
        </w:tc>
        <w:tc>
          <w:tcPr>
            <w:tcW w:w="1344" w:type="dxa"/>
            <w:vAlign w:val="center"/>
          </w:tcPr>
          <w:p w:rsidR="00065694" w:rsidRDefault="00145A85">
            <w:pPr>
              <w:jc w:val="center"/>
            </w:pPr>
            <w:r>
              <w:rPr>
                <w:color w:val="000000"/>
                <w:sz w:val="24"/>
                <w:szCs w:val="24"/>
              </w:rPr>
              <w:t>1.30%</w:t>
            </w:r>
          </w:p>
        </w:tc>
        <w:tc>
          <w:tcPr>
            <w:tcW w:w="1194" w:type="dxa"/>
            <w:vAlign w:val="center"/>
          </w:tcPr>
          <w:p w:rsidR="00065694" w:rsidRDefault="00145A85">
            <w:pPr>
              <w:jc w:val="center"/>
            </w:pPr>
            <w:r>
              <w:rPr>
                <w:color w:val="000000"/>
                <w:sz w:val="24"/>
                <w:szCs w:val="24"/>
              </w:rPr>
              <w:t>-0.58%</w:t>
            </w:r>
          </w:p>
        </w:tc>
        <w:tc>
          <w:tcPr>
            <w:tcW w:w="1492" w:type="dxa"/>
            <w:vAlign w:val="center"/>
          </w:tcPr>
          <w:p w:rsidR="00065694" w:rsidRDefault="00145A85">
            <w:pPr>
              <w:jc w:val="center"/>
            </w:pPr>
            <w:r>
              <w:rPr>
                <w:color w:val="000000"/>
                <w:sz w:val="24"/>
                <w:szCs w:val="24"/>
              </w:rPr>
              <w:t>0.81%</w:t>
            </w:r>
          </w:p>
        </w:tc>
        <w:tc>
          <w:tcPr>
            <w:tcW w:w="1194" w:type="dxa"/>
            <w:vAlign w:val="center"/>
          </w:tcPr>
          <w:p w:rsidR="00065694" w:rsidRDefault="00145A85">
            <w:pPr>
              <w:jc w:val="center"/>
            </w:pPr>
            <w:r>
              <w:rPr>
                <w:color w:val="000000"/>
                <w:sz w:val="24"/>
                <w:szCs w:val="24"/>
              </w:rPr>
              <w:t>-0.08%</w:t>
            </w:r>
          </w:p>
        </w:tc>
        <w:tc>
          <w:tcPr>
            <w:tcW w:w="898" w:type="dxa"/>
            <w:vAlign w:val="center"/>
          </w:tcPr>
          <w:p w:rsidR="00065694" w:rsidRDefault="00145A85">
            <w:pPr>
              <w:jc w:val="center"/>
            </w:pPr>
            <w:r>
              <w:rPr>
                <w:color w:val="000000"/>
                <w:sz w:val="24"/>
                <w:szCs w:val="24"/>
              </w:rPr>
              <w:t>0.49%</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+40%×</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proofErr w:type="gramStart"/>
      <w:r w:rsidRPr="00414345">
        <w:rPr>
          <w:color w:val="000000"/>
          <w:sz w:val="24"/>
          <w:szCs w:val="24"/>
        </w:rPr>
        <w:t>交银施罗</w:t>
      </w:r>
      <w:proofErr w:type="gramEnd"/>
      <w:r w:rsidRPr="00414345">
        <w:rPr>
          <w:color w:val="000000"/>
          <w:sz w:val="24"/>
          <w:szCs w:val="24"/>
        </w:rPr>
        <w:t>德国</w:t>
      </w:r>
      <w:proofErr w:type="gramStart"/>
      <w:r w:rsidRPr="00414345">
        <w:rPr>
          <w:color w:val="000000"/>
          <w:sz w:val="24"/>
          <w:szCs w:val="24"/>
        </w:rPr>
        <w:t>企改</w:t>
      </w:r>
      <w:proofErr w:type="gramEnd"/>
      <w:r w:rsidRPr="00414345">
        <w:rPr>
          <w:color w:val="000000"/>
          <w:sz w:val="24"/>
          <w:szCs w:val="24"/>
        </w:rPr>
        <w:t>革灵活配置混合型证券投资基金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65694">
        <w:trPr>
          <w:jc w:val="center"/>
        </w:trPr>
        <w:tc>
          <w:tcPr>
            <w:tcW w:w="846" w:type="dxa"/>
            <w:vAlign w:val="center"/>
          </w:tcPr>
          <w:p w:rsidR="00065694" w:rsidRDefault="00145A85">
            <w:pPr>
              <w:jc w:val="center"/>
            </w:pPr>
            <w:proofErr w:type="gramStart"/>
            <w:r>
              <w:rPr>
                <w:color w:val="000000"/>
                <w:sz w:val="24"/>
                <w:szCs w:val="24"/>
              </w:rPr>
              <w:t>沈楠</w:t>
            </w:r>
            <w:proofErr w:type="gramEnd"/>
          </w:p>
        </w:tc>
        <w:tc>
          <w:tcPr>
            <w:tcW w:w="845" w:type="dxa"/>
            <w:vAlign w:val="center"/>
          </w:tcPr>
          <w:p w:rsidR="00065694" w:rsidRDefault="00145A85">
            <w:pPr>
              <w:jc w:val="center"/>
            </w:pPr>
            <w:r>
              <w:rPr>
                <w:color w:val="000000"/>
                <w:sz w:val="24"/>
                <w:szCs w:val="24"/>
              </w:rPr>
              <w:t>交</w:t>
            </w:r>
            <w:proofErr w:type="gramStart"/>
            <w:r>
              <w:rPr>
                <w:color w:val="000000"/>
                <w:sz w:val="24"/>
                <w:szCs w:val="24"/>
              </w:rPr>
              <w:t>银主题</w:t>
            </w:r>
            <w:proofErr w:type="gramEnd"/>
            <w:r>
              <w:rPr>
                <w:color w:val="000000"/>
                <w:sz w:val="24"/>
                <w:szCs w:val="24"/>
              </w:rPr>
              <w:t>优选混合、交银国企改革灵活配置</w:t>
            </w:r>
            <w:r>
              <w:rPr>
                <w:color w:val="000000"/>
                <w:sz w:val="24"/>
                <w:szCs w:val="24"/>
              </w:rPr>
              <w:lastRenderedPageBreak/>
              <w:t>混合的基金经理</w:t>
            </w:r>
          </w:p>
        </w:tc>
        <w:tc>
          <w:tcPr>
            <w:tcW w:w="1549" w:type="dxa"/>
            <w:vAlign w:val="center"/>
          </w:tcPr>
          <w:p w:rsidR="00065694" w:rsidRDefault="00145A85">
            <w:pPr>
              <w:jc w:val="center"/>
            </w:pPr>
            <w:r>
              <w:rPr>
                <w:color w:val="000000"/>
                <w:sz w:val="24"/>
                <w:szCs w:val="24"/>
              </w:rPr>
              <w:lastRenderedPageBreak/>
              <w:t>2015-06-10</w:t>
            </w:r>
          </w:p>
        </w:tc>
        <w:tc>
          <w:tcPr>
            <w:tcW w:w="1548" w:type="dxa"/>
            <w:vAlign w:val="center"/>
          </w:tcPr>
          <w:p w:rsidR="00065694" w:rsidRDefault="00145A85">
            <w:pPr>
              <w:jc w:val="center"/>
            </w:pPr>
            <w:r>
              <w:rPr>
                <w:color w:val="000000"/>
                <w:sz w:val="24"/>
                <w:szCs w:val="24"/>
              </w:rPr>
              <w:t>-</w:t>
            </w:r>
          </w:p>
        </w:tc>
        <w:tc>
          <w:tcPr>
            <w:tcW w:w="1407" w:type="dxa"/>
            <w:vAlign w:val="center"/>
          </w:tcPr>
          <w:p w:rsidR="00065694" w:rsidRDefault="00145A85">
            <w:pPr>
              <w:jc w:val="center"/>
            </w:pPr>
            <w:r>
              <w:rPr>
                <w:color w:val="000000"/>
                <w:sz w:val="24"/>
                <w:szCs w:val="24"/>
              </w:rPr>
              <w:t>9</w:t>
            </w:r>
            <w:r>
              <w:rPr>
                <w:color w:val="000000"/>
                <w:sz w:val="24"/>
                <w:szCs w:val="24"/>
              </w:rPr>
              <w:t>年</w:t>
            </w:r>
          </w:p>
        </w:tc>
        <w:tc>
          <w:tcPr>
            <w:tcW w:w="2673" w:type="dxa"/>
            <w:vAlign w:val="center"/>
          </w:tcPr>
          <w:p w:rsidR="00065694" w:rsidRDefault="00145A85">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65694" w:rsidRDefault="00145A8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65694" w:rsidRDefault="00145A8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65694" w:rsidRDefault="00145A8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65694" w:rsidRDefault="00145A85">
      <w:pPr>
        <w:spacing w:before="29" w:line="288" w:lineRule="auto"/>
        <w:ind w:firstLineChars="200" w:firstLine="480"/>
        <w:rPr>
          <w:color w:val="000000"/>
          <w:sz w:val="24"/>
          <w:szCs w:val="24"/>
        </w:rPr>
      </w:pPr>
      <w:r>
        <w:rPr>
          <w:color w:val="000000"/>
          <w:sz w:val="24"/>
          <w:szCs w:val="24"/>
        </w:rPr>
        <w:lastRenderedPageBreak/>
        <w:t>2018</w:t>
      </w:r>
      <w:r>
        <w:rPr>
          <w:color w:val="000000"/>
          <w:sz w:val="24"/>
          <w:szCs w:val="24"/>
        </w:rPr>
        <w:t>年三季度，国内经济内外环境的不确定性进一步增加，内部受制于基建投资的下滑</w:t>
      </w:r>
      <w:proofErr w:type="gramStart"/>
      <w:r>
        <w:rPr>
          <w:color w:val="000000"/>
          <w:sz w:val="24"/>
          <w:szCs w:val="24"/>
        </w:rPr>
        <w:t>以及社融增速</w:t>
      </w:r>
      <w:proofErr w:type="gramEnd"/>
      <w:r>
        <w:rPr>
          <w:color w:val="000000"/>
          <w:sz w:val="24"/>
          <w:szCs w:val="24"/>
        </w:rPr>
        <w:t>的放缓，外部则受困于不断升级的中美贸易战，两方面促使市场担心未来半年经济的持续下行压力。尽管政府在促进消费、刺激基建、鼓励创新、加强改革等各方面持续发力，但短期市场的风险偏好快速下行仍对估值产生巨大压缩。我们认为市场中期来看应该已经处于底部区域，但短期伴随内忧外患仍可能在低位震荡消化。</w:t>
      </w:r>
    </w:p>
    <w:p w:rsidR="00065694" w:rsidRDefault="00145A85">
      <w:pPr>
        <w:spacing w:before="29" w:line="288" w:lineRule="auto"/>
        <w:ind w:firstLineChars="200" w:firstLine="480"/>
        <w:rPr>
          <w:color w:val="000000"/>
          <w:sz w:val="24"/>
          <w:szCs w:val="24"/>
        </w:rPr>
      </w:pPr>
      <w:r>
        <w:rPr>
          <w:color w:val="000000"/>
          <w:sz w:val="24"/>
          <w:szCs w:val="24"/>
        </w:rPr>
        <w:t>随着内外环境的复杂化以及稳定经济增长预期的需要，我们预计短期国企改革的进程可能放缓，而部分领域将进入执行效果落实观察期。一旦外部环境有所改善，则中央将加快推进包括国企改革在内的一系列改革进程，因此我们继续看好该领域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内本基金重点配置了食品饮料、医药、金融地产、航空酒店等消费性行业，进一步增配了军工、计算机等成长性行业以及公用事业等稳定性行业。展望未来半年，我们认为可以继续关注重点区域的改革试点。本产品将结合外部环境的变化，综合判断下一步改革试点的突破口，把握受益于最新政策动向的国有企业，以及自身内部机制和管理体制较为出色的上市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f2"/>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145A8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469,465,577.11</w:t>
            </w:r>
          </w:p>
        </w:tc>
        <w:tc>
          <w:tcPr>
            <w:tcW w:w="2801"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85.33</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145A8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469,465,577.11</w:t>
            </w:r>
          </w:p>
        </w:tc>
        <w:tc>
          <w:tcPr>
            <w:tcW w:w="2801"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85.33</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145A85">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145A8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28,047,851.80</w:t>
            </w:r>
          </w:p>
        </w:tc>
        <w:tc>
          <w:tcPr>
            <w:tcW w:w="2801"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5.10</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145A8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28,047,851.80</w:t>
            </w:r>
          </w:p>
        </w:tc>
        <w:tc>
          <w:tcPr>
            <w:tcW w:w="2801"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5.10</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145A85">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145A8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824" w:type="dxa"/>
            <w:vAlign w:val="center"/>
          </w:tcPr>
          <w:p w:rsidR="00BF0019" w:rsidRPr="007B5F21" w:rsidRDefault="00BF0019" w:rsidP="00145A8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145A8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145A85">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46,723,939.69</w:t>
            </w:r>
          </w:p>
        </w:tc>
        <w:tc>
          <w:tcPr>
            <w:tcW w:w="2801" w:type="dxa"/>
            <w:vAlign w:val="center"/>
          </w:tcPr>
          <w:p w:rsidR="00BF0019" w:rsidRPr="007B5F21" w:rsidRDefault="00BF0019" w:rsidP="00145A85">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8.49</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145A85">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145A8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5,911,475.14</w:t>
            </w:r>
          </w:p>
        </w:tc>
        <w:tc>
          <w:tcPr>
            <w:tcW w:w="2801" w:type="dxa"/>
            <w:vAlign w:val="center"/>
          </w:tcPr>
          <w:p w:rsidR="00BF0019" w:rsidRPr="007B5F21" w:rsidRDefault="00BF0019" w:rsidP="00145A8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1.07</w:t>
            </w:r>
          </w:p>
        </w:tc>
      </w:tr>
      <w:tr w:rsidR="00BF0019" w:rsidRPr="007B5F21" w:rsidTr="00145A85">
        <w:tc>
          <w:tcPr>
            <w:tcW w:w="720" w:type="dxa"/>
            <w:vAlign w:val="center"/>
          </w:tcPr>
          <w:p w:rsidR="00BF0019" w:rsidRPr="007B5F21" w:rsidRDefault="00BF0019" w:rsidP="00145A85">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145A85">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145A8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550,148,843.74</w:t>
            </w:r>
          </w:p>
        </w:tc>
        <w:tc>
          <w:tcPr>
            <w:tcW w:w="2801" w:type="dxa"/>
            <w:vAlign w:val="center"/>
          </w:tcPr>
          <w:p w:rsidR="00BF0019" w:rsidRPr="007B5F21" w:rsidRDefault="00BF0019" w:rsidP="00145A85">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24,953,409.00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217,376,496.53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17,811,499.50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5,832,000.00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54,264,785.22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34,048,658.40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16,096,522.50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8,502,000.00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62,208,043.80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21,286,435.04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7,085,727.12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469,465,577.11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85.64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65694">
        <w:trPr>
          <w:jc w:val="center"/>
        </w:trPr>
        <w:tc>
          <w:tcPr>
            <w:tcW w:w="855" w:type="dxa"/>
            <w:vAlign w:val="center"/>
          </w:tcPr>
          <w:p w:rsidR="00065694" w:rsidRDefault="00145A85">
            <w:pPr>
              <w:jc w:val="center"/>
            </w:pPr>
            <w:r>
              <w:rPr>
                <w:color w:val="000000"/>
                <w:sz w:val="24"/>
                <w:szCs w:val="24"/>
              </w:rPr>
              <w:t>1</w:t>
            </w:r>
          </w:p>
        </w:tc>
        <w:tc>
          <w:tcPr>
            <w:tcW w:w="1334" w:type="dxa"/>
            <w:vAlign w:val="center"/>
          </w:tcPr>
          <w:p w:rsidR="00065694" w:rsidRDefault="00145A85">
            <w:pPr>
              <w:jc w:val="center"/>
            </w:pPr>
            <w:r>
              <w:rPr>
                <w:color w:val="000000"/>
                <w:sz w:val="24"/>
                <w:szCs w:val="24"/>
              </w:rPr>
              <w:t>600048</w:t>
            </w:r>
          </w:p>
        </w:tc>
        <w:tc>
          <w:tcPr>
            <w:tcW w:w="1777" w:type="dxa"/>
            <w:vAlign w:val="center"/>
          </w:tcPr>
          <w:p w:rsidR="00065694" w:rsidRDefault="00145A85">
            <w:pPr>
              <w:jc w:val="center"/>
            </w:pPr>
            <w:r>
              <w:rPr>
                <w:color w:val="000000"/>
                <w:sz w:val="24"/>
                <w:szCs w:val="24"/>
              </w:rPr>
              <w:t>保利地产</w:t>
            </w:r>
          </w:p>
        </w:tc>
        <w:tc>
          <w:tcPr>
            <w:tcW w:w="1334" w:type="dxa"/>
            <w:vAlign w:val="center"/>
          </w:tcPr>
          <w:p w:rsidR="00065694" w:rsidRDefault="00145A85">
            <w:pPr>
              <w:jc w:val="right"/>
            </w:pPr>
            <w:r>
              <w:rPr>
                <w:color w:val="000000"/>
                <w:sz w:val="24"/>
                <w:szCs w:val="24"/>
              </w:rPr>
              <w:t>1,392,100</w:t>
            </w:r>
          </w:p>
        </w:tc>
        <w:tc>
          <w:tcPr>
            <w:tcW w:w="1924" w:type="dxa"/>
            <w:vAlign w:val="center"/>
          </w:tcPr>
          <w:p w:rsidR="00065694" w:rsidRDefault="00145A85">
            <w:pPr>
              <w:jc w:val="right"/>
            </w:pPr>
            <w:r>
              <w:rPr>
                <w:color w:val="000000"/>
                <w:sz w:val="24"/>
                <w:szCs w:val="24"/>
              </w:rPr>
              <w:t>16,941,857.00</w:t>
            </w:r>
          </w:p>
        </w:tc>
        <w:tc>
          <w:tcPr>
            <w:tcW w:w="1644" w:type="dxa"/>
            <w:vAlign w:val="center"/>
          </w:tcPr>
          <w:p w:rsidR="00065694" w:rsidRDefault="00145A85">
            <w:pPr>
              <w:jc w:val="right"/>
            </w:pPr>
            <w:r>
              <w:rPr>
                <w:color w:val="000000"/>
                <w:sz w:val="24"/>
                <w:szCs w:val="24"/>
              </w:rPr>
              <w:t>3.09</w:t>
            </w:r>
          </w:p>
        </w:tc>
      </w:tr>
      <w:tr w:rsidR="00065694">
        <w:trPr>
          <w:jc w:val="center"/>
        </w:trPr>
        <w:tc>
          <w:tcPr>
            <w:tcW w:w="855" w:type="dxa"/>
            <w:vAlign w:val="center"/>
          </w:tcPr>
          <w:p w:rsidR="00065694" w:rsidRDefault="00145A85">
            <w:pPr>
              <w:jc w:val="center"/>
            </w:pPr>
            <w:r>
              <w:rPr>
                <w:color w:val="000000"/>
                <w:sz w:val="24"/>
                <w:szCs w:val="24"/>
              </w:rPr>
              <w:t>2</w:t>
            </w:r>
          </w:p>
        </w:tc>
        <w:tc>
          <w:tcPr>
            <w:tcW w:w="1334" w:type="dxa"/>
            <w:vAlign w:val="center"/>
          </w:tcPr>
          <w:p w:rsidR="00065694" w:rsidRDefault="00145A85">
            <w:pPr>
              <w:jc w:val="center"/>
            </w:pPr>
            <w:r>
              <w:rPr>
                <w:color w:val="000000"/>
                <w:sz w:val="24"/>
                <w:szCs w:val="24"/>
              </w:rPr>
              <w:t>601100</w:t>
            </w:r>
          </w:p>
        </w:tc>
        <w:tc>
          <w:tcPr>
            <w:tcW w:w="1777" w:type="dxa"/>
            <w:vAlign w:val="center"/>
          </w:tcPr>
          <w:p w:rsidR="00065694" w:rsidRDefault="00145A85">
            <w:pPr>
              <w:jc w:val="center"/>
            </w:pPr>
            <w:r>
              <w:rPr>
                <w:color w:val="000000"/>
                <w:sz w:val="24"/>
                <w:szCs w:val="24"/>
              </w:rPr>
              <w:t>恒立液压</w:t>
            </w:r>
          </w:p>
        </w:tc>
        <w:tc>
          <w:tcPr>
            <w:tcW w:w="1334" w:type="dxa"/>
            <w:vAlign w:val="center"/>
          </w:tcPr>
          <w:p w:rsidR="00065694" w:rsidRDefault="00145A85">
            <w:pPr>
              <w:jc w:val="right"/>
            </w:pPr>
            <w:r>
              <w:rPr>
                <w:color w:val="000000"/>
                <w:sz w:val="24"/>
                <w:szCs w:val="24"/>
              </w:rPr>
              <w:t>736,347</w:t>
            </w:r>
          </w:p>
        </w:tc>
        <w:tc>
          <w:tcPr>
            <w:tcW w:w="1924" w:type="dxa"/>
            <w:vAlign w:val="center"/>
          </w:tcPr>
          <w:p w:rsidR="00065694" w:rsidRDefault="00145A85">
            <w:pPr>
              <w:jc w:val="right"/>
            </w:pPr>
            <w:r>
              <w:rPr>
                <w:color w:val="000000"/>
                <w:sz w:val="24"/>
                <w:szCs w:val="24"/>
              </w:rPr>
              <w:t>16,442,628.51</w:t>
            </w:r>
          </w:p>
        </w:tc>
        <w:tc>
          <w:tcPr>
            <w:tcW w:w="1644" w:type="dxa"/>
            <w:vAlign w:val="center"/>
          </w:tcPr>
          <w:p w:rsidR="00065694" w:rsidRDefault="00145A85">
            <w:pPr>
              <w:jc w:val="right"/>
            </w:pPr>
            <w:r>
              <w:rPr>
                <w:color w:val="000000"/>
                <w:sz w:val="24"/>
                <w:szCs w:val="24"/>
              </w:rPr>
              <w:t>3.00</w:t>
            </w:r>
          </w:p>
        </w:tc>
      </w:tr>
      <w:tr w:rsidR="00065694">
        <w:trPr>
          <w:jc w:val="center"/>
        </w:trPr>
        <w:tc>
          <w:tcPr>
            <w:tcW w:w="855" w:type="dxa"/>
            <w:vAlign w:val="center"/>
          </w:tcPr>
          <w:p w:rsidR="00065694" w:rsidRDefault="00145A85">
            <w:pPr>
              <w:jc w:val="center"/>
            </w:pPr>
            <w:r>
              <w:rPr>
                <w:color w:val="000000"/>
                <w:sz w:val="24"/>
                <w:szCs w:val="24"/>
              </w:rPr>
              <w:t>3</w:t>
            </w:r>
          </w:p>
        </w:tc>
        <w:tc>
          <w:tcPr>
            <w:tcW w:w="1334" w:type="dxa"/>
            <w:vAlign w:val="center"/>
          </w:tcPr>
          <w:p w:rsidR="00065694" w:rsidRDefault="00145A85">
            <w:pPr>
              <w:jc w:val="center"/>
            </w:pPr>
            <w:r>
              <w:rPr>
                <w:color w:val="000000"/>
                <w:sz w:val="24"/>
                <w:szCs w:val="24"/>
              </w:rPr>
              <w:t>600029</w:t>
            </w:r>
          </w:p>
        </w:tc>
        <w:tc>
          <w:tcPr>
            <w:tcW w:w="1777" w:type="dxa"/>
            <w:vAlign w:val="center"/>
          </w:tcPr>
          <w:p w:rsidR="00065694" w:rsidRDefault="00145A85">
            <w:pPr>
              <w:jc w:val="center"/>
            </w:pPr>
            <w:r>
              <w:rPr>
                <w:color w:val="000000"/>
                <w:sz w:val="24"/>
                <w:szCs w:val="24"/>
              </w:rPr>
              <w:t>南方航空</w:t>
            </w:r>
          </w:p>
        </w:tc>
        <w:tc>
          <w:tcPr>
            <w:tcW w:w="1334" w:type="dxa"/>
            <w:vAlign w:val="center"/>
          </w:tcPr>
          <w:p w:rsidR="00065694" w:rsidRDefault="00145A85">
            <w:pPr>
              <w:jc w:val="right"/>
            </w:pPr>
            <w:r>
              <w:rPr>
                <w:color w:val="000000"/>
                <w:sz w:val="24"/>
                <w:szCs w:val="24"/>
              </w:rPr>
              <w:t>2,414,200</w:t>
            </w:r>
          </w:p>
        </w:tc>
        <w:tc>
          <w:tcPr>
            <w:tcW w:w="1924" w:type="dxa"/>
            <w:vAlign w:val="center"/>
          </w:tcPr>
          <w:p w:rsidR="00065694" w:rsidRDefault="00145A85">
            <w:pPr>
              <w:jc w:val="right"/>
            </w:pPr>
            <w:r>
              <w:rPr>
                <w:color w:val="000000"/>
                <w:sz w:val="24"/>
                <w:szCs w:val="24"/>
              </w:rPr>
              <w:t>16,319,992.00</w:t>
            </w:r>
          </w:p>
        </w:tc>
        <w:tc>
          <w:tcPr>
            <w:tcW w:w="1644" w:type="dxa"/>
            <w:vAlign w:val="center"/>
          </w:tcPr>
          <w:p w:rsidR="00065694" w:rsidRDefault="00145A85">
            <w:pPr>
              <w:jc w:val="right"/>
            </w:pPr>
            <w:r>
              <w:rPr>
                <w:color w:val="000000"/>
                <w:sz w:val="24"/>
                <w:szCs w:val="24"/>
              </w:rPr>
              <w:t>2.98</w:t>
            </w:r>
          </w:p>
        </w:tc>
      </w:tr>
      <w:tr w:rsidR="00065694">
        <w:trPr>
          <w:jc w:val="center"/>
        </w:trPr>
        <w:tc>
          <w:tcPr>
            <w:tcW w:w="855" w:type="dxa"/>
            <w:vAlign w:val="center"/>
          </w:tcPr>
          <w:p w:rsidR="00065694" w:rsidRDefault="00145A85">
            <w:pPr>
              <w:jc w:val="center"/>
            </w:pPr>
            <w:r>
              <w:rPr>
                <w:color w:val="000000"/>
                <w:sz w:val="24"/>
                <w:szCs w:val="24"/>
              </w:rPr>
              <w:t>4</w:t>
            </w:r>
          </w:p>
        </w:tc>
        <w:tc>
          <w:tcPr>
            <w:tcW w:w="1334" w:type="dxa"/>
            <w:vAlign w:val="center"/>
          </w:tcPr>
          <w:p w:rsidR="00065694" w:rsidRDefault="00145A85">
            <w:pPr>
              <w:jc w:val="center"/>
            </w:pPr>
            <w:r>
              <w:rPr>
                <w:color w:val="000000"/>
                <w:sz w:val="24"/>
                <w:szCs w:val="24"/>
              </w:rPr>
              <w:t>601398</w:t>
            </w:r>
          </w:p>
        </w:tc>
        <w:tc>
          <w:tcPr>
            <w:tcW w:w="1777" w:type="dxa"/>
            <w:vAlign w:val="center"/>
          </w:tcPr>
          <w:p w:rsidR="00065694" w:rsidRDefault="00145A85">
            <w:pPr>
              <w:jc w:val="center"/>
            </w:pPr>
            <w:r>
              <w:rPr>
                <w:color w:val="000000"/>
                <w:sz w:val="24"/>
                <w:szCs w:val="24"/>
              </w:rPr>
              <w:t>工商银行</w:t>
            </w:r>
          </w:p>
        </w:tc>
        <w:tc>
          <w:tcPr>
            <w:tcW w:w="1334" w:type="dxa"/>
            <w:vAlign w:val="center"/>
          </w:tcPr>
          <w:p w:rsidR="00065694" w:rsidRDefault="00145A85">
            <w:pPr>
              <w:jc w:val="right"/>
            </w:pPr>
            <w:r>
              <w:rPr>
                <w:color w:val="000000"/>
                <w:sz w:val="24"/>
                <w:szCs w:val="24"/>
              </w:rPr>
              <w:t>2,799,900</w:t>
            </w:r>
          </w:p>
        </w:tc>
        <w:tc>
          <w:tcPr>
            <w:tcW w:w="1924" w:type="dxa"/>
            <w:vAlign w:val="center"/>
          </w:tcPr>
          <w:p w:rsidR="00065694" w:rsidRDefault="00145A85">
            <w:pPr>
              <w:jc w:val="right"/>
            </w:pPr>
            <w:r>
              <w:rPr>
                <w:color w:val="000000"/>
                <w:sz w:val="24"/>
                <w:szCs w:val="24"/>
              </w:rPr>
              <w:t>16,155,423.00</w:t>
            </w:r>
          </w:p>
        </w:tc>
        <w:tc>
          <w:tcPr>
            <w:tcW w:w="1644" w:type="dxa"/>
            <w:vAlign w:val="center"/>
          </w:tcPr>
          <w:p w:rsidR="00065694" w:rsidRDefault="00145A85">
            <w:pPr>
              <w:jc w:val="right"/>
            </w:pPr>
            <w:r>
              <w:rPr>
                <w:color w:val="000000"/>
                <w:sz w:val="24"/>
                <w:szCs w:val="24"/>
              </w:rPr>
              <w:t>2.95</w:t>
            </w:r>
          </w:p>
        </w:tc>
      </w:tr>
      <w:tr w:rsidR="00065694">
        <w:trPr>
          <w:jc w:val="center"/>
        </w:trPr>
        <w:tc>
          <w:tcPr>
            <w:tcW w:w="855" w:type="dxa"/>
            <w:vAlign w:val="center"/>
          </w:tcPr>
          <w:p w:rsidR="00065694" w:rsidRDefault="00145A85">
            <w:pPr>
              <w:jc w:val="center"/>
            </w:pPr>
            <w:r>
              <w:rPr>
                <w:color w:val="000000"/>
                <w:sz w:val="24"/>
                <w:szCs w:val="24"/>
              </w:rPr>
              <w:t>5</w:t>
            </w:r>
          </w:p>
        </w:tc>
        <w:tc>
          <w:tcPr>
            <w:tcW w:w="1334" w:type="dxa"/>
            <w:vAlign w:val="center"/>
          </w:tcPr>
          <w:p w:rsidR="00065694" w:rsidRDefault="00145A85">
            <w:pPr>
              <w:jc w:val="center"/>
            </w:pPr>
            <w:r>
              <w:rPr>
                <w:color w:val="000000"/>
                <w:sz w:val="24"/>
                <w:szCs w:val="24"/>
              </w:rPr>
              <w:t>600258</w:t>
            </w:r>
          </w:p>
        </w:tc>
        <w:tc>
          <w:tcPr>
            <w:tcW w:w="1777" w:type="dxa"/>
            <w:vAlign w:val="center"/>
          </w:tcPr>
          <w:p w:rsidR="00065694" w:rsidRDefault="00145A85">
            <w:pPr>
              <w:jc w:val="center"/>
            </w:pPr>
            <w:proofErr w:type="gramStart"/>
            <w:r>
              <w:rPr>
                <w:color w:val="000000"/>
                <w:sz w:val="24"/>
                <w:szCs w:val="24"/>
              </w:rPr>
              <w:t>首旅酒店</w:t>
            </w:r>
            <w:proofErr w:type="gramEnd"/>
          </w:p>
        </w:tc>
        <w:tc>
          <w:tcPr>
            <w:tcW w:w="1334" w:type="dxa"/>
            <w:vAlign w:val="center"/>
          </w:tcPr>
          <w:p w:rsidR="00065694" w:rsidRDefault="00145A85">
            <w:pPr>
              <w:jc w:val="right"/>
            </w:pPr>
            <w:r>
              <w:rPr>
                <w:color w:val="000000"/>
                <w:sz w:val="24"/>
                <w:szCs w:val="24"/>
              </w:rPr>
              <w:t>794,890</w:t>
            </w:r>
          </w:p>
        </w:tc>
        <w:tc>
          <w:tcPr>
            <w:tcW w:w="1924" w:type="dxa"/>
            <w:vAlign w:val="center"/>
          </w:tcPr>
          <w:p w:rsidR="00065694" w:rsidRDefault="00145A85">
            <w:pPr>
              <w:jc w:val="right"/>
            </w:pPr>
            <w:r>
              <w:rPr>
                <w:color w:val="000000"/>
                <w:sz w:val="24"/>
                <w:szCs w:val="24"/>
              </w:rPr>
              <w:t>16,096,522.50</w:t>
            </w:r>
          </w:p>
        </w:tc>
        <w:tc>
          <w:tcPr>
            <w:tcW w:w="1644" w:type="dxa"/>
            <w:vAlign w:val="center"/>
          </w:tcPr>
          <w:p w:rsidR="00065694" w:rsidRDefault="00145A85">
            <w:pPr>
              <w:jc w:val="right"/>
            </w:pPr>
            <w:r>
              <w:rPr>
                <w:color w:val="000000"/>
                <w:sz w:val="24"/>
                <w:szCs w:val="24"/>
              </w:rPr>
              <w:t>2.94</w:t>
            </w:r>
          </w:p>
        </w:tc>
      </w:tr>
      <w:tr w:rsidR="00065694">
        <w:trPr>
          <w:jc w:val="center"/>
        </w:trPr>
        <w:tc>
          <w:tcPr>
            <w:tcW w:w="855" w:type="dxa"/>
            <w:vAlign w:val="center"/>
          </w:tcPr>
          <w:p w:rsidR="00065694" w:rsidRDefault="00145A85">
            <w:pPr>
              <w:jc w:val="center"/>
            </w:pPr>
            <w:r>
              <w:rPr>
                <w:color w:val="000000"/>
                <w:sz w:val="24"/>
                <w:szCs w:val="24"/>
              </w:rPr>
              <w:t>6</w:t>
            </w:r>
          </w:p>
        </w:tc>
        <w:tc>
          <w:tcPr>
            <w:tcW w:w="1334" w:type="dxa"/>
            <w:vAlign w:val="center"/>
          </w:tcPr>
          <w:p w:rsidR="00065694" w:rsidRDefault="00145A85">
            <w:pPr>
              <w:jc w:val="center"/>
            </w:pPr>
            <w:r>
              <w:rPr>
                <w:color w:val="000000"/>
                <w:sz w:val="24"/>
                <w:szCs w:val="24"/>
              </w:rPr>
              <w:t>300413</w:t>
            </w:r>
          </w:p>
        </w:tc>
        <w:tc>
          <w:tcPr>
            <w:tcW w:w="1777" w:type="dxa"/>
            <w:vAlign w:val="center"/>
          </w:tcPr>
          <w:p w:rsidR="00065694" w:rsidRDefault="00145A85">
            <w:pPr>
              <w:jc w:val="center"/>
            </w:pPr>
            <w:proofErr w:type="gramStart"/>
            <w:r>
              <w:rPr>
                <w:color w:val="000000"/>
                <w:sz w:val="24"/>
                <w:szCs w:val="24"/>
              </w:rPr>
              <w:t>芒果超媒</w:t>
            </w:r>
            <w:proofErr w:type="gramEnd"/>
          </w:p>
        </w:tc>
        <w:tc>
          <w:tcPr>
            <w:tcW w:w="1334" w:type="dxa"/>
            <w:vAlign w:val="center"/>
          </w:tcPr>
          <w:p w:rsidR="00065694" w:rsidRDefault="00145A85">
            <w:pPr>
              <w:jc w:val="right"/>
            </w:pPr>
            <w:r>
              <w:rPr>
                <w:color w:val="000000"/>
                <w:sz w:val="24"/>
                <w:szCs w:val="24"/>
              </w:rPr>
              <w:t>466,820</w:t>
            </w:r>
          </w:p>
        </w:tc>
        <w:tc>
          <w:tcPr>
            <w:tcW w:w="1924" w:type="dxa"/>
            <w:vAlign w:val="center"/>
          </w:tcPr>
          <w:p w:rsidR="00065694" w:rsidRDefault="00145A85">
            <w:pPr>
              <w:jc w:val="right"/>
            </w:pPr>
            <w:r>
              <w:rPr>
                <w:color w:val="000000"/>
                <w:sz w:val="24"/>
                <w:szCs w:val="24"/>
              </w:rPr>
              <w:t>15,745,838.60</w:t>
            </w:r>
          </w:p>
        </w:tc>
        <w:tc>
          <w:tcPr>
            <w:tcW w:w="1644" w:type="dxa"/>
            <w:vAlign w:val="center"/>
          </w:tcPr>
          <w:p w:rsidR="00065694" w:rsidRDefault="00145A85">
            <w:pPr>
              <w:jc w:val="right"/>
            </w:pPr>
            <w:r>
              <w:rPr>
                <w:color w:val="000000"/>
                <w:sz w:val="24"/>
                <w:szCs w:val="24"/>
              </w:rPr>
              <w:t>2.87</w:t>
            </w:r>
          </w:p>
        </w:tc>
      </w:tr>
      <w:tr w:rsidR="00065694">
        <w:trPr>
          <w:jc w:val="center"/>
        </w:trPr>
        <w:tc>
          <w:tcPr>
            <w:tcW w:w="855" w:type="dxa"/>
            <w:vAlign w:val="center"/>
          </w:tcPr>
          <w:p w:rsidR="00065694" w:rsidRDefault="00145A85">
            <w:pPr>
              <w:jc w:val="center"/>
            </w:pPr>
            <w:r>
              <w:rPr>
                <w:color w:val="000000"/>
                <w:sz w:val="24"/>
                <w:szCs w:val="24"/>
              </w:rPr>
              <w:t>7</w:t>
            </w:r>
          </w:p>
        </w:tc>
        <w:tc>
          <w:tcPr>
            <w:tcW w:w="1334" w:type="dxa"/>
            <w:vAlign w:val="center"/>
          </w:tcPr>
          <w:p w:rsidR="00065694" w:rsidRDefault="00145A85">
            <w:pPr>
              <w:jc w:val="center"/>
            </w:pPr>
            <w:r>
              <w:rPr>
                <w:color w:val="000000"/>
                <w:sz w:val="24"/>
                <w:szCs w:val="24"/>
              </w:rPr>
              <w:t>600990</w:t>
            </w:r>
          </w:p>
        </w:tc>
        <w:tc>
          <w:tcPr>
            <w:tcW w:w="1777" w:type="dxa"/>
            <w:vAlign w:val="center"/>
          </w:tcPr>
          <w:p w:rsidR="00065694" w:rsidRDefault="00145A85">
            <w:pPr>
              <w:jc w:val="center"/>
            </w:pPr>
            <w:r>
              <w:rPr>
                <w:color w:val="000000"/>
                <w:sz w:val="24"/>
                <w:szCs w:val="24"/>
              </w:rPr>
              <w:t>四</w:t>
            </w:r>
            <w:proofErr w:type="gramStart"/>
            <w:r>
              <w:rPr>
                <w:color w:val="000000"/>
                <w:sz w:val="24"/>
                <w:szCs w:val="24"/>
              </w:rPr>
              <w:t>创电子</w:t>
            </w:r>
            <w:proofErr w:type="gramEnd"/>
          </w:p>
        </w:tc>
        <w:tc>
          <w:tcPr>
            <w:tcW w:w="1334" w:type="dxa"/>
            <w:vAlign w:val="center"/>
          </w:tcPr>
          <w:p w:rsidR="00065694" w:rsidRDefault="00145A85">
            <w:pPr>
              <w:jc w:val="right"/>
            </w:pPr>
            <w:r>
              <w:rPr>
                <w:color w:val="000000"/>
                <w:sz w:val="24"/>
                <w:szCs w:val="24"/>
              </w:rPr>
              <w:t>364,710</w:t>
            </w:r>
          </w:p>
        </w:tc>
        <w:tc>
          <w:tcPr>
            <w:tcW w:w="1924" w:type="dxa"/>
            <w:vAlign w:val="center"/>
          </w:tcPr>
          <w:p w:rsidR="00065694" w:rsidRDefault="00145A85">
            <w:pPr>
              <w:jc w:val="right"/>
            </w:pPr>
            <w:r>
              <w:rPr>
                <w:color w:val="000000"/>
                <w:sz w:val="24"/>
                <w:szCs w:val="24"/>
              </w:rPr>
              <w:t>15,682,530.00</w:t>
            </w:r>
          </w:p>
        </w:tc>
        <w:tc>
          <w:tcPr>
            <w:tcW w:w="1644" w:type="dxa"/>
            <w:vAlign w:val="center"/>
          </w:tcPr>
          <w:p w:rsidR="00065694" w:rsidRDefault="00145A85">
            <w:pPr>
              <w:jc w:val="right"/>
            </w:pPr>
            <w:r>
              <w:rPr>
                <w:color w:val="000000"/>
                <w:sz w:val="24"/>
                <w:szCs w:val="24"/>
              </w:rPr>
              <w:t>2.86</w:t>
            </w:r>
          </w:p>
        </w:tc>
      </w:tr>
      <w:tr w:rsidR="00065694">
        <w:trPr>
          <w:jc w:val="center"/>
        </w:trPr>
        <w:tc>
          <w:tcPr>
            <w:tcW w:w="855" w:type="dxa"/>
            <w:vAlign w:val="center"/>
          </w:tcPr>
          <w:p w:rsidR="00065694" w:rsidRDefault="00145A85">
            <w:pPr>
              <w:jc w:val="center"/>
            </w:pPr>
            <w:r>
              <w:rPr>
                <w:color w:val="000000"/>
                <w:sz w:val="24"/>
                <w:szCs w:val="24"/>
              </w:rPr>
              <w:t>8</w:t>
            </w:r>
          </w:p>
        </w:tc>
        <w:tc>
          <w:tcPr>
            <w:tcW w:w="1334" w:type="dxa"/>
            <w:vAlign w:val="center"/>
          </w:tcPr>
          <w:p w:rsidR="00065694" w:rsidRDefault="00145A85">
            <w:pPr>
              <w:jc w:val="center"/>
            </w:pPr>
            <w:r>
              <w:rPr>
                <w:color w:val="000000"/>
                <w:sz w:val="24"/>
                <w:szCs w:val="24"/>
              </w:rPr>
              <w:t>603043</w:t>
            </w:r>
          </w:p>
        </w:tc>
        <w:tc>
          <w:tcPr>
            <w:tcW w:w="1777" w:type="dxa"/>
            <w:vAlign w:val="center"/>
          </w:tcPr>
          <w:p w:rsidR="00065694" w:rsidRDefault="00145A85">
            <w:pPr>
              <w:jc w:val="center"/>
            </w:pPr>
            <w:r>
              <w:rPr>
                <w:color w:val="000000"/>
                <w:sz w:val="24"/>
                <w:szCs w:val="24"/>
              </w:rPr>
              <w:t>广州酒家</w:t>
            </w:r>
          </w:p>
        </w:tc>
        <w:tc>
          <w:tcPr>
            <w:tcW w:w="1334" w:type="dxa"/>
            <w:vAlign w:val="center"/>
          </w:tcPr>
          <w:p w:rsidR="00065694" w:rsidRDefault="00145A85">
            <w:pPr>
              <w:jc w:val="right"/>
            </w:pPr>
            <w:r>
              <w:rPr>
                <w:color w:val="000000"/>
                <w:sz w:val="24"/>
                <w:szCs w:val="24"/>
              </w:rPr>
              <w:t>632,267</w:t>
            </w:r>
          </w:p>
        </w:tc>
        <w:tc>
          <w:tcPr>
            <w:tcW w:w="1924" w:type="dxa"/>
            <w:vAlign w:val="center"/>
          </w:tcPr>
          <w:p w:rsidR="00065694" w:rsidRDefault="00145A85">
            <w:pPr>
              <w:jc w:val="right"/>
            </w:pPr>
            <w:r>
              <w:rPr>
                <w:color w:val="000000"/>
                <w:sz w:val="24"/>
                <w:szCs w:val="24"/>
              </w:rPr>
              <w:t>15,667,576.26</w:t>
            </w:r>
          </w:p>
        </w:tc>
        <w:tc>
          <w:tcPr>
            <w:tcW w:w="1644" w:type="dxa"/>
            <w:vAlign w:val="center"/>
          </w:tcPr>
          <w:p w:rsidR="00065694" w:rsidRDefault="00145A85">
            <w:pPr>
              <w:jc w:val="right"/>
            </w:pPr>
            <w:r>
              <w:rPr>
                <w:color w:val="000000"/>
                <w:sz w:val="24"/>
                <w:szCs w:val="24"/>
              </w:rPr>
              <w:t>2.86</w:t>
            </w:r>
          </w:p>
        </w:tc>
      </w:tr>
      <w:tr w:rsidR="00065694">
        <w:trPr>
          <w:jc w:val="center"/>
        </w:trPr>
        <w:tc>
          <w:tcPr>
            <w:tcW w:w="855" w:type="dxa"/>
            <w:vAlign w:val="center"/>
          </w:tcPr>
          <w:p w:rsidR="00065694" w:rsidRDefault="00145A85">
            <w:pPr>
              <w:jc w:val="center"/>
            </w:pPr>
            <w:r>
              <w:rPr>
                <w:color w:val="000000"/>
                <w:sz w:val="24"/>
                <w:szCs w:val="24"/>
              </w:rPr>
              <w:t>9</w:t>
            </w:r>
          </w:p>
        </w:tc>
        <w:tc>
          <w:tcPr>
            <w:tcW w:w="1334" w:type="dxa"/>
            <w:vAlign w:val="center"/>
          </w:tcPr>
          <w:p w:rsidR="00065694" w:rsidRDefault="00145A85">
            <w:pPr>
              <w:jc w:val="center"/>
            </w:pPr>
            <w:r>
              <w:rPr>
                <w:color w:val="000000"/>
                <w:sz w:val="24"/>
                <w:szCs w:val="24"/>
              </w:rPr>
              <w:t>600511</w:t>
            </w:r>
          </w:p>
        </w:tc>
        <w:tc>
          <w:tcPr>
            <w:tcW w:w="1777" w:type="dxa"/>
            <w:vAlign w:val="center"/>
          </w:tcPr>
          <w:p w:rsidR="00065694" w:rsidRDefault="00145A85">
            <w:pPr>
              <w:jc w:val="center"/>
            </w:pPr>
            <w:r>
              <w:rPr>
                <w:color w:val="000000"/>
                <w:sz w:val="24"/>
                <w:szCs w:val="24"/>
              </w:rPr>
              <w:t>国药股份</w:t>
            </w:r>
          </w:p>
        </w:tc>
        <w:tc>
          <w:tcPr>
            <w:tcW w:w="1334" w:type="dxa"/>
            <w:vAlign w:val="center"/>
          </w:tcPr>
          <w:p w:rsidR="00065694" w:rsidRDefault="00145A85">
            <w:pPr>
              <w:jc w:val="right"/>
            </w:pPr>
            <w:r>
              <w:rPr>
                <w:color w:val="000000"/>
                <w:sz w:val="24"/>
                <w:szCs w:val="24"/>
              </w:rPr>
              <w:t>591,920</w:t>
            </w:r>
          </w:p>
        </w:tc>
        <w:tc>
          <w:tcPr>
            <w:tcW w:w="1924" w:type="dxa"/>
            <w:vAlign w:val="center"/>
          </w:tcPr>
          <w:p w:rsidR="00065694" w:rsidRDefault="00145A85">
            <w:pPr>
              <w:jc w:val="right"/>
            </w:pPr>
            <w:r>
              <w:rPr>
                <w:color w:val="000000"/>
                <w:sz w:val="24"/>
                <w:szCs w:val="24"/>
              </w:rPr>
              <w:t>15,543,819.20</w:t>
            </w:r>
          </w:p>
        </w:tc>
        <w:tc>
          <w:tcPr>
            <w:tcW w:w="1644" w:type="dxa"/>
            <w:vAlign w:val="center"/>
          </w:tcPr>
          <w:p w:rsidR="00065694" w:rsidRDefault="00145A85">
            <w:pPr>
              <w:jc w:val="right"/>
            </w:pPr>
            <w:r>
              <w:rPr>
                <w:color w:val="000000"/>
                <w:sz w:val="24"/>
                <w:szCs w:val="24"/>
              </w:rPr>
              <w:t>2.84</w:t>
            </w:r>
          </w:p>
        </w:tc>
      </w:tr>
      <w:tr w:rsidR="00065694">
        <w:trPr>
          <w:jc w:val="center"/>
        </w:trPr>
        <w:tc>
          <w:tcPr>
            <w:tcW w:w="855" w:type="dxa"/>
            <w:vAlign w:val="center"/>
          </w:tcPr>
          <w:p w:rsidR="00065694" w:rsidRDefault="00145A85">
            <w:pPr>
              <w:jc w:val="center"/>
            </w:pPr>
            <w:r>
              <w:rPr>
                <w:color w:val="000000"/>
                <w:sz w:val="24"/>
                <w:szCs w:val="24"/>
              </w:rPr>
              <w:t>10</w:t>
            </w:r>
          </w:p>
        </w:tc>
        <w:tc>
          <w:tcPr>
            <w:tcW w:w="1334" w:type="dxa"/>
            <w:vAlign w:val="center"/>
          </w:tcPr>
          <w:p w:rsidR="00065694" w:rsidRDefault="00145A85">
            <w:pPr>
              <w:jc w:val="center"/>
            </w:pPr>
            <w:r>
              <w:rPr>
                <w:color w:val="000000"/>
                <w:sz w:val="24"/>
                <w:szCs w:val="24"/>
              </w:rPr>
              <w:t>600056</w:t>
            </w:r>
          </w:p>
        </w:tc>
        <w:tc>
          <w:tcPr>
            <w:tcW w:w="1777" w:type="dxa"/>
            <w:vAlign w:val="center"/>
          </w:tcPr>
          <w:p w:rsidR="00065694" w:rsidRDefault="00145A85">
            <w:pPr>
              <w:jc w:val="center"/>
            </w:pPr>
            <w:r>
              <w:rPr>
                <w:color w:val="000000"/>
                <w:sz w:val="24"/>
                <w:szCs w:val="24"/>
              </w:rPr>
              <w:t>中国医药</w:t>
            </w:r>
          </w:p>
        </w:tc>
        <w:tc>
          <w:tcPr>
            <w:tcW w:w="1334" w:type="dxa"/>
            <w:vAlign w:val="center"/>
          </w:tcPr>
          <w:p w:rsidR="00065694" w:rsidRDefault="00145A85">
            <w:pPr>
              <w:jc w:val="right"/>
            </w:pPr>
            <w:r>
              <w:rPr>
                <w:color w:val="000000"/>
                <w:sz w:val="24"/>
                <w:szCs w:val="24"/>
              </w:rPr>
              <w:t>917,013</w:t>
            </w:r>
          </w:p>
        </w:tc>
        <w:tc>
          <w:tcPr>
            <w:tcW w:w="1924" w:type="dxa"/>
            <w:vAlign w:val="center"/>
          </w:tcPr>
          <w:p w:rsidR="00065694" w:rsidRDefault="00145A85">
            <w:pPr>
              <w:jc w:val="right"/>
            </w:pPr>
            <w:r>
              <w:rPr>
                <w:color w:val="000000"/>
                <w:sz w:val="24"/>
                <w:szCs w:val="24"/>
              </w:rPr>
              <w:t>15,424,158.66</w:t>
            </w:r>
          </w:p>
        </w:tc>
        <w:tc>
          <w:tcPr>
            <w:tcW w:w="1644" w:type="dxa"/>
            <w:vAlign w:val="center"/>
          </w:tcPr>
          <w:p w:rsidR="00065694" w:rsidRDefault="00145A85">
            <w:pPr>
              <w:jc w:val="right"/>
            </w:pPr>
            <w:r>
              <w:rPr>
                <w:color w:val="000000"/>
                <w:sz w:val="24"/>
                <w:szCs w:val="24"/>
              </w:rPr>
              <w:t>2.81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27,857,200.00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190,651.80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0.03</w:t>
            </w:r>
          </w:p>
        </w:tc>
      </w:tr>
      <w:tr w:rsidR="00F323FF" w:rsidRPr="00414345" w:rsidTr="00145A85">
        <w:trPr>
          <w:jc w:val="center"/>
        </w:trPr>
        <w:tc>
          <w:tcPr>
            <w:tcW w:w="828" w:type="dxa"/>
            <w:vAlign w:val="center"/>
          </w:tcPr>
          <w:p w:rsidR="00F323FF" w:rsidRPr="007A70C2" w:rsidRDefault="00F323FF" w:rsidP="00145A85">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145A85">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145A85">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145A85">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28,047,851.80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65694">
        <w:trPr>
          <w:jc w:val="center"/>
        </w:trPr>
        <w:tc>
          <w:tcPr>
            <w:tcW w:w="850" w:type="dxa"/>
            <w:vAlign w:val="center"/>
          </w:tcPr>
          <w:p w:rsidR="00065694" w:rsidRDefault="00145A85">
            <w:pPr>
              <w:jc w:val="center"/>
            </w:pPr>
            <w:r>
              <w:rPr>
                <w:color w:val="000000"/>
                <w:sz w:val="24"/>
                <w:szCs w:val="24"/>
              </w:rPr>
              <w:t>1</w:t>
            </w:r>
          </w:p>
        </w:tc>
        <w:tc>
          <w:tcPr>
            <w:tcW w:w="1475" w:type="dxa"/>
            <w:vAlign w:val="center"/>
          </w:tcPr>
          <w:p w:rsidR="00065694" w:rsidRDefault="00145A85">
            <w:pPr>
              <w:jc w:val="center"/>
            </w:pPr>
            <w:r>
              <w:rPr>
                <w:color w:val="000000"/>
                <w:sz w:val="24"/>
                <w:szCs w:val="24"/>
              </w:rPr>
              <w:t>189937</w:t>
            </w:r>
          </w:p>
        </w:tc>
        <w:tc>
          <w:tcPr>
            <w:tcW w:w="1769" w:type="dxa"/>
            <w:vAlign w:val="center"/>
          </w:tcPr>
          <w:p w:rsidR="00065694" w:rsidRDefault="00145A85">
            <w:pPr>
              <w:jc w:val="center"/>
            </w:pPr>
            <w:r>
              <w:rPr>
                <w:color w:val="000000"/>
                <w:sz w:val="24"/>
                <w:szCs w:val="24"/>
              </w:rPr>
              <w:t>18</w:t>
            </w:r>
            <w:r>
              <w:rPr>
                <w:color w:val="000000"/>
                <w:sz w:val="24"/>
                <w:szCs w:val="24"/>
              </w:rPr>
              <w:t>贴现国债</w:t>
            </w:r>
            <w:r>
              <w:rPr>
                <w:color w:val="000000"/>
                <w:sz w:val="24"/>
                <w:szCs w:val="24"/>
              </w:rPr>
              <w:t>37</w:t>
            </w:r>
          </w:p>
        </w:tc>
        <w:tc>
          <w:tcPr>
            <w:tcW w:w="1387" w:type="dxa"/>
            <w:vAlign w:val="center"/>
          </w:tcPr>
          <w:p w:rsidR="00065694" w:rsidRDefault="00145A85">
            <w:pPr>
              <w:jc w:val="right"/>
            </w:pPr>
            <w:r>
              <w:rPr>
                <w:color w:val="000000"/>
                <w:sz w:val="24"/>
                <w:szCs w:val="24"/>
              </w:rPr>
              <w:t>280,000</w:t>
            </w:r>
          </w:p>
        </w:tc>
        <w:tc>
          <w:tcPr>
            <w:tcW w:w="2150" w:type="dxa"/>
            <w:vAlign w:val="center"/>
          </w:tcPr>
          <w:p w:rsidR="00065694" w:rsidRDefault="00145A85">
            <w:pPr>
              <w:jc w:val="right"/>
            </w:pPr>
            <w:r>
              <w:rPr>
                <w:color w:val="000000"/>
                <w:sz w:val="24"/>
                <w:szCs w:val="24"/>
              </w:rPr>
              <w:t>27,857,200.00</w:t>
            </w:r>
          </w:p>
        </w:tc>
        <w:tc>
          <w:tcPr>
            <w:tcW w:w="1237" w:type="dxa"/>
            <w:vAlign w:val="center"/>
          </w:tcPr>
          <w:p w:rsidR="00065694" w:rsidRDefault="00145A85">
            <w:pPr>
              <w:jc w:val="right"/>
            </w:pPr>
            <w:r>
              <w:rPr>
                <w:color w:val="000000"/>
                <w:sz w:val="24"/>
                <w:szCs w:val="24"/>
              </w:rPr>
              <w:t>5.08</w:t>
            </w:r>
          </w:p>
        </w:tc>
      </w:tr>
      <w:tr w:rsidR="00065694">
        <w:trPr>
          <w:jc w:val="center"/>
        </w:trPr>
        <w:tc>
          <w:tcPr>
            <w:tcW w:w="850" w:type="dxa"/>
            <w:vAlign w:val="center"/>
          </w:tcPr>
          <w:p w:rsidR="00065694" w:rsidRDefault="00145A85">
            <w:pPr>
              <w:jc w:val="center"/>
            </w:pPr>
            <w:r>
              <w:rPr>
                <w:color w:val="000000"/>
                <w:sz w:val="24"/>
                <w:szCs w:val="24"/>
              </w:rPr>
              <w:t>2</w:t>
            </w:r>
          </w:p>
        </w:tc>
        <w:tc>
          <w:tcPr>
            <w:tcW w:w="1475" w:type="dxa"/>
            <w:vAlign w:val="center"/>
          </w:tcPr>
          <w:p w:rsidR="00065694" w:rsidRDefault="00145A85">
            <w:pPr>
              <w:jc w:val="center"/>
            </w:pPr>
            <w:r>
              <w:rPr>
                <w:color w:val="000000"/>
                <w:sz w:val="24"/>
                <w:szCs w:val="24"/>
              </w:rPr>
              <w:t>113517</w:t>
            </w:r>
          </w:p>
        </w:tc>
        <w:tc>
          <w:tcPr>
            <w:tcW w:w="1769" w:type="dxa"/>
            <w:vAlign w:val="center"/>
          </w:tcPr>
          <w:p w:rsidR="00065694" w:rsidRDefault="00145A85">
            <w:pPr>
              <w:jc w:val="center"/>
            </w:pPr>
            <w:r>
              <w:rPr>
                <w:color w:val="000000"/>
                <w:sz w:val="24"/>
                <w:szCs w:val="24"/>
              </w:rPr>
              <w:t>曙光转债</w:t>
            </w:r>
          </w:p>
        </w:tc>
        <w:tc>
          <w:tcPr>
            <w:tcW w:w="1387" w:type="dxa"/>
            <w:vAlign w:val="center"/>
          </w:tcPr>
          <w:p w:rsidR="00065694" w:rsidRDefault="00145A85">
            <w:pPr>
              <w:jc w:val="right"/>
            </w:pPr>
            <w:r>
              <w:rPr>
                <w:color w:val="000000"/>
                <w:sz w:val="24"/>
                <w:szCs w:val="24"/>
              </w:rPr>
              <w:t>1,740</w:t>
            </w:r>
          </w:p>
        </w:tc>
        <w:tc>
          <w:tcPr>
            <w:tcW w:w="2150" w:type="dxa"/>
            <w:vAlign w:val="center"/>
          </w:tcPr>
          <w:p w:rsidR="00065694" w:rsidRDefault="00145A85">
            <w:pPr>
              <w:jc w:val="right"/>
            </w:pPr>
            <w:r>
              <w:rPr>
                <w:color w:val="000000"/>
                <w:sz w:val="24"/>
                <w:szCs w:val="24"/>
              </w:rPr>
              <w:t>190,651.80</w:t>
            </w:r>
          </w:p>
        </w:tc>
        <w:tc>
          <w:tcPr>
            <w:tcW w:w="1237" w:type="dxa"/>
            <w:vAlign w:val="center"/>
          </w:tcPr>
          <w:p w:rsidR="00065694" w:rsidRDefault="00145A85">
            <w:pPr>
              <w:jc w:val="right"/>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065694">
        <w:trPr>
          <w:jc w:val="center"/>
        </w:trPr>
        <w:tc>
          <w:tcPr>
            <w:tcW w:w="1478" w:type="dxa"/>
            <w:vAlign w:val="center"/>
          </w:tcPr>
          <w:p w:rsidR="00065694" w:rsidRDefault="00145A85">
            <w:pPr>
              <w:jc w:val="center"/>
            </w:pPr>
            <w:r>
              <w:t>IC1812</w:t>
            </w:r>
          </w:p>
        </w:tc>
        <w:tc>
          <w:tcPr>
            <w:tcW w:w="1479" w:type="dxa"/>
            <w:vAlign w:val="center"/>
          </w:tcPr>
          <w:p w:rsidR="00065694" w:rsidRDefault="00145A85">
            <w:pPr>
              <w:jc w:val="left"/>
            </w:pPr>
            <w:r>
              <w:t>IC1812</w:t>
            </w:r>
          </w:p>
        </w:tc>
        <w:tc>
          <w:tcPr>
            <w:tcW w:w="1479" w:type="dxa"/>
            <w:vAlign w:val="center"/>
          </w:tcPr>
          <w:p w:rsidR="00065694" w:rsidRDefault="00145A85">
            <w:pPr>
              <w:jc w:val="right"/>
            </w:pPr>
            <w:r>
              <w:t>20.00</w:t>
            </w:r>
          </w:p>
        </w:tc>
        <w:tc>
          <w:tcPr>
            <w:tcW w:w="1479" w:type="dxa"/>
            <w:vAlign w:val="center"/>
          </w:tcPr>
          <w:p w:rsidR="00065694" w:rsidRDefault="00145A85">
            <w:pPr>
              <w:jc w:val="right"/>
            </w:pPr>
            <w:r>
              <w:t>18,992,800.00</w:t>
            </w:r>
          </w:p>
        </w:tc>
        <w:tc>
          <w:tcPr>
            <w:tcW w:w="1480" w:type="dxa"/>
            <w:vAlign w:val="center"/>
          </w:tcPr>
          <w:p w:rsidR="00065694" w:rsidRDefault="00145A85">
            <w:pPr>
              <w:jc w:val="right"/>
            </w:pPr>
            <w:r>
              <w:t>1,018,400.00</w:t>
            </w:r>
          </w:p>
        </w:tc>
        <w:tc>
          <w:tcPr>
            <w:tcW w:w="1473" w:type="dxa"/>
            <w:vAlign w:val="center"/>
          </w:tcPr>
          <w:p w:rsidR="00065694" w:rsidRDefault="00145A85">
            <w:pPr>
              <w:jc w:val="left"/>
            </w:pPr>
            <w:r>
              <w:t>-</w:t>
            </w:r>
          </w:p>
        </w:tc>
      </w:tr>
      <w:tr w:rsidR="00065694">
        <w:trPr>
          <w:jc w:val="center"/>
        </w:trPr>
        <w:tc>
          <w:tcPr>
            <w:tcW w:w="1478" w:type="dxa"/>
            <w:vAlign w:val="center"/>
          </w:tcPr>
          <w:p w:rsidR="00065694" w:rsidRDefault="00145A85">
            <w:pPr>
              <w:jc w:val="center"/>
            </w:pPr>
            <w:r>
              <w:t>IF1812</w:t>
            </w:r>
          </w:p>
        </w:tc>
        <w:tc>
          <w:tcPr>
            <w:tcW w:w="1479" w:type="dxa"/>
            <w:vAlign w:val="center"/>
          </w:tcPr>
          <w:p w:rsidR="00065694" w:rsidRDefault="00145A85">
            <w:pPr>
              <w:jc w:val="left"/>
            </w:pPr>
            <w:r>
              <w:t>IF1812</w:t>
            </w:r>
          </w:p>
        </w:tc>
        <w:tc>
          <w:tcPr>
            <w:tcW w:w="1479" w:type="dxa"/>
            <w:vAlign w:val="center"/>
          </w:tcPr>
          <w:p w:rsidR="00065694" w:rsidRDefault="00145A85">
            <w:pPr>
              <w:jc w:val="right"/>
            </w:pPr>
            <w:r>
              <w:t>10.00</w:t>
            </w:r>
          </w:p>
        </w:tc>
        <w:tc>
          <w:tcPr>
            <w:tcW w:w="1479" w:type="dxa"/>
            <w:vAlign w:val="center"/>
          </w:tcPr>
          <w:p w:rsidR="00065694" w:rsidRDefault="00145A85">
            <w:pPr>
              <w:jc w:val="right"/>
            </w:pPr>
            <w:r>
              <w:t>10,315,200.00</w:t>
            </w:r>
          </w:p>
        </w:tc>
        <w:tc>
          <w:tcPr>
            <w:tcW w:w="1480" w:type="dxa"/>
            <w:vAlign w:val="center"/>
          </w:tcPr>
          <w:p w:rsidR="00065694" w:rsidRDefault="00145A85">
            <w:pPr>
              <w:jc w:val="right"/>
            </w:pPr>
            <w:r>
              <w:t>766,800.00</w:t>
            </w:r>
          </w:p>
        </w:tc>
        <w:tc>
          <w:tcPr>
            <w:tcW w:w="1473" w:type="dxa"/>
            <w:vAlign w:val="center"/>
          </w:tcPr>
          <w:p w:rsidR="00065694" w:rsidRDefault="00145A85">
            <w:pPr>
              <w:jc w:val="left"/>
            </w:pPr>
            <w: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1,785,200.00</w:t>
            </w:r>
          </w:p>
        </w:tc>
        <w:bookmarkStart w:id="0" w:name="_GoBack"/>
        <w:bookmarkEnd w:id="0"/>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145A85" w:rsidP="00C15CAC">
            <w:pPr>
              <w:pStyle w:val="Default"/>
              <w:spacing w:before="29" w:line="288" w:lineRule="auto"/>
              <w:jc w:val="right"/>
              <w:rPr>
                <w:rFonts w:ascii="Times New Roman" w:hAnsi="Times New Roman" w:cs="Times New Roman"/>
                <w:color w:val="auto"/>
              </w:rPr>
            </w:pPr>
            <w:r w:rsidRPr="00145A85">
              <w:rPr>
                <w:rFonts w:ascii="Times New Roman" w:hAnsi="Times New Roman" w:cs="Times New Roman"/>
                <w:color w:val="auto"/>
              </w:rPr>
              <w:t>-1</w:t>
            </w:r>
            <w:r w:rsidR="00EE2CBD">
              <w:rPr>
                <w:rFonts w:ascii="Times New Roman" w:hAnsi="Times New Roman" w:cs="Times New Roman"/>
                <w:color w:val="auto"/>
              </w:rPr>
              <w:t>,</w:t>
            </w:r>
            <w:r w:rsidRPr="00145A85">
              <w:rPr>
                <w:rFonts w:ascii="Times New Roman" w:hAnsi="Times New Roman" w:cs="Times New Roman"/>
                <w:color w:val="auto"/>
              </w:rPr>
              <w:t>865</w:t>
            </w:r>
            <w:r w:rsidR="00EE2CBD">
              <w:rPr>
                <w:rFonts w:ascii="Times New Roman" w:hAnsi="Times New Roman" w:cs="Times New Roman"/>
                <w:color w:val="auto"/>
              </w:rPr>
              <w:t>,</w:t>
            </w:r>
            <w:r w:rsidRPr="00145A85">
              <w:rPr>
                <w:rFonts w:ascii="Times New Roman" w:hAnsi="Times New Roman" w:cs="Times New Roman"/>
                <w:color w:val="auto"/>
              </w:rPr>
              <w:t>180.00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1,733,500.00</w:t>
            </w:r>
          </w:p>
        </w:tc>
      </w:tr>
    </w:tbl>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5,810,476.71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86,267.56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14,730.87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5,911,475.14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lastRenderedPageBreak/>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145A85">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618,610,622.09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6,170,612.09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17,048,686.07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607,732,548.11</w:t>
            </w:r>
          </w:p>
        </w:tc>
      </w:tr>
    </w:tbl>
    <w:p w:rsidR="00065694" w:rsidRDefault="00145A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65694" w:rsidRDefault="00145A8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w:t>
      </w:r>
      <w:proofErr w:type="gramStart"/>
      <w:r>
        <w:rPr>
          <w:color w:val="000000"/>
          <w:sz w:val="24"/>
          <w:szCs w:val="24"/>
        </w:rPr>
        <w:t>交银施罗</w:t>
      </w:r>
      <w:proofErr w:type="gramEnd"/>
      <w:r>
        <w:rPr>
          <w:color w:val="000000"/>
          <w:sz w:val="24"/>
          <w:szCs w:val="24"/>
        </w:rPr>
        <w:t>德国</w:t>
      </w:r>
      <w:proofErr w:type="gramStart"/>
      <w:r>
        <w:rPr>
          <w:color w:val="000000"/>
          <w:sz w:val="24"/>
          <w:szCs w:val="24"/>
        </w:rPr>
        <w:t>企改</w:t>
      </w:r>
      <w:proofErr w:type="gramEnd"/>
      <w:r>
        <w:rPr>
          <w:color w:val="000000"/>
          <w:sz w:val="24"/>
          <w:szCs w:val="24"/>
        </w:rPr>
        <w:t>革灵活配置混合型证券投资基金募集注册的文件；</w:t>
      </w:r>
      <w:r>
        <w:rPr>
          <w:color w:val="000000"/>
          <w:sz w:val="24"/>
          <w:szCs w:val="24"/>
        </w:rPr>
        <w:t xml:space="preserve"> </w:t>
      </w:r>
    </w:p>
    <w:p w:rsidR="00065694" w:rsidRDefault="00145A8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、《交银施罗德国企改革灵活配置混合型证券投资基金基金合同》；</w:t>
      </w:r>
    </w:p>
    <w:p w:rsidR="00065694" w:rsidRDefault="00145A8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、《交银施罗德国企改革灵活配置混合型证券投资基金招募说明书》；</w:t>
      </w:r>
      <w:r>
        <w:rPr>
          <w:color w:val="000000"/>
          <w:sz w:val="24"/>
          <w:szCs w:val="24"/>
        </w:rPr>
        <w:t xml:space="preserve"> </w:t>
      </w:r>
    </w:p>
    <w:p w:rsidR="00065694" w:rsidRDefault="00145A8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、《交银施罗德国企改革灵活配置混合型证券投资基金托管协议》；</w:t>
      </w:r>
      <w:r>
        <w:rPr>
          <w:color w:val="000000"/>
          <w:sz w:val="24"/>
          <w:szCs w:val="24"/>
        </w:rPr>
        <w:t xml:space="preserve"> </w:t>
      </w:r>
    </w:p>
    <w:p w:rsidR="00065694" w:rsidRDefault="00145A85">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065694" w:rsidRDefault="00145A85">
      <w:pPr>
        <w:spacing w:before="29" w:line="288" w:lineRule="auto"/>
        <w:ind w:firstLineChars="200" w:firstLine="480"/>
        <w:rPr>
          <w:color w:val="000000"/>
          <w:sz w:val="24"/>
          <w:szCs w:val="24"/>
        </w:rPr>
      </w:pPr>
      <w:r>
        <w:rPr>
          <w:color w:val="000000"/>
          <w:sz w:val="24"/>
          <w:szCs w:val="24"/>
        </w:rPr>
        <w:lastRenderedPageBreak/>
        <w:t>6</w:t>
      </w:r>
      <w:r>
        <w:rPr>
          <w:color w:val="000000"/>
          <w:sz w:val="24"/>
          <w:szCs w:val="24"/>
        </w:rPr>
        <w:t>、基金托管人业务资格批件、营业执照；</w:t>
      </w:r>
    </w:p>
    <w:p w:rsidR="00065694" w:rsidRDefault="00145A85">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、关于申请募集注册</w:t>
      </w:r>
      <w:proofErr w:type="gramStart"/>
      <w:r>
        <w:rPr>
          <w:color w:val="000000"/>
          <w:sz w:val="24"/>
          <w:szCs w:val="24"/>
        </w:rPr>
        <w:t>交银施罗</w:t>
      </w:r>
      <w:proofErr w:type="gramEnd"/>
      <w:r>
        <w:rPr>
          <w:color w:val="000000"/>
          <w:sz w:val="24"/>
          <w:szCs w:val="24"/>
        </w:rPr>
        <w:t>德国</w:t>
      </w:r>
      <w:proofErr w:type="gramStart"/>
      <w:r>
        <w:rPr>
          <w:color w:val="000000"/>
          <w:sz w:val="24"/>
          <w:szCs w:val="24"/>
        </w:rPr>
        <w:t>企改</w:t>
      </w:r>
      <w:proofErr w:type="gramEnd"/>
      <w:r>
        <w:rPr>
          <w:color w:val="000000"/>
          <w:sz w:val="24"/>
          <w:szCs w:val="24"/>
        </w:rPr>
        <w:t>革灵活配置混合型证券投资基金的法律意见书；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w:t>
      </w:r>
      <w:proofErr w:type="gramStart"/>
      <w:r w:rsidRPr="00414345">
        <w:rPr>
          <w:color w:val="000000"/>
          <w:sz w:val="24"/>
          <w:szCs w:val="24"/>
        </w:rPr>
        <w:t>交银施罗</w:t>
      </w:r>
      <w:proofErr w:type="gramEnd"/>
      <w:r w:rsidRPr="00414345">
        <w:rPr>
          <w:color w:val="000000"/>
          <w:sz w:val="24"/>
          <w:szCs w:val="24"/>
        </w:rPr>
        <w:t>德国</w:t>
      </w:r>
      <w:proofErr w:type="gramStart"/>
      <w:r w:rsidRPr="00414345">
        <w:rPr>
          <w:color w:val="000000"/>
          <w:sz w:val="24"/>
          <w:szCs w:val="24"/>
        </w:rPr>
        <w:t>企改</w:t>
      </w:r>
      <w:proofErr w:type="gramEnd"/>
      <w:r w:rsidRPr="00414345">
        <w:rPr>
          <w:color w:val="000000"/>
          <w:sz w:val="24"/>
          <w:szCs w:val="24"/>
        </w:rPr>
        <w:t>革灵活配置混合型证券投资基金在指定报刊上各项公告的原稿。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65694" w:rsidRDefault="00145A8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A85" w:rsidRDefault="00145A85" w:rsidP="00876D65">
      <w:r>
        <w:separator/>
      </w:r>
    </w:p>
  </w:endnote>
  <w:endnote w:type="continuationSeparator" w:id="0">
    <w:p w:rsidR="00145A85" w:rsidRDefault="00145A8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85" w:rsidRPr="001D0DB0" w:rsidRDefault="00145A85" w:rsidP="004D340C">
    <w:pPr>
      <w:pStyle w:val="a8"/>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038FE">
      <w:rPr>
        <w:noProof/>
        <w:kern w:val="0"/>
        <w:szCs w:val="21"/>
      </w:rPr>
      <w:t>12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0038FE">
      <w:rPr>
        <w:noProof/>
        <w:kern w:val="0"/>
        <w:szCs w:val="21"/>
      </w:rPr>
      <w:t>12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A85" w:rsidRDefault="00145A85" w:rsidP="00876D65">
      <w:r>
        <w:separator/>
      </w:r>
    </w:p>
  </w:footnote>
  <w:footnote w:type="continuationSeparator" w:id="0">
    <w:p w:rsidR="00145A85" w:rsidRDefault="00145A85"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A85" w:rsidRPr="00DC456F" w:rsidRDefault="00145A85" w:rsidP="00090A26">
    <w:pPr>
      <w:pStyle w:val="ac"/>
      <w:pBdr>
        <w:bottom w:val="single" w:sz="6" w:space="0" w:color="auto"/>
      </w:pBdr>
      <w:jc w:val="right"/>
      <w:rPr>
        <w:sz w:val="24"/>
        <w:szCs w:val="24"/>
      </w:rPr>
    </w:pPr>
    <w:proofErr w:type="gramStart"/>
    <w:r w:rsidRPr="003E676C">
      <w:rPr>
        <w:sz w:val="24"/>
        <w:szCs w:val="24"/>
      </w:rPr>
      <w:t>交银施罗</w:t>
    </w:r>
    <w:proofErr w:type="gramEnd"/>
    <w:r w:rsidRPr="003E676C">
      <w:rPr>
        <w:sz w:val="24"/>
        <w:szCs w:val="24"/>
      </w:rPr>
      <w:t>德国</w:t>
    </w:r>
    <w:proofErr w:type="gramStart"/>
    <w:r w:rsidRPr="003E676C">
      <w:rPr>
        <w:sz w:val="24"/>
        <w:szCs w:val="24"/>
      </w:rPr>
      <w:t>企改革</w:t>
    </w:r>
    <w:proofErr w:type="gramEnd"/>
    <w:r w:rsidRPr="003E676C">
      <w:rPr>
        <w:sz w:val="24"/>
        <w:szCs w:val="24"/>
      </w:rPr>
      <w:t>灵活配置混合型证券投资基金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38FE"/>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5694"/>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5A85"/>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352D"/>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2CBD"/>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AD1F5E"/>
  <w15:docId w15:val="{12ACEB88-1C39-48D8-921B-FA6A9C32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58E06-F561-4AC4-969E-A7CCCBD4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1845</TotalTime>
  <Pages>12</Pages>
  <Words>1075</Words>
  <Characters>6134</Characters>
  <Application>Microsoft Office Word</Application>
  <DocSecurity>0</DocSecurity>
  <Lines>51</Lines>
  <Paragraphs>14</Paragraphs>
  <ScaleCrop>false</ScaleCrop>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蔡利群</cp:lastModifiedBy>
  <cp:revision>587</cp:revision>
  <dcterms:created xsi:type="dcterms:W3CDTF">2012-10-16T06:07:00Z</dcterms:created>
  <dcterms:modified xsi:type="dcterms:W3CDTF">2018-10-19T07:25:00Z</dcterms:modified>
</cp:coreProperties>
</file>