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交银施罗德丰享收益债券型证券投资基金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D6D17" w:rsidRDefault="00F44D55">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D6D17" w:rsidRDefault="00F44D55">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D6D17" w:rsidRDefault="00F44D55">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D6D17" w:rsidRDefault="00F44D55">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D6D17" w:rsidRDefault="00F44D55">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交银丰享收益债券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132,731,242.30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在严格控制风险和追求资产稳健增值的基础上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DD6D17" w:rsidRDefault="00F44D55">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DD6D17" w:rsidRDefault="00DD6D17">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DD6D17" w:rsidRDefault="00F44D55">
            <w:pPr>
              <w:adjustRightInd w:val="0"/>
              <w:spacing w:before="29" w:line="288" w:lineRule="auto"/>
              <w:ind w:left="17"/>
              <w:jc w:val="left"/>
              <w:rPr>
                <w:color w:val="000000"/>
                <w:sz w:val="24"/>
              </w:rPr>
            </w:pPr>
            <w:r>
              <w:rPr>
                <w:color w:val="000000"/>
                <w:kern w:val="0"/>
                <w:sz w:val="24"/>
              </w:rPr>
              <w:t>封闭期内业绩比较基准：两年期银行定期存款税后收益率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C</w:t>
            </w:r>
          </w:p>
        </w:tc>
      </w:tr>
      <w:tr w:rsidR="00C23B30" w:rsidRPr="007F52FA" w:rsidTr="009416C9">
        <w:trPr>
          <w:jc w:val="center"/>
        </w:trPr>
        <w:tc>
          <w:tcPr>
            <w:tcW w:w="3023" w:type="dxa"/>
            <w:vAlign w:val="center"/>
          </w:tcPr>
          <w:p w:rsidR="00C01EF2" w:rsidRPr="007F52FA" w:rsidRDefault="007C3DC6" w:rsidP="006F329D">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0E4C40" w:rsidRDefault="00C23B30" w:rsidP="007F50FB">
            <w:pPr>
              <w:spacing w:before="29" w:line="288" w:lineRule="auto"/>
              <w:jc w:val="left"/>
              <w:rPr>
                <w:sz w:val="24"/>
              </w:rPr>
            </w:pPr>
            <w:r w:rsidRPr="000E4C40">
              <w:rPr>
                <w:sz w:val="24"/>
              </w:rPr>
              <w:t>519746</w:t>
            </w:r>
          </w:p>
        </w:tc>
        <w:tc>
          <w:tcPr>
            <w:tcW w:w="3048" w:type="dxa"/>
            <w:vAlign w:val="center"/>
          </w:tcPr>
          <w:p w:rsidR="00C23B30" w:rsidRPr="000E4C40" w:rsidRDefault="00C23B30" w:rsidP="00A52A9E">
            <w:pPr>
              <w:spacing w:before="29" w:line="288" w:lineRule="auto"/>
              <w:jc w:val="left"/>
              <w:rPr>
                <w:sz w:val="24"/>
              </w:rPr>
            </w:pPr>
            <w:r w:rsidRPr="000E4C40">
              <w:rPr>
                <w:sz w:val="24"/>
              </w:rPr>
              <w:t>519748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117,377,087.14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15,354,155.16</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20</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交银丰享收益债券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交银丰享收益债券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5,570,169.00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248,030.78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4,975,295.88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156,428.00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0.0097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234,161,299.34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15,993,664.99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1.995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1.042</w:t>
            </w:r>
          </w:p>
        </w:tc>
      </w:tr>
    </w:tbl>
    <w:p w:rsidR="00DD6D17" w:rsidRDefault="00F44D5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lastRenderedPageBreak/>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交银丰享收益债券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D6D17">
        <w:trPr>
          <w:jc w:val="center"/>
        </w:trPr>
        <w:tc>
          <w:tcPr>
            <w:tcW w:w="1266" w:type="dxa"/>
            <w:vAlign w:val="center"/>
          </w:tcPr>
          <w:p w:rsidR="00DD6D17" w:rsidRDefault="00F44D55">
            <w:pPr>
              <w:jc w:val="left"/>
            </w:pPr>
            <w:r>
              <w:rPr>
                <w:color w:val="000000"/>
                <w:sz w:val="24"/>
              </w:rPr>
              <w:t>过去三个月</w:t>
            </w:r>
          </w:p>
        </w:tc>
        <w:tc>
          <w:tcPr>
            <w:tcW w:w="1267" w:type="dxa"/>
            <w:vAlign w:val="center"/>
          </w:tcPr>
          <w:p w:rsidR="00DD6D17" w:rsidRDefault="00F44D55">
            <w:pPr>
              <w:jc w:val="center"/>
            </w:pPr>
            <w:r>
              <w:rPr>
                <w:color w:val="000000"/>
                <w:sz w:val="24"/>
              </w:rPr>
              <w:t>1.03%</w:t>
            </w:r>
          </w:p>
        </w:tc>
        <w:tc>
          <w:tcPr>
            <w:tcW w:w="1267" w:type="dxa"/>
            <w:vAlign w:val="center"/>
          </w:tcPr>
          <w:p w:rsidR="00DD6D17" w:rsidRDefault="00F44D55">
            <w:pPr>
              <w:jc w:val="center"/>
            </w:pPr>
            <w:r>
              <w:rPr>
                <w:color w:val="000000"/>
                <w:sz w:val="24"/>
              </w:rPr>
              <w:t>0.03%</w:t>
            </w:r>
          </w:p>
        </w:tc>
        <w:tc>
          <w:tcPr>
            <w:tcW w:w="1267" w:type="dxa"/>
            <w:vAlign w:val="center"/>
          </w:tcPr>
          <w:p w:rsidR="00DD6D17" w:rsidRDefault="00F44D55">
            <w:pPr>
              <w:jc w:val="center"/>
            </w:pPr>
            <w:r>
              <w:rPr>
                <w:color w:val="000000"/>
                <w:sz w:val="24"/>
              </w:rPr>
              <w:t>0.57%</w:t>
            </w:r>
          </w:p>
        </w:tc>
        <w:tc>
          <w:tcPr>
            <w:tcW w:w="1267" w:type="dxa"/>
            <w:vAlign w:val="center"/>
          </w:tcPr>
          <w:p w:rsidR="00DD6D17" w:rsidRDefault="00F44D55">
            <w:pPr>
              <w:jc w:val="center"/>
            </w:pPr>
            <w:r>
              <w:rPr>
                <w:color w:val="000000"/>
                <w:sz w:val="24"/>
              </w:rPr>
              <w:t>0.07%</w:t>
            </w:r>
          </w:p>
        </w:tc>
        <w:tc>
          <w:tcPr>
            <w:tcW w:w="1267" w:type="dxa"/>
            <w:vAlign w:val="center"/>
          </w:tcPr>
          <w:p w:rsidR="00DD6D17" w:rsidRDefault="00F44D55">
            <w:pPr>
              <w:jc w:val="center"/>
            </w:pPr>
            <w:r>
              <w:rPr>
                <w:color w:val="000000"/>
                <w:sz w:val="24"/>
              </w:rPr>
              <w:t>0.46%</w:t>
            </w:r>
          </w:p>
        </w:tc>
        <w:tc>
          <w:tcPr>
            <w:tcW w:w="1267" w:type="dxa"/>
            <w:vAlign w:val="center"/>
          </w:tcPr>
          <w:p w:rsidR="00DD6D17" w:rsidRDefault="00F44D55">
            <w:pPr>
              <w:jc w:val="center"/>
            </w:pPr>
            <w:r>
              <w:rPr>
                <w:color w:val="000000"/>
                <w:sz w:val="24"/>
              </w:rPr>
              <w:t>-0.04%</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交银丰享收益债券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D6D17">
        <w:trPr>
          <w:jc w:val="center"/>
        </w:trPr>
        <w:tc>
          <w:tcPr>
            <w:tcW w:w="1266" w:type="dxa"/>
            <w:vAlign w:val="center"/>
          </w:tcPr>
          <w:p w:rsidR="00DD6D17" w:rsidRDefault="00F44D55">
            <w:pPr>
              <w:jc w:val="left"/>
            </w:pPr>
            <w:r>
              <w:rPr>
                <w:color w:val="000000"/>
                <w:sz w:val="24"/>
              </w:rPr>
              <w:t>过去三个月</w:t>
            </w:r>
          </w:p>
        </w:tc>
        <w:tc>
          <w:tcPr>
            <w:tcW w:w="1267" w:type="dxa"/>
            <w:vAlign w:val="center"/>
          </w:tcPr>
          <w:p w:rsidR="00DD6D17" w:rsidRDefault="00F44D55">
            <w:pPr>
              <w:jc w:val="center"/>
            </w:pPr>
            <w:r>
              <w:rPr>
                <w:color w:val="000000"/>
                <w:sz w:val="24"/>
              </w:rPr>
              <w:t>0.96%</w:t>
            </w:r>
          </w:p>
        </w:tc>
        <w:tc>
          <w:tcPr>
            <w:tcW w:w="1267" w:type="dxa"/>
            <w:vAlign w:val="center"/>
          </w:tcPr>
          <w:p w:rsidR="00DD6D17" w:rsidRDefault="00F44D55">
            <w:pPr>
              <w:jc w:val="center"/>
            </w:pPr>
            <w:r>
              <w:rPr>
                <w:color w:val="000000"/>
                <w:sz w:val="24"/>
              </w:rPr>
              <w:t>0.04%</w:t>
            </w:r>
          </w:p>
        </w:tc>
        <w:tc>
          <w:tcPr>
            <w:tcW w:w="1267" w:type="dxa"/>
            <w:vAlign w:val="center"/>
          </w:tcPr>
          <w:p w:rsidR="00DD6D17" w:rsidRDefault="00F44D55">
            <w:pPr>
              <w:jc w:val="center"/>
            </w:pPr>
            <w:r>
              <w:rPr>
                <w:color w:val="000000"/>
                <w:sz w:val="24"/>
              </w:rPr>
              <w:t>0.57%</w:t>
            </w:r>
          </w:p>
        </w:tc>
        <w:tc>
          <w:tcPr>
            <w:tcW w:w="1267" w:type="dxa"/>
            <w:vAlign w:val="center"/>
          </w:tcPr>
          <w:p w:rsidR="00DD6D17" w:rsidRDefault="00F44D55">
            <w:pPr>
              <w:jc w:val="center"/>
            </w:pPr>
            <w:r>
              <w:rPr>
                <w:color w:val="000000"/>
                <w:sz w:val="24"/>
              </w:rPr>
              <w:t>0.07%</w:t>
            </w:r>
          </w:p>
        </w:tc>
        <w:tc>
          <w:tcPr>
            <w:tcW w:w="1267" w:type="dxa"/>
            <w:vAlign w:val="center"/>
          </w:tcPr>
          <w:p w:rsidR="00DD6D17" w:rsidRDefault="00F44D55">
            <w:pPr>
              <w:jc w:val="center"/>
            </w:pPr>
            <w:r>
              <w:rPr>
                <w:color w:val="000000"/>
                <w:sz w:val="24"/>
              </w:rPr>
              <w:t>0.39%</w:t>
            </w:r>
          </w:p>
        </w:tc>
        <w:tc>
          <w:tcPr>
            <w:tcW w:w="1267" w:type="dxa"/>
            <w:vAlign w:val="center"/>
          </w:tcPr>
          <w:p w:rsidR="00DD6D17" w:rsidRDefault="00F44D55">
            <w:pPr>
              <w:jc w:val="center"/>
            </w:pPr>
            <w:r>
              <w:rPr>
                <w:color w:val="000000"/>
                <w:sz w:val="24"/>
              </w:rPr>
              <w:t>-0.03%</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交银施罗德丰享收益债券型证券投资基金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交银丰享收益债券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日起，开始销售</w:t>
      </w:r>
      <w:r w:rsidRPr="007F52FA">
        <w:rPr>
          <w:color w:val="000000"/>
          <w:sz w:val="24"/>
        </w:rPr>
        <w:t>A</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交银丰享收益债券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1</w:t>
      </w:r>
      <w:r w:rsidRPr="007F52FA">
        <w:rPr>
          <w:color w:val="000000"/>
          <w:sz w:val="24"/>
        </w:rPr>
        <w:t>月</w:t>
      </w:r>
      <w:r w:rsidRPr="007F52FA">
        <w:rPr>
          <w:color w:val="000000"/>
          <w:sz w:val="24"/>
        </w:rPr>
        <w:t>19</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D6D17">
        <w:trPr>
          <w:jc w:val="center"/>
        </w:trPr>
        <w:tc>
          <w:tcPr>
            <w:tcW w:w="946" w:type="dxa"/>
            <w:vAlign w:val="center"/>
          </w:tcPr>
          <w:p w:rsidR="00DD6D17" w:rsidRDefault="00F44D55">
            <w:pPr>
              <w:jc w:val="center"/>
            </w:pPr>
            <w:r>
              <w:rPr>
                <w:color w:val="000000"/>
                <w:sz w:val="24"/>
              </w:rPr>
              <w:t>黄莹洁</w:t>
            </w:r>
          </w:p>
        </w:tc>
        <w:tc>
          <w:tcPr>
            <w:tcW w:w="924" w:type="dxa"/>
            <w:vAlign w:val="center"/>
          </w:tcPr>
          <w:p w:rsidR="00DD6D17" w:rsidRDefault="00F44D55">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w:t>
            </w:r>
            <w:r>
              <w:rPr>
                <w:color w:val="000000"/>
                <w:sz w:val="24"/>
              </w:rPr>
              <w:lastRenderedPageBreak/>
              <w:t>宝货币、交银境尚收益债券的基金经理</w:t>
            </w:r>
          </w:p>
        </w:tc>
        <w:tc>
          <w:tcPr>
            <w:tcW w:w="1202" w:type="dxa"/>
            <w:vAlign w:val="center"/>
          </w:tcPr>
          <w:p w:rsidR="00DD6D17" w:rsidRDefault="00F44D55">
            <w:pPr>
              <w:jc w:val="center"/>
            </w:pPr>
            <w:r>
              <w:rPr>
                <w:color w:val="000000"/>
                <w:sz w:val="24"/>
              </w:rPr>
              <w:lastRenderedPageBreak/>
              <w:t>2015-07-25</w:t>
            </w:r>
          </w:p>
        </w:tc>
        <w:tc>
          <w:tcPr>
            <w:tcW w:w="1300" w:type="dxa"/>
            <w:vAlign w:val="center"/>
          </w:tcPr>
          <w:p w:rsidR="00DD6D17" w:rsidRDefault="00F44D55">
            <w:pPr>
              <w:jc w:val="center"/>
            </w:pPr>
            <w:r>
              <w:rPr>
                <w:color w:val="000000"/>
                <w:sz w:val="24"/>
              </w:rPr>
              <w:t>-</w:t>
            </w:r>
          </w:p>
        </w:tc>
        <w:tc>
          <w:tcPr>
            <w:tcW w:w="1245" w:type="dxa"/>
            <w:vAlign w:val="center"/>
          </w:tcPr>
          <w:p w:rsidR="00DD6D17" w:rsidRDefault="00F44D55">
            <w:pPr>
              <w:jc w:val="center"/>
            </w:pPr>
            <w:r>
              <w:rPr>
                <w:color w:val="000000"/>
                <w:sz w:val="24"/>
              </w:rPr>
              <w:t>10</w:t>
            </w:r>
            <w:r>
              <w:rPr>
                <w:color w:val="000000"/>
                <w:sz w:val="24"/>
              </w:rPr>
              <w:t>年</w:t>
            </w:r>
          </w:p>
        </w:tc>
        <w:tc>
          <w:tcPr>
            <w:tcW w:w="3251" w:type="dxa"/>
            <w:vAlign w:val="center"/>
          </w:tcPr>
          <w:p w:rsidR="00DD6D17" w:rsidRDefault="00F44D55">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DD6D17" w:rsidRDefault="00F44D5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D6D17" w:rsidRDefault="00F44D5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D6D17" w:rsidRDefault="00F44D5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lastRenderedPageBreak/>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DD6D17" w:rsidRDefault="00F44D55">
      <w:pPr>
        <w:spacing w:before="29" w:line="288" w:lineRule="auto"/>
        <w:ind w:firstLineChars="200" w:firstLine="480"/>
        <w:rPr>
          <w:color w:val="000000"/>
          <w:sz w:val="24"/>
        </w:rPr>
      </w:pPr>
      <w:r>
        <w:rPr>
          <w:color w:val="000000"/>
          <w:sz w:val="24"/>
        </w:rPr>
        <w:t>本报告期内，国内经济增速继续稳中放缓，通胀压力的抬头压制了固定收益资产的回报预期。同时，中美贸易战进一步扩大，全球风险偏好回落，权益类资产继续回调。国内制造业增速继续保持高位，但已出现放缓势头。房地产投</w:t>
      </w:r>
      <w:r>
        <w:rPr>
          <w:color w:val="000000"/>
          <w:sz w:val="24"/>
        </w:rPr>
        <w:t>资在政策悲观的预期氛围内继续保持高速增长，但基建投资增速下滑，导致固定资产投资继续下行。九月下旬，美国对中国新增</w:t>
      </w:r>
      <w:r>
        <w:rPr>
          <w:color w:val="000000"/>
          <w:sz w:val="24"/>
        </w:rPr>
        <w:t>2000</w:t>
      </w:r>
      <w:r>
        <w:rPr>
          <w:color w:val="000000"/>
          <w:sz w:val="24"/>
        </w:rPr>
        <w:t>亿美元商品加征关税，贸易战升级，悲观预期加大。通胀方面，国内受天气灾害和俄罗斯猪瘟传入影响，食品价格攀升，</w:t>
      </w:r>
      <w:r>
        <w:rPr>
          <w:color w:val="000000"/>
          <w:sz w:val="24"/>
        </w:rPr>
        <w:t>CPI</w:t>
      </w:r>
      <w:r>
        <w:rPr>
          <w:color w:val="000000"/>
          <w:sz w:val="24"/>
        </w:rPr>
        <w:t>再次回到</w:t>
      </w:r>
      <w:r>
        <w:rPr>
          <w:color w:val="000000"/>
          <w:sz w:val="24"/>
        </w:rPr>
        <w:t>2%</w:t>
      </w:r>
      <w:r>
        <w:rPr>
          <w:color w:val="000000"/>
          <w:sz w:val="24"/>
        </w:rPr>
        <w:t>以上，同时国际原油价格突破新高，加之人民币贬值预期，输入性通胀预期不断增强，市场陷入</w:t>
      </w:r>
      <w:r>
        <w:rPr>
          <w:color w:val="000000"/>
          <w:sz w:val="24"/>
        </w:rPr>
        <w:t>“</w:t>
      </w:r>
      <w:r>
        <w:rPr>
          <w:color w:val="000000"/>
          <w:sz w:val="24"/>
        </w:rPr>
        <w:t>滞涨</w:t>
      </w:r>
      <w:r>
        <w:rPr>
          <w:color w:val="000000"/>
          <w:sz w:val="24"/>
        </w:rPr>
        <w:t>”</w:t>
      </w:r>
      <w:r>
        <w:rPr>
          <w:color w:val="000000"/>
          <w:sz w:val="24"/>
        </w:rPr>
        <w:t>的担忧之中。货币政策方面，央行在联储加息和贸易战的背景下坚持稳健中性的货币政策，九月美联储加息后并未上调公开市场操作利率，显示出国内经济格局和美国利率政策的独立性。银行间流动性</w:t>
      </w:r>
      <w:r>
        <w:rPr>
          <w:color w:val="000000"/>
          <w:sz w:val="24"/>
        </w:rPr>
        <w:t>在九月份大幅宽松，</w:t>
      </w:r>
      <w:r>
        <w:rPr>
          <w:color w:val="000000"/>
          <w:sz w:val="24"/>
        </w:rPr>
        <w:t>R001</w:t>
      </w:r>
      <w:r>
        <w:rPr>
          <w:color w:val="000000"/>
          <w:sz w:val="24"/>
        </w:rPr>
        <w:t>隔夜利率较六月底下行</w:t>
      </w:r>
      <w:r>
        <w:rPr>
          <w:color w:val="000000"/>
          <w:sz w:val="24"/>
        </w:rPr>
        <w:t>45BP</w:t>
      </w:r>
      <w:r>
        <w:rPr>
          <w:color w:val="000000"/>
          <w:sz w:val="24"/>
        </w:rPr>
        <w:t>以上，而三个月上海银行间拆借利率下探至</w:t>
      </w:r>
      <w:r>
        <w:rPr>
          <w:color w:val="000000"/>
          <w:sz w:val="24"/>
        </w:rPr>
        <w:t>2.80%</w:t>
      </w:r>
      <w:r>
        <w:rPr>
          <w:color w:val="000000"/>
          <w:sz w:val="24"/>
        </w:rPr>
        <w:t>附近，较六月末下行</w:t>
      </w:r>
      <w:r>
        <w:rPr>
          <w:color w:val="000000"/>
          <w:sz w:val="24"/>
        </w:rPr>
        <w:t>135BP</w:t>
      </w:r>
      <w:r>
        <w:rPr>
          <w:color w:val="000000"/>
          <w:sz w:val="24"/>
        </w:rPr>
        <w:t>，资金市场价格持续走低以支持实体经济融资需求。同期债券收益率先下后上，保持宽幅震荡，其中经济增长预期放缓、通胀压力抬升、人民币贬值预期等因素成为债券市场收益率变动的主要原因。报告期内，</w:t>
      </w:r>
      <w:r>
        <w:rPr>
          <w:color w:val="000000"/>
          <w:sz w:val="24"/>
        </w:rPr>
        <w:t>10</w:t>
      </w:r>
      <w:r>
        <w:rPr>
          <w:color w:val="000000"/>
          <w:sz w:val="24"/>
        </w:rPr>
        <w:t>年期国债收益率上行</w:t>
      </w:r>
      <w:r>
        <w:rPr>
          <w:color w:val="000000"/>
          <w:sz w:val="24"/>
        </w:rPr>
        <w:t>13BP</w:t>
      </w:r>
      <w:r>
        <w:rPr>
          <w:color w:val="000000"/>
          <w:sz w:val="24"/>
        </w:rPr>
        <w:t>至</w:t>
      </w:r>
      <w:r>
        <w:rPr>
          <w:color w:val="000000"/>
          <w:sz w:val="24"/>
        </w:rPr>
        <w:t>3.61%</w:t>
      </w:r>
      <w:r>
        <w:rPr>
          <w:color w:val="000000"/>
          <w:sz w:val="24"/>
        </w:rPr>
        <w:t>，</w:t>
      </w:r>
      <w:r>
        <w:rPr>
          <w:color w:val="000000"/>
          <w:sz w:val="24"/>
        </w:rPr>
        <w:t>10</w:t>
      </w:r>
      <w:r>
        <w:rPr>
          <w:color w:val="000000"/>
          <w:sz w:val="24"/>
        </w:rPr>
        <w:t>年期国开债收益率小幅下行</w:t>
      </w:r>
      <w:r>
        <w:rPr>
          <w:color w:val="000000"/>
          <w:sz w:val="24"/>
        </w:rPr>
        <w:t>5BP</w:t>
      </w:r>
      <w:r>
        <w:rPr>
          <w:color w:val="000000"/>
          <w:sz w:val="24"/>
        </w:rPr>
        <w:t>至</w:t>
      </w:r>
      <w:r>
        <w:rPr>
          <w:color w:val="000000"/>
          <w:sz w:val="24"/>
        </w:rPr>
        <w:t>4.20%</w:t>
      </w:r>
      <w:r>
        <w:rPr>
          <w:color w:val="000000"/>
          <w:sz w:val="24"/>
        </w:rPr>
        <w:t>。</w:t>
      </w:r>
    </w:p>
    <w:p w:rsidR="00DD6D17" w:rsidRDefault="00F44D55">
      <w:pPr>
        <w:spacing w:before="29" w:line="288" w:lineRule="auto"/>
        <w:ind w:firstLineChars="200" w:firstLine="480"/>
        <w:rPr>
          <w:color w:val="000000"/>
          <w:sz w:val="24"/>
        </w:rPr>
      </w:pPr>
      <w:r>
        <w:rPr>
          <w:color w:val="000000"/>
          <w:sz w:val="24"/>
        </w:rPr>
        <w:t>基金操作方面，本基金以配置短久期高评级的信用债为主，在利率下行趋势下，适当增加中长期利率债配置，辅以合理</w:t>
      </w:r>
      <w:r>
        <w:rPr>
          <w:color w:val="000000"/>
          <w:sz w:val="24"/>
        </w:rPr>
        <w:t>杠杆水平来提高收益。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年四季度，</w:t>
      </w:r>
      <w:r w:rsidRPr="007F52FA">
        <w:rPr>
          <w:color w:val="000000"/>
          <w:sz w:val="24"/>
        </w:rPr>
        <w:t>“</w:t>
      </w:r>
      <w:r w:rsidRPr="007F52FA">
        <w:rPr>
          <w:color w:val="000000"/>
          <w:sz w:val="24"/>
        </w:rPr>
        <w:t>滞涨</w:t>
      </w:r>
      <w:r w:rsidRPr="007F52FA">
        <w:rPr>
          <w:color w:val="000000"/>
          <w:sz w:val="24"/>
        </w:rPr>
        <w:t>”</w:t>
      </w:r>
      <w:r w:rsidRPr="007F52FA">
        <w:rPr>
          <w:color w:val="000000"/>
          <w:sz w:val="24"/>
        </w:rPr>
        <w:t>格局在三季度末的显现需要继续观察，中美贸易战的进一步升级超出了市场预期，美国十一月的中期选举和中美关系的演化令人关注，人民币汇率将在四季度成为资产价格的试金石。在货币政策结构性宽松的变化下，长端债券虽然获得了基本面和政策面的支持，但行情的纵深将受到人民币汇率的掣肘。此外，我们还将密切关注低评级信用债风险的演化、中美贸易战升级背后的政策应对、以及</w:t>
      </w:r>
      <w:r w:rsidRPr="007F52FA">
        <w:rPr>
          <w:color w:val="000000"/>
          <w:sz w:val="24"/>
        </w:rPr>
        <w:t>2019</w:t>
      </w:r>
      <w:r w:rsidRPr="007F52FA">
        <w:rPr>
          <w:color w:val="000000"/>
          <w:sz w:val="24"/>
        </w:rPr>
        <w:t>年美联储加息指引等因素对市场的影响。股票方面，力争继续保持稳健、审慎投资，积极关注一级市场动态。债券方面，在保持组合流动性的前提下关注交易窗口，把握适度久期，同时特别关注信用风险。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203,271,000.00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81.07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203,271,000.00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81.07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41,280,181.92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16.46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1,752,683.88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0.70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4,422,719.64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250,726,585.44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6F329D" w:rsidRDefault="006F329D"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142,717,000.00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57.05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142,717,000.00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57.05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40,246,000.00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16.09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20,308,000.00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8.12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203,271,000.00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81.26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D6D17">
        <w:trPr>
          <w:jc w:val="center"/>
        </w:trPr>
        <w:tc>
          <w:tcPr>
            <w:tcW w:w="1075" w:type="dxa"/>
            <w:vAlign w:val="center"/>
          </w:tcPr>
          <w:p w:rsidR="00DD6D17" w:rsidRDefault="00F44D55">
            <w:pPr>
              <w:jc w:val="center"/>
            </w:pPr>
            <w:r>
              <w:rPr>
                <w:color w:val="000000"/>
                <w:sz w:val="24"/>
              </w:rPr>
              <w:t>1</w:t>
            </w:r>
          </w:p>
        </w:tc>
        <w:tc>
          <w:tcPr>
            <w:tcW w:w="1533" w:type="dxa"/>
            <w:vAlign w:val="center"/>
          </w:tcPr>
          <w:p w:rsidR="00DD6D17" w:rsidRDefault="00F44D55">
            <w:pPr>
              <w:jc w:val="center"/>
            </w:pPr>
            <w:r>
              <w:rPr>
                <w:color w:val="000000"/>
                <w:sz w:val="24"/>
              </w:rPr>
              <w:t>180204</w:t>
            </w:r>
          </w:p>
        </w:tc>
        <w:tc>
          <w:tcPr>
            <w:tcW w:w="1533" w:type="dxa"/>
            <w:vAlign w:val="center"/>
          </w:tcPr>
          <w:p w:rsidR="00DD6D17" w:rsidRDefault="00F44D55">
            <w:pPr>
              <w:jc w:val="center"/>
            </w:pPr>
            <w:r>
              <w:rPr>
                <w:color w:val="000000"/>
                <w:sz w:val="24"/>
              </w:rPr>
              <w:t>18</w:t>
            </w:r>
            <w:r>
              <w:rPr>
                <w:color w:val="000000"/>
                <w:sz w:val="24"/>
              </w:rPr>
              <w:t>国开</w:t>
            </w:r>
            <w:r>
              <w:rPr>
                <w:color w:val="000000"/>
                <w:sz w:val="24"/>
              </w:rPr>
              <w:t>04</w:t>
            </w:r>
          </w:p>
        </w:tc>
        <w:tc>
          <w:tcPr>
            <w:tcW w:w="1394" w:type="dxa"/>
            <w:vAlign w:val="center"/>
          </w:tcPr>
          <w:p w:rsidR="00DD6D17" w:rsidRDefault="00F44D55">
            <w:pPr>
              <w:jc w:val="right"/>
            </w:pPr>
            <w:r>
              <w:rPr>
                <w:color w:val="000000"/>
                <w:sz w:val="24"/>
              </w:rPr>
              <w:t>600,000</w:t>
            </w:r>
          </w:p>
        </w:tc>
        <w:tc>
          <w:tcPr>
            <w:tcW w:w="1944" w:type="dxa"/>
            <w:vAlign w:val="center"/>
          </w:tcPr>
          <w:p w:rsidR="00DD6D17" w:rsidRDefault="00F44D55">
            <w:pPr>
              <w:jc w:val="right"/>
            </w:pPr>
            <w:r>
              <w:rPr>
                <w:color w:val="000000"/>
                <w:sz w:val="24"/>
              </w:rPr>
              <w:t>61,746,000.00</w:t>
            </w:r>
          </w:p>
        </w:tc>
        <w:tc>
          <w:tcPr>
            <w:tcW w:w="1389" w:type="dxa"/>
            <w:vAlign w:val="center"/>
          </w:tcPr>
          <w:p w:rsidR="00DD6D17" w:rsidRDefault="00F44D55">
            <w:pPr>
              <w:jc w:val="right"/>
            </w:pPr>
            <w:r>
              <w:rPr>
                <w:color w:val="000000"/>
                <w:sz w:val="24"/>
              </w:rPr>
              <w:t>24.68</w:t>
            </w:r>
          </w:p>
        </w:tc>
      </w:tr>
      <w:tr w:rsidR="00DD6D17">
        <w:trPr>
          <w:jc w:val="center"/>
        </w:trPr>
        <w:tc>
          <w:tcPr>
            <w:tcW w:w="1075" w:type="dxa"/>
            <w:vAlign w:val="center"/>
          </w:tcPr>
          <w:p w:rsidR="00DD6D17" w:rsidRDefault="00F44D55">
            <w:pPr>
              <w:jc w:val="center"/>
            </w:pPr>
            <w:r>
              <w:rPr>
                <w:color w:val="000000"/>
                <w:sz w:val="24"/>
              </w:rPr>
              <w:t>2</w:t>
            </w:r>
          </w:p>
        </w:tc>
        <w:tc>
          <w:tcPr>
            <w:tcW w:w="1533" w:type="dxa"/>
            <w:vAlign w:val="center"/>
          </w:tcPr>
          <w:p w:rsidR="00DD6D17" w:rsidRDefault="00F44D55">
            <w:pPr>
              <w:jc w:val="center"/>
            </w:pPr>
            <w:r>
              <w:rPr>
                <w:color w:val="000000"/>
                <w:sz w:val="24"/>
              </w:rPr>
              <w:t>180203</w:t>
            </w:r>
          </w:p>
        </w:tc>
        <w:tc>
          <w:tcPr>
            <w:tcW w:w="1533" w:type="dxa"/>
            <w:vAlign w:val="center"/>
          </w:tcPr>
          <w:p w:rsidR="00DD6D17" w:rsidRDefault="00F44D55">
            <w:pPr>
              <w:jc w:val="center"/>
            </w:pPr>
            <w:r>
              <w:rPr>
                <w:color w:val="000000"/>
                <w:sz w:val="24"/>
              </w:rPr>
              <w:t>18</w:t>
            </w:r>
            <w:r>
              <w:rPr>
                <w:color w:val="000000"/>
                <w:sz w:val="24"/>
              </w:rPr>
              <w:t>国开</w:t>
            </w:r>
            <w:r>
              <w:rPr>
                <w:color w:val="000000"/>
                <w:sz w:val="24"/>
              </w:rPr>
              <w:t>03</w:t>
            </w:r>
          </w:p>
        </w:tc>
        <w:tc>
          <w:tcPr>
            <w:tcW w:w="1394" w:type="dxa"/>
            <w:vAlign w:val="center"/>
          </w:tcPr>
          <w:p w:rsidR="00DD6D17" w:rsidRDefault="00F44D55">
            <w:pPr>
              <w:jc w:val="right"/>
            </w:pPr>
            <w:r>
              <w:rPr>
                <w:color w:val="000000"/>
                <w:sz w:val="24"/>
              </w:rPr>
              <w:t>300,000</w:t>
            </w:r>
          </w:p>
        </w:tc>
        <w:tc>
          <w:tcPr>
            <w:tcW w:w="1944" w:type="dxa"/>
            <w:vAlign w:val="center"/>
          </w:tcPr>
          <w:p w:rsidR="00DD6D17" w:rsidRDefault="00F44D55">
            <w:pPr>
              <w:jc w:val="right"/>
            </w:pPr>
            <w:r>
              <w:rPr>
                <w:color w:val="000000"/>
                <w:sz w:val="24"/>
              </w:rPr>
              <w:t>30,636,000.00</w:t>
            </w:r>
          </w:p>
        </w:tc>
        <w:tc>
          <w:tcPr>
            <w:tcW w:w="1389" w:type="dxa"/>
            <w:vAlign w:val="center"/>
          </w:tcPr>
          <w:p w:rsidR="00DD6D17" w:rsidRDefault="00F44D55">
            <w:pPr>
              <w:jc w:val="right"/>
            </w:pPr>
            <w:r>
              <w:rPr>
                <w:color w:val="000000"/>
                <w:sz w:val="24"/>
              </w:rPr>
              <w:t>12.25</w:t>
            </w:r>
          </w:p>
        </w:tc>
      </w:tr>
      <w:tr w:rsidR="00DD6D17">
        <w:trPr>
          <w:jc w:val="center"/>
        </w:trPr>
        <w:tc>
          <w:tcPr>
            <w:tcW w:w="1075" w:type="dxa"/>
            <w:vAlign w:val="center"/>
          </w:tcPr>
          <w:p w:rsidR="00DD6D17" w:rsidRDefault="00F44D55">
            <w:pPr>
              <w:jc w:val="center"/>
            </w:pPr>
            <w:r>
              <w:rPr>
                <w:color w:val="000000"/>
                <w:sz w:val="24"/>
              </w:rPr>
              <w:t>3</w:t>
            </w:r>
          </w:p>
        </w:tc>
        <w:tc>
          <w:tcPr>
            <w:tcW w:w="1533" w:type="dxa"/>
            <w:vAlign w:val="center"/>
          </w:tcPr>
          <w:p w:rsidR="00DD6D17" w:rsidRDefault="00F44D55">
            <w:pPr>
              <w:jc w:val="center"/>
            </w:pPr>
            <w:r>
              <w:rPr>
                <w:color w:val="000000"/>
                <w:sz w:val="24"/>
              </w:rPr>
              <w:t>180404</w:t>
            </w:r>
          </w:p>
        </w:tc>
        <w:tc>
          <w:tcPr>
            <w:tcW w:w="1533" w:type="dxa"/>
            <w:vAlign w:val="center"/>
          </w:tcPr>
          <w:p w:rsidR="00DD6D17" w:rsidRDefault="00F44D55">
            <w:pPr>
              <w:jc w:val="center"/>
            </w:pPr>
            <w:r>
              <w:rPr>
                <w:color w:val="000000"/>
                <w:sz w:val="24"/>
              </w:rPr>
              <w:t>18</w:t>
            </w:r>
            <w:r>
              <w:rPr>
                <w:color w:val="000000"/>
                <w:sz w:val="24"/>
              </w:rPr>
              <w:t>农发</w:t>
            </w:r>
            <w:r>
              <w:rPr>
                <w:color w:val="000000"/>
                <w:sz w:val="24"/>
              </w:rPr>
              <w:t>04</w:t>
            </w:r>
          </w:p>
        </w:tc>
        <w:tc>
          <w:tcPr>
            <w:tcW w:w="1394" w:type="dxa"/>
            <w:vAlign w:val="center"/>
          </w:tcPr>
          <w:p w:rsidR="00DD6D17" w:rsidRDefault="00F44D55">
            <w:pPr>
              <w:jc w:val="right"/>
            </w:pPr>
            <w:r>
              <w:rPr>
                <w:color w:val="000000"/>
                <w:sz w:val="24"/>
              </w:rPr>
              <w:t>300,000</w:t>
            </w:r>
          </w:p>
        </w:tc>
        <w:tc>
          <w:tcPr>
            <w:tcW w:w="1944" w:type="dxa"/>
            <w:vAlign w:val="center"/>
          </w:tcPr>
          <w:p w:rsidR="00DD6D17" w:rsidRDefault="00F44D55">
            <w:pPr>
              <w:jc w:val="right"/>
            </w:pPr>
            <w:r>
              <w:rPr>
                <w:color w:val="000000"/>
                <w:sz w:val="24"/>
              </w:rPr>
              <w:t>30,147,000.00</w:t>
            </w:r>
          </w:p>
        </w:tc>
        <w:tc>
          <w:tcPr>
            <w:tcW w:w="1389" w:type="dxa"/>
            <w:vAlign w:val="center"/>
          </w:tcPr>
          <w:p w:rsidR="00DD6D17" w:rsidRDefault="00F44D55">
            <w:pPr>
              <w:jc w:val="right"/>
            </w:pPr>
            <w:r>
              <w:rPr>
                <w:color w:val="000000"/>
                <w:sz w:val="24"/>
              </w:rPr>
              <w:t>12.05</w:t>
            </w:r>
          </w:p>
        </w:tc>
      </w:tr>
      <w:tr w:rsidR="00DD6D17">
        <w:trPr>
          <w:jc w:val="center"/>
        </w:trPr>
        <w:tc>
          <w:tcPr>
            <w:tcW w:w="1075" w:type="dxa"/>
            <w:vAlign w:val="center"/>
          </w:tcPr>
          <w:p w:rsidR="00DD6D17" w:rsidRDefault="00F44D55">
            <w:pPr>
              <w:jc w:val="center"/>
            </w:pPr>
            <w:r>
              <w:rPr>
                <w:color w:val="000000"/>
                <w:sz w:val="24"/>
              </w:rPr>
              <w:t>4</w:t>
            </w:r>
          </w:p>
        </w:tc>
        <w:tc>
          <w:tcPr>
            <w:tcW w:w="1533" w:type="dxa"/>
            <w:vAlign w:val="center"/>
          </w:tcPr>
          <w:p w:rsidR="00DD6D17" w:rsidRDefault="00F44D55">
            <w:pPr>
              <w:jc w:val="center"/>
            </w:pPr>
            <w:r>
              <w:rPr>
                <w:color w:val="000000"/>
                <w:sz w:val="24"/>
              </w:rPr>
              <w:t>101464014</w:t>
            </w:r>
          </w:p>
        </w:tc>
        <w:tc>
          <w:tcPr>
            <w:tcW w:w="1533" w:type="dxa"/>
            <w:vAlign w:val="center"/>
          </w:tcPr>
          <w:p w:rsidR="00DD6D17" w:rsidRDefault="00F44D55">
            <w:pPr>
              <w:jc w:val="center"/>
            </w:pPr>
            <w:r>
              <w:rPr>
                <w:color w:val="000000"/>
                <w:sz w:val="24"/>
              </w:rPr>
              <w:t>14</w:t>
            </w:r>
            <w:r>
              <w:rPr>
                <w:color w:val="000000"/>
                <w:sz w:val="24"/>
              </w:rPr>
              <w:t>核风电</w:t>
            </w:r>
            <w:r>
              <w:rPr>
                <w:color w:val="000000"/>
                <w:sz w:val="24"/>
              </w:rPr>
              <w:t>MTN001</w:t>
            </w:r>
          </w:p>
        </w:tc>
        <w:tc>
          <w:tcPr>
            <w:tcW w:w="1394" w:type="dxa"/>
            <w:vAlign w:val="center"/>
          </w:tcPr>
          <w:p w:rsidR="00DD6D17" w:rsidRDefault="00F44D55">
            <w:pPr>
              <w:jc w:val="right"/>
            </w:pPr>
            <w:r>
              <w:rPr>
                <w:color w:val="000000"/>
                <w:sz w:val="24"/>
              </w:rPr>
              <w:t>200,000</w:t>
            </w:r>
          </w:p>
        </w:tc>
        <w:tc>
          <w:tcPr>
            <w:tcW w:w="1944" w:type="dxa"/>
            <w:vAlign w:val="center"/>
          </w:tcPr>
          <w:p w:rsidR="00DD6D17" w:rsidRDefault="00F44D55">
            <w:pPr>
              <w:jc w:val="right"/>
            </w:pPr>
            <w:r>
              <w:rPr>
                <w:color w:val="000000"/>
                <w:sz w:val="24"/>
              </w:rPr>
              <w:t>20,308,000.00</w:t>
            </w:r>
          </w:p>
        </w:tc>
        <w:tc>
          <w:tcPr>
            <w:tcW w:w="1389" w:type="dxa"/>
            <w:vAlign w:val="center"/>
          </w:tcPr>
          <w:p w:rsidR="00DD6D17" w:rsidRDefault="00F44D55">
            <w:pPr>
              <w:jc w:val="right"/>
            </w:pPr>
            <w:r>
              <w:rPr>
                <w:color w:val="000000"/>
                <w:sz w:val="24"/>
              </w:rPr>
              <w:t>8.12</w:t>
            </w:r>
          </w:p>
        </w:tc>
      </w:tr>
      <w:tr w:rsidR="00DD6D17">
        <w:trPr>
          <w:jc w:val="center"/>
        </w:trPr>
        <w:tc>
          <w:tcPr>
            <w:tcW w:w="1075" w:type="dxa"/>
            <w:vAlign w:val="center"/>
          </w:tcPr>
          <w:p w:rsidR="00DD6D17" w:rsidRDefault="00F44D55">
            <w:pPr>
              <w:jc w:val="center"/>
            </w:pPr>
            <w:r>
              <w:rPr>
                <w:color w:val="000000"/>
                <w:sz w:val="24"/>
              </w:rPr>
              <w:t>5</w:t>
            </w:r>
          </w:p>
        </w:tc>
        <w:tc>
          <w:tcPr>
            <w:tcW w:w="1533" w:type="dxa"/>
            <w:vAlign w:val="center"/>
          </w:tcPr>
          <w:p w:rsidR="00DD6D17" w:rsidRDefault="00F44D55">
            <w:pPr>
              <w:jc w:val="center"/>
            </w:pPr>
            <w:r>
              <w:rPr>
                <w:color w:val="000000"/>
                <w:sz w:val="24"/>
              </w:rPr>
              <w:t>011800035</w:t>
            </w:r>
          </w:p>
        </w:tc>
        <w:tc>
          <w:tcPr>
            <w:tcW w:w="1533" w:type="dxa"/>
            <w:vAlign w:val="center"/>
          </w:tcPr>
          <w:p w:rsidR="00DD6D17" w:rsidRDefault="00F44D55">
            <w:pPr>
              <w:jc w:val="center"/>
            </w:pPr>
            <w:r>
              <w:rPr>
                <w:color w:val="000000"/>
                <w:sz w:val="24"/>
              </w:rPr>
              <w:t>18</w:t>
            </w:r>
            <w:r>
              <w:rPr>
                <w:color w:val="000000"/>
                <w:sz w:val="24"/>
              </w:rPr>
              <w:t>杭金投</w:t>
            </w:r>
            <w:r>
              <w:rPr>
                <w:color w:val="000000"/>
                <w:sz w:val="24"/>
              </w:rPr>
              <w:t>SCP001</w:t>
            </w:r>
          </w:p>
        </w:tc>
        <w:tc>
          <w:tcPr>
            <w:tcW w:w="1394" w:type="dxa"/>
            <w:vAlign w:val="center"/>
          </w:tcPr>
          <w:p w:rsidR="00DD6D17" w:rsidRDefault="00F44D55">
            <w:pPr>
              <w:jc w:val="right"/>
            </w:pPr>
            <w:r>
              <w:rPr>
                <w:color w:val="000000"/>
                <w:sz w:val="24"/>
              </w:rPr>
              <w:t>200,000</w:t>
            </w:r>
          </w:p>
        </w:tc>
        <w:tc>
          <w:tcPr>
            <w:tcW w:w="1944" w:type="dxa"/>
            <w:vAlign w:val="center"/>
          </w:tcPr>
          <w:p w:rsidR="00DD6D17" w:rsidRDefault="00F44D55">
            <w:pPr>
              <w:jc w:val="right"/>
            </w:pPr>
            <w:r>
              <w:rPr>
                <w:color w:val="000000"/>
                <w:sz w:val="24"/>
              </w:rPr>
              <w:t>20,156,000.00</w:t>
            </w:r>
          </w:p>
        </w:tc>
        <w:tc>
          <w:tcPr>
            <w:tcW w:w="1389" w:type="dxa"/>
            <w:vAlign w:val="center"/>
          </w:tcPr>
          <w:p w:rsidR="00DD6D17" w:rsidRDefault="00F44D55">
            <w:pPr>
              <w:jc w:val="right"/>
            </w:pPr>
            <w:r>
              <w:rPr>
                <w:color w:val="000000"/>
                <w:sz w:val="24"/>
              </w:rPr>
              <w:t>8.06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5,552.20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4,385,357.78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31,809.66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4,422,719.64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lastRenderedPageBreak/>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6F329D" w:rsidRDefault="00C51B4E" w:rsidP="000A2988">
      <w:pPr>
        <w:pStyle w:val="1"/>
        <w:spacing w:beforeLines="100" w:before="312" w:afterLines="100" w:after="312" w:line="360" w:lineRule="auto"/>
        <w:jc w:val="center"/>
        <w:rPr>
          <w:rFonts w:eastAsiaTheme="minorEastAsia"/>
          <w:color w:val="000000" w:themeColor="text1"/>
          <w:kern w:val="0"/>
          <w:sz w:val="24"/>
          <w:szCs w:val="24"/>
        </w:rPr>
      </w:pPr>
      <w:r w:rsidRPr="006F329D">
        <w:rPr>
          <w:rFonts w:eastAsiaTheme="minorEastAsia"/>
          <w:color w:val="000000" w:themeColor="text1"/>
          <w:kern w:val="0"/>
          <w:sz w:val="24"/>
          <w:szCs w:val="24"/>
        </w:rPr>
        <w:t>§6</w:t>
      </w:r>
      <w:r w:rsidRPr="006F329D">
        <w:rPr>
          <w:rFonts w:eastAsiaTheme="minorEastAsia" w:hint="eastAsia"/>
          <w:color w:val="000000" w:themeColor="text1"/>
          <w:kern w:val="0"/>
          <w:sz w:val="24"/>
          <w:szCs w:val="24"/>
        </w:rPr>
        <w:t xml:space="preserve">  </w:t>
      </w:r>
      <w:r w:rsidRPr="006F329D">
        <w:rPr>
          <w:rFonts w:eastAsiaTheme="minorEastAsia" w:hint="eastAsia"/>
          <w:color w:val="000000" w:themeColor="text1"/>
          <w:kern w:val="0"/>
          <w:sz w:val="24"/>
          <w:szCs w:val="24"/>
        </w:rPr>
        <w:t>基金中基金</w:t>
      </w:r>
    </w:p>
    <w:p w:rsidR="00C51B4E" w:rsidRPr="006F329D" w:rsidRDefault="00C51B4E" w:rsidP="00C51B4E">
      <w:pPr>
        <w:adjustRightInd w:val="0"/>
        <w:snapToGrid w:val="0"/>
        <w:spacing w:line="360" w:lineRule="auto"/>
        <w:rPr>
          <w:rFonts w:eastAsiaTheme="minorEastAsia"/>
          <w:b/>
          <w:color w:val="000000" w:themeColor="text1"/>
          <w:kern w:val="0"/>
          <w:sz w:val="24"/>
        </w:rPr>
      </w:pPr>
      <w:r w:rsidRPr="006F329D">
        <w:rPr>
          <w:rFonts w:eastAsiaTheme="minorEastAsia"/>
          <w:b/>
          <w:color w:val="000000" w:themeColor="text1"/>
          <w:kern w:val="0"/>
          <w:sz w:val="24"/>
        </w:rPr>
        <w:t>6.1</w:t>
      </w:r>
      <w:r w:rsidRPr="006F329D">
        <w:rPr>
          <w:rFonts w:eastAsiaTheme="minorEastAsia" w:hint="eastAsia"/>
          <w:b/>
          <w:color w:val="000000" w:themeColor="text1"/>
          <w:kern w:val="0"/>
          <w:sz w:val="24"/>
        </w:rPr>
        <w:t xml:space="preserve"> </w:t>
      </w:r>
      <w:r w:rsidRPr="006F329D">
        <w:rPr>
          <w:rFonts w:eastAsiaTheme="minorEastAsia" w:hint="eastAsia"/>
          <w:b/>
          <w:color w:val="000000" w:themeColor="text1"/>
          <w:kern w:val="0"/>
          <w:sz w:val="24"/>
        </w:rPr>
        <w:t>报告期末按公允价值占基金资产净值比例大小排序的前十名基金投资明细</w:t>
      </w:r>
    </w:p>
    <w:p w:rsidR="00C51B4E" w:rsidRPr="006F329D"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6F329D">
        <w:rPr>
          <w:rFonts w:eastAsiaTheme="minorEastAsia"/>
          <w:color w:val="000000" w:themeColor="text1"/>
          <w:sz w:val="24"/>
        </w:rPr>
        <w:t>本基金本报告期末未持有基金。</w:t>
      </w:r>
    </w:p>
    <w:p w:rsidR="00C51B4E" w:rsidRPr="006F329D" w:rsidRDefault="00C51B4E" w:rsidP="000A2988">
      <w:pPr>
        <w:adjustRightInd w:val="0"/>
        <w:snapToGrid w:val="0"/>
        <w:spacing w:beforeLines="50" w:before="156" w:line="360" w:lineRule="auto"/>
        <w:rPr>
          <w:rFonts w:eastAsiaTheme="minorEastAsia"/>
          <w:b/>
          <w:color w:val="000000" w:themeColor="text1"/>
          <w:kern w:val="0"/>
          <w:sz w:val="24"/>
        </w:rPr>
      </w:pPr>
      <w:r w:rsidRPr="006F329D">
        <w:rPr>
          <w:rFonts w:eastAsiaTheme="minorEastAsia"/>
          <w:b/>
          <w:color w:val="000000" w:themeColor="text1"/>
          <w:kern w:val="0"/>
          <w:sz w:val="24"/>
        </w:rPr>
        <w:t>6.2</w:t>
      </w:r>
      <w:r w:rsidRPr="006F329D">
        <w:rPr>
          <w:rFonts w:eastAsiaTheme="minorEastAsia" w:hint="eastAsia"/>
          <w:b/>
          <w:color w:val="000000" w:themeColor="text1"/>
          <w:kern w:val="0"/>
          <w:sz w:val="24"/>
        </w:rPr>
        <w:t xml:space="preserve"> </w:t>
      </w:r>
      <w:r w:rsidRPr="006F329D">
        <w:rPr>
          <w:rFonts w:eastAsiaTheme="minorEastAsia" w:hint="eastAsia"/>
          <w:b/>
          <w:color w:val="000000" w:themeColor="text1"/>
          <w:kern w:val="0"/>
          <w:sz w:val="24"/>
        </w:rPr>
        <w:t>当期交易及持有基金产生的费用</w:t>
      </w:r>
    </w:p>
    <w:p w:rsidR="00C51B4E" w:rsidRPr="006F329D"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6F329D">
        <w:rPr>
          <w:rFonts w:eastAsiaTheme="minorEastAsia"/>
          <w:color w:val="000000" w:themeColor="text1"/>
          <w:sz w:val="24"/>
        </w:rPr>
        <w:t>本基金本报告期内未交易或持有基金。</w:t>
      </w:r>
    </w:p>
    <w:p w:rsidR="00C51B4E" w:rsidRPr="006F329D" w:rsidRDefault="00C51B4E" w:rsidP="000A2988">
      <w:pPr>
        <w:adjustRightInd w:val="0"/>
        <w:snapToGrid w:val="0"/>
        <w:spacing w:beforeLines="50" w:before="156" w:line="360" w:lineRule="auto"/>
        <w:rPr>
          <w:rFonts w:eastAsiaTheme="minorEastAsia"/>
          <w:b/>
          <w:color w:val="000000" w:themeColor="text1"/>
          <w:kern w:val="0"/>
          <w:sz w:val="24"/>
        </w:rPr>
      </w:pPr>
      <w:r w:rsidRPr="006F329D">
        <w:rPr>
          <w:rFonts w:eastAsiaTheme="minorEastAsia"/>
          <w:b/>
          <w:color w:val="000000" w:themeColor="text1"/>
          <w:kern w:val="0"/>
          <w:sz w:val="24"/>
        </w:rPr>
        <w:t>6.3</w:t>
      </w:r>
      <w:r w:rsidRPr="006F329D">
        <w:rPr>
          <w:rFonts w:eastAsiaTheme="minorEastAsia" w:hint="eastAsia"/>
          <w:b/>
          <w:color w:val="000000" w:themeColor="text1"/>
          <w:kern w:val="0"/>
          <w:sz w:val="24"/>
        </w:rPr>
        <w:t xml:space="preserve"> </w:t>
      </w:r>
      <w:r w:rsidRPr="006F329D">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6F329D" w:rsidTr="00F103C8">
        <w:tc>
          <w:tcPr>
            <w:tcW w:w="9036" w:type="dxa"/>
          </w:tcPr>
          <w:p w:rsidR="00C51B4E" w:rsidRPr="006F329D"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6F329D">
              <w:rPr>
                <w:rFonts w:eastAsiaTheme="minorEastAsia" w:hint="eastAsia"/>
                <w:color w:val="000000" w:themeColor="text1"/>
                <w:sz w:val="24"/>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269,389,578.12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15,541,253.77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2,061,968.45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1,501,595.26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154,074,459.43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1,688,693.87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117,377,087.14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15,354,155.16</w:t>
            </w:r>
          </w:p>
        </w:tc>
      </w:tr>
    </w:tbl>
    <w:p w:rsidR="00DD6D17" w:rsidRDefault="00F44D5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6F329D"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6F329D">
        <w:rPr>
          <w:rFonts w:eastAsiaTheme="minorEastAsia"/>
          <w:color w:val="000000" w:themeColor="text1"/>
          <w:kern w:val="0"/>
          <w:sz w:val="24"/>
          <w:szCs w:val="24"/>
        </w:rPr>
        <w:lastRenderedPageBreak/>
        <w:t xml:space="preserve">§9 </w:t>
      </w:r>
      <w:r w:rsidR="00F139D5" w:rsidRPr="006F329D">
        <w:rPr>
          <w:rFonts w:eastAsiaTheme="minorEastAsia"/>
          <w:color w:val="000000" w:themeColor="text1"/>
          <w:kern w:val="0"/>
          <w:sz w:val="24"/>
          <w:szCs w:val="24"/>
        </w:rPr>
        <w:t xml:space="preserve"> </w:t>
      </w:r>
      <w:r w:rsidRPr="006F329D">
        <w:rPr>
          <w:rFonts w:eastAsiaTheme="minorEastAsia" w:hint="eastAsia"/>
          <w:color w:val="000000" w:themeColor="text1"/>
          <w:kern w:val="0"/>
          <w:sz w:val="24"/>
          <w:szCs w:val="24"/>
        </w:rPr>
        <w:t>影响投资者决策的其他重要信息</w:t>
      </w:r>
      <w:bookmarkStart w:id="0" w:name="_GoBack"/>
      <w:bookmarkEnd w:id="0"/>
    </w:p>
    <w:p w:rsidR="00ED0E09" w:rsidRPr="006F329D" w:rsidRDefault="00ED0E09" w:rsidP="00ED0E09">
      <w:pPr>
        <w:autoSpaceDE w:val="0"/>
        <w:autoSpaceDN w:val="0"/>
        <w:adjustRightInd w:val="0"/>
        <w:spacing w:line="360" w:lineRule="auto"/>
        <w:jc w:val="left"/>
        <w:rPr>
          <w:rFonts w:ascii="宋体" w:hAnsi="宋体"/>
          <w:b/>
          <w:bCs/>
          <w:color w:val="000000"/>
          <w:kern w:val="0"/>
          <w:sz w:val="24"/>
        </w:rPr>
      </w:pPr>
      <w:r w:rsidRPr="006F329D">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6F329D"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6F329D" w:rsidRDefault="00ED0E09">
            <w:pPr>
              <w:autoSpaceDE w:val="0"/>
              <w:autoSpaceDN w:val="0"/>
              <w:adjustRightInd w:val="0"/>
              <w:jc w:val="center"/>
              <w:rPr>
                <w:rFonts w:ascii="宋体" w:hAnsi="宋体"/>
                <w:b/>
                <w:bCs/>
                <w:color w:val="000000"/>
                <w:kern w:val="0"/>
                <w:sz w:val="24"/>
              </w:rPr>
            </w:pPr>
            <w:r w:rsidRPr="006F329D">
              <w:rPr>
                <w:rFonts w:ascii="宋体" w:hAnsi="宋体" w:hint="eastAsia"/>
                <w:color w:val="000000"/>
                <w:kern w:val="0"/>
                <w:sz w:val="24"/>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6F329D" w:rsidRDefault="00ED0E09">
            <w:pPr>
              <w:autoSpaceDE w:val="0"/>
              <w:autoSpaceDN w:val="0"/>
              <w:adjustRightInd w:val="0"/>
              <w:jc w:val="center"/>
              <w:rPr>
                <w:rFonts w:ascii="宋体" w:hAnsi="宋体"/>
                <w:b/>
                <w:bCs/>
                <w:color w:val="000000"/>
                <w:kern w:val="0"/>
                <w:sz w:val="24"/>
              </w:rPr>
            </w:pPr>
            <w:r w:rsidRPr="006F329D">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6F329D" w:rsidRDefault="00ED0E09">
            <w:pPr>
              <w:autoSpaceDE w:val="0"/>
              <w:autoSpaceDN w:val="0"/>
              <w:adjustRightInd w:val="0"/>
              <w:jc w:val="center"/>
              <w:rPr>
                <w:rFonts w:ascii="宋体" w:hAnsi="宋体"/>
                <w:b/>
                <w:bCs/>
                <w:color w:val="000000"/>
                <w:kern w:val="0"/>
                <w:sz w:val="24"/>
              </w:rPr>
            </w:pPr>
            <w:r w:rsidRPr="006F329D">
              <w:rPr>
                <w:rFonts w:ascii="宋体" w:hAnsi="宋体" w:hint="eastAsia"/>
                <w:color w:val="000000"/>
                <w:kern w:val="0"/>
                <w:sz w:val="24"/>
              </w:rPr>
              <w:t>报告期末持有基金情况</w:t>
            </w:r>
          </w:p>
        </w:tc>
      </w:tr>
      <w:tr w:rsidR="00ED0E09" w:rsidRPr="006F329D"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6F329D" w:rsidRDefault="00ED0E09">
            <w:pPr>
              <w:widowControl/>
              <w:jc w:val="left"/>
              <w:rPr>
                <w:rFonts w:ascii="宋体" w:hAnsi="宋体"/>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6F329D" w:rsidRDefault="00ED0E09">
            <w:pPr>
              <w:autoSpaceDE w:val="0"/>
              <w:autoSpaceDN w:val="0"/>
              <w:adjustRightInd w:val="0"/>
              <w:jc w:val="center"/>
              <w:rPr>
                <w:rFonts w:ascii="宋体" w:hAnsi="宋体"/>
                <w:b/>
                <w:bCs/>
                <w:color w:val="000000"/>
                <w:kern w:val="0"/>
                <w:sz w:val="24"/>
              </w:rPr>
            </w:pPr>
            <w:r w:rsidRPr="006F329D">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6F329D" w:rsidRDefault="00ED0E09">
            <w:pPr>
              <w:autoSpaceDE w:val="0"/>
              <w:autoSpaceDN w:val="0"/>
              <w:adjustRightInd w:val="0"/>
              <w:jc w:val="center"/>
              <w:rPr>
                <w:rFonts w:ascii="宋体" w:hAnsi="宋体"/>
                <w:b/>
                <w:bCs/>
                <w:color w:val="000000"/>
                <w:kern w:val="0"/>
                <w:sz w:val="24"/>
              </w:rPr>
            </w:pPr>
            <w:r w:rsidRPr="006F329D">
              <w:rPr>
                <w:rFonts w:ascii="宋体" w:hAnsi="宋体" w:hint="eastAsia"/>
                <w:color w:val="000000"/>
                <w:kern w:val="0"/>
                <w:sz w:val="24"/>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6F329D" w:rsidRDefault="00ED0E09">
            <w:pPr>
              <w:widowControl/>
              <w:jc w:val="center"/>
              <w:rPr>
                <w:rFonts w:ascii="宋体" w:hAnsi="宋体"/>
                <w:b/>
                <w:bCs/>
                <w:color w:val="000000"/>
                <w:kern w:val="0"/>
                <w:sz w:val="24"/>
              </w:rPr>
            </w:pPr>
            <w:r w:rsidRPr="006F329D">
              <w:rPr>
                <w:rFonts w:ascii="宋体" w:hAnsi="宋体"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6F329D" w:rsidRDefault="00ED0E09">
            <w:pPr>
              <w:widowControl/>
              <w:jc w:val="center"/>
              <w:rPr>
                <w:rFonts w:ascii="宋体" w:hAnsi="宋体"/>
                <w:b/>
                <w:bCs/>
                <w:color w:val="000000"/>
                <w:kern w:val="0"/>
                <w:sz w:val="24"/>
              </w:rPr>
            </w:pPr>
            <w:r w:rsidRPr="006F329D">
              <w:rPr>
                <w:rFonts w:ascii="宋体" w:hAnsi="宋体"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6F329D" w:rsidRDefault="00ED0E09">
            <w:pPr>
              <w:widowControl/>
              <w:jc w:val="center"/>
              <w:rPr>
                <w:rFonts w:ascii="宋体" w:hAnsi="宋体"/>
                <w:b/>
                <w:bCs/>
                <w:color w:val="000000"/>
                <w:kern w:val="0"/>
                <w:sz w:val="24"/>
              </w:rPr>
            </w:pPr>
            <w:r w:rsidRPr="006F329D">
              <w:rPr>
                <w:rFonts w:ascii="宋体" w:hAnsi="宋体"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6F329D" w:rsidRDefault="00ED0E09">
            <w:pPr>
              <w:autoSpaceDE w:val="0"/>
              <w:autoSpaceDN w:val="0"/>
              <w:adjustRightInd w:val="0"/>
              <w:jc w:val="center"/>
              <w:rPr>
                <w:rFonts w:ascii="宋体" w:hAnsi="宋体"/>
                <w:b/>
                <w:bCs/>
                <w:color w:val="000000"/>
                <w:kern w:val="0"/>
                <w:sz w:val="24"/>
              </w:rPr>
            </w:pPr>
            <w:r w:rsidRPr="006F329D">
              <w:rPr>
                <w:rFonts w:ascii="宋体" w:hAnsi="宋体"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6F329D" w:rsidRDefault="00ED0E09">
            <w:pPr>
              <w:autoSpaceDE w:val="0"/>
              <w:autoSpaceDN w:val="0"/>
              <w:adjustRightInd w:val="0"/>
              <w:jc w:val="center"/>
              <w:rPr>
                <w:rFonts w:ascii="宋体" w:hAnsi="宋体"/>
                <w:b/>
                <w:bCs/>
                <w:color w:val="000000"/>
                <w:kern w:val="0"/>
                <w:sz w:val="24"/>
              </w:rPr>
            </w:pPr>
            <w:r w:rsidRPr="006F329D">
              <w:rPr>
                <w:rFonts w:ascii="宋体" w:hAnsi="宋体" w:hint="eastAsia"/>
                <w:color w:val="000000"/>
                <w:kern w:val="0"/>
                <w:sz w:val="24"/>
              </w:rPr>
              <w:t>份额占比</w:t>
            </w:r>
          </w:p>
        </w:tc>
      </w:tr>
      <w:tr w:rsidR="00DD6D17" w:rsidRPr="006F329D">
        <w:tc>
          <w:tcPr>
            <w:tcW w:w="992" w:type="dxa"/>
            <w:vMerge w:val="restart"/>
          </w:tcPr>
          <w:p w:rsidR="00DD6D17" w:rsidRPr="006F329D" w:rsidRDefault="00DD6D17">
            <w:pPr>
              <w:rPr>
                <w:sz w:val="24"/>
              </w:rPr>
            </w:pPr>
          </w:p>
          <w:p w:rsidR="00DD6D17" w:rsidRPr="006F329D" w:rsidRDefault="00F44D55">
            <w:pPr>
              <w:rPr>
                <w:sz w:val="24"/>
              </w:rPr>
            </w:pPr>
            <w:r w:rsidRPr="006F329D">
              <w:rPr>
                <w:rFonts w:ascii="宋体" w:hAnsi="宋体" w:hint="eastAsia"/>
                <w:bCs/>
                <w:color w:val="000000"/>
                <w:kern w:val="0"/>
                <w:sz w:val="24"/>
              </w:rPr>
              <w:t>机构</w:t>
            </w:r>
          </w:p>
        </w:tc>
        <w:tc>
          <w:tcPr>
            <w:tcW w:w="991" w:type="dxa"/>
            <w:vAlign w:val="center"/>
          </w:tcPr>
          <w:p w:rsidR="00DD6D17" w:rsidRPr="006F329D" w:rsidRDefault="00F44D55">
            <w:pPr>
              <w:jc w:val="center"/>
              <w:rPr>
                <w:sz w:val="24"/>
              </w:rPr>
            </w:pPr>
            <w:r w:rsidRPr="006F329D">
              <w:rPr>
                <w:rFonts w:ascii="宋体" w:hAnsi="宋体" w:hint="eastAsia"/>
                <w:color w:val="000000"/>
                <w:kern w:val="0"/>
                <w:sz w:val="24"/>
              </w:rPr>
              <w:t>1</w:t>
            </w:r>
          </w:p>
        </w:tc>
        <w:tc>
          <w:tcPr>
            <w:tcW w:w="1843" w:type="dxa"/>
            <w:vAlign w:val="center"/>
          </w:tcPr>
          <w:p w:rsidR="00DD6D17" w:rsidRPr="006F329D" w:rsidRDefault="00F44D55">
            <w:pPr>
              <w:jc w:val="center"/>
              <w:rPr>
                <w:sz w:val="24"/>
              </w:rPr>
            </w:pPr>
            <w:r w:rsidRPr="006F329D">
              <w:rPr>
                <w:rFonts w:ascii="宋体" w:hAnsi="宋体" w:hint="eastAsia"/>
                <w:color w:val="000000"/>
                <w:kern w:val="0"/>
                <w:sz w:val="24"/>
              </w:rPr>
              <w:t>2018/7/1-2018/9/30</w:t>
            </w:r>
          </w:p>
        </w:tc>
        <w:tc>
          <w:tcPr>
            <w:tcW w:w="851" w:type="dxa"/>
            <w:vAlign w:val="center"/>
          </w:tcPr>
          <w:p w:rsidR="00DD6D17" w:rsidRPr="006F329D" w:rsidRDefault="00F44D55">
            <w:pPr>
              <w:jc w:val="center"/>
              <w:rPr>
                <w:sz w:val="24"/>
              </w:rPr>
            </w:pPr>
            <w:r w:rsidRPr="006F329D">
              <w:rPr>
                <w:rFonts w:ascii="宋体" w:hAnsi="宋体" w:hint="eastAsia"/>
                <w:color w:val="000000"/>
                <w:kern w:val="0"/>
                <w:sz w:val="24"/>
              </w:rPr>
              <w:t>251,888,664.99</w:t>
            </w:r>
          </w:p>
        </w:tc>
        <w:tc>
          <w:tcPr>
            <w:tcW w:w="850" w:type="dxa"/>
            <w:vAlign w:val="center"/>
          </w:tcPr>
          <w:p w:rsidR="00DD6D17" w:rsidRPr="006F329D" w:rsidRDefault="00F44D55">
            <w:pPr>
              <w:jc w:val="center"/>
              <w:rPr>
                <w:sz w:val="24"/>
              </w:rPr>
            </w:pPr>
            <w:r w:rsidRPr="006F329D">
              <w:rPr>
                <w:rFonts w:ascii="宋体" w:hAnsi="宋体" w:hint="eastAsia"/>
                <w:color w:val="000000"/>
                <w:kern w:val="0"/>
                <w:sz w:val="24"/>
              </w:rPr>
              <w:t>-</w:t>
            </w:r>
          </w:p>
        </w:tc>
        <w:tc>
          <w:tcPr>
            <w:tcW w:w="1134" w:type="dxa"/>
            <w:vAlign w:val="center"/>
          </w:tcPr>
          <w:p w:rsidR="00DD6D17" w:rsidRPr="006F329D" w:rsidRDefault="00F44D55">
            <w:pPr>
              <w:jc w:val="center"/>
              <w:rPr>
                <w:sz w:val="24"/>
              </w:rPr>
            </w:pPr>
            <w:r w:rsidRPr="006F329D">
              <w:rPr>
                <w:rFonts w:ascii="宋体" w:hAnsi="宋体" w:hint="eastAsia"/>
                <w:color w:val="000000"/>
                <w:kern w:val="0"/>
                <w:sz w:val="24"/>
              </w:rPr>
              <w:t>150,339,025.00</w:t>
            </w:r>
          </w:p>
        </w:tc>
        <w:tc>
          <w:tcPr>
            <w:tcW w:w="1419" w:type="dxa"/>
            <w:vAlign w:val="center"/>
          </w:tcPr>
          <w:p w:rsidR="00DD6D17" w:rsidRPr="006F329D" w:rsidRDefault="00F44D55">
            <w:pPr>
              <w:jc w:val="center"/>
              <w:rPr>
                <w:sz w:val="24"/>
              </w:rPr>
            </w:pPr>
            <w:r w:rsidRPr="006F329D">
              <w:rPr>
                <w:rFonts w:ascii="宋体" w:hAnsi="宋体" w:hint="eastAsia"/>
                <w:color w:val="000000"/>
                <w:kern w:val="0"/>
                <w:sz w:val="24"/>
              </w:rPr>
              <w:t>101,549,639.99</w:t>
            </w:r>
          </w:p>
        </w:tc>
        <w:tc>
          <w:tcPr>
            <w:tcW w:w="1130" w:type="dxa"/>
            <w:vAlign w:val="center"/>
          </w:tcPr>
          <w:p w:rsidR="00DD6D17" w:rsidRPr="006F329D" w:rsidRDefault="00F44D55">
            <w:pPr>
              <w:jc w:val="center"/>
              <w:rPr>
                <w:sz w:val="24"/>
              </w:rPr>
            </w:pPr>
            <w:r w:rsidRPr="006F329D">
              <w:rPr>
                <w:rFonts w:ascii="宋体" w:hAnsi="宋体" w:hint="eastAsia"/>
                <w:color w:val="000000"/>
                <w:kern w:val="0"/>
                <w:sz w:val="24"/>
              </w:rPr>
              <w:t>76.51%</w:t>
            </w:r>
          </w:p>
        </w:tc>
      </w:tr>
      <w:tr w:rsidR="00ED0E09" w:rsidRPr="006F329D"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6F329D" w:rsidRDefault="00ED0E09">
            <w:pPr>
              <w:autoSpaceDE w:val="0"/>
              <w:autoSpaceDN w:val="0"/>
              <w:adjustRightInd w:val="0"/>
              <w:jc w:val="center"/>
              <w:rPr>
                <w:rFonts w:ascii="宋体" w:hAnsi="宋体"/>
                <w:kern w:val="0"/>
                <w:sz w:val="24"/>
              </w:rPr>
            </w:pPr>
            <w:r w:rsidRPr="006F329D">
              <w:rPr>
                <w:rFonts w:ascii="宋体" w:hAnsi="宋体" w:hint="eastAsia"/>
                <w:color w:val="000000"/>
                <w:kern w:val="0"/>
                <w:sz w:val="24"/>
              </w:rPr>
              <w:t>产品特有风险</w:t>
            </w:r>
          </w:p>
        </w:tc>
      </w:tr>
      <w:tr w:rsidR="00ED0E09" w:rsidRPr="006F329D"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6F329D" w:rsidRDefault="00ED0E09">
            <w:pPr>
              <w:autoSpaceDE w:val="0"/>
              <w:autoSpaceDN w:val="0"/>
              <w:adjustRightInd w:val="0"/>
              <w:jc w:val="left"/>
              <w:rPr>
                <w:rFonts w:ascii="宋体" w:hAnsi="宋体"/>
                <w:kern w:val="0"/>
                <w:sz w:val="24"/>
              </w:rPr>
            </w:pPr>
            <w:r w:rsidRPr="006F329D">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F329D" w:rsidRDefault="006F329D" w:rsidP="00ED0E09">
      <w:pPr>
        <w:autoSpaceDE w:val="0"/>
        <w:autoSpaceDN w:val="0"/>
        <w:adjustRightInd w:val="0"/>
        <w:spacing w:line="360" w:lineRule="auto"/>
        <w:jc w:val="left"/>
        <w:rPr>
          <w:rFonts w:ascii="宋体" w:hAnsi="宋体"/>
          <w:b/>
          <w:bCs/>
          <w:color w:val="000000"/>
          <w:kern w:val="0"/>
          <w:szCs w:val="21"/>
        </w:rPr>
      </w:pPr>
    </w:p>
    <w:p w:rsidR="00ED0E09" w:rsidRPr="006F329D" w:rsidRDefault="00ED0E09" w:rsidP="006F329D">
      <w:pPr>
        <w:autoSpaceDE w:val="0"/>
        <w:autoSpaceDN w:val="0"/>
        <w:adjustRightInd w:val="0"/>
        <w:spacing w:before="29" w:line="288" w:lineRule="auto"/>
        <w:jc w:val="left"/>
        <w:rPr>
          <w:rFonts w:eastAsiaTheme="minorEastAsia"/>
          <w:b/>
          <w:bCs/>
          <w:color w:val="000000"/>
          <w:kern w:val="0"/>
          <w:sz w:val="24"/>
        </w:rPr>
      </w:pPr>
      <w:r w:rsidRPr="006F329D">
        <w:rPr>
          <w:rFonts w:eastAsiaTheme="minorEastAsia" w:hint="eastAsia"/>
          <w:b/>
          <w:bCs/>
          <w:color w:val="000000"/>
          <w:kern w:val="0"/>
          <w:sz w:val="24"/>
        </w:rPr>
        <w:t xml:space="preserve">9.2 </w:t>
      </w:r>
      <w:r w:rsidRPr="006F329D">
        <w:rPr>
          <w:rFonts w:eastAsiaTheme="minorEastAsia" w:hint="eastAsia"/>
          <w:b/>
          <w:bCs/>
          <w:color w:val="000000"/>
          <w:kern w:val="0"/>
          <w:sz w:val="24"/>
        </w:rPr>
        <w:t>影响投资者决策的其他重要信息</w:t>
      </w:r>
    </w:p>
    <w:p w:rsidR="00ED0E09" w:rsidRPr="006F329D" w:rsidRDefault="00ED0E09" w:rsidP="006F329D">
      <w:pPr>
        <w:spacing w:before="29" w:line="288" w:lineRule="auto"/>
        <w:ind w:firstLineChars="200" w:firstLine="480"/>
        <w:rPr>
          <w:rFonts w:eastAsiaTheme="minorEastAsia"/>
          <w:color w:val="000000"/>
          <w:sz w:val="24"/>
        </w:rPr>
      </w:pPr>
      <w:r w:rsidRPr="006F329D">
        <w:rPr>
          <w:rFonts w:eastAsiaTheme="minorEastAsia" w:hint="eastAsia"/>
          <w:color w:val="000000"/>
          <w:sz w:val="24"/>
        </w:rPr>
        <w:t>本基金管理人于</w:t>
      </w:r>
      <w:r w:rsidRPr="006F329D">
        <w:rPr>
          <w:rFonts w:eastAsiaTheme="minorEastAsia" w:hint="eastAsia"/>
          <w:color w:val="000000"/>
          <w:sz w:val="24"/>
        </w:rPr>
        <w:t>2018</w:t>
      </w:r>
      <w:r w:rsidRPr="006F329D">
        <w:rPr>
          <w:rFonts w:eastAsiaTheme="minorEastAsia" w:hint="eastAsia"/>
          <w:color w:val="000000"/>
          <w:sz w:val="24"/>
        </w:rPr>
        <w:t>年</w:t>
      </w:r>
      <w:r w:rsidRPr="006F329D">
        <w:rPr>
          <w:rFonts w:eastAsiaTheme="minorEastAsia" w:hint="eastAsia"/>
          <w:color w:val="000000"/>
          <w:sz w:val="24"/>
        </w:rPr>
        <w:t>7</w:t>
      </w:r>
      <w:r w:rsidRPr="006F329D">
        <w:rPr>
          <w:rFonts w:eastAsiaTheme="minorEastAsia" w:hint="eastAsia"/>
          <w:color w:val="000000"/>
          <w:sz w:val="24"/>
        </w:rPr>
        <w:t>月</w:t>
      </w:r>
      <w:r w:rsidRPr="006F329D">
        <w:rPr>
          <w:rFonts w:eastAsiaTheme="minorEastAsia" w:hint="eastAsia"/>
          <w:color w:val="000000"/>
          <w:sz w:val="24"/>
        </w:rPr>
        <w:t>2</w:t>
      </w:r>
      <w:r w:rsidRPr="006F329D">
        <w:rPr>
          <w:rFonts w:eastAsiaTheme="minorEastAsia" w:hint="eastAsia"/>
          <w:color w:val="000000"/>
          <w:sz w:val="24"/>
        </w:rPr>
        <w:t>日起至</w:t>
      </w:r>
      <w:r w:rsidRPr="006F329D">
        <w:rPr>
          <w:rFonts w:eastAsiaTheme="minorEastAsia" w:hint="eastAsia"/>
          <w:color w:val="000000"/>
          <w:sz w:val="24"/>
        </w:rPr>
        <w:t>2018</w:t>
      </w:r>
      <w:r w:rsidRPr="006F329D">
        <w:rPr>
          <w:rFonts w:eastAsiaTheme="minorEastAsia" w:hint="eastAsia"/>
          <w:color w:val="000000"/>
          <w:sz w:val="24"/>
        </w:rPr>
        <w:t>年</w:t>
      </w:r>
      <w:r w:rsidRPr="006F329D">
        <w:rPr>
          <w:rFonts w:eastAsiaTheme="minorEastAsia" w:hint="eastAsia"/>
          <w:color w:val="000000"/>
          <w:sz w:val="24"/>
        </w:rPr>
        <w:t>8</w:t>
      </w:r>
      <w:r w:rsidRPr="006F329D">
        <w:rPr>
          <w:rFonts w:eastAsiaTheme="minorEastAsia" w:hint="eastAsia"/>
          <w:color w:val="000000"/>
          <w:sz w:val="24"/>
        </w:rPr>
        <w:t>月</w:t>
      </w:r>
      <w:r w:rsidRPr="006F329D">
        <w:rPr>
          <w:rFonts w:eastAsiaTheme="minorEastAsia" w:hint="eastAsia"/>
          <w:color w:val="000000"/>
          <w:sz w:val="24"/>
        </w:rPr>
        <w:t>1</w:t>
      </w:r>
      <w:r w:rsidRPr="006F329D">
        <w:rPr>
          <w:rFonts w:eastAsiaTheme="minorEastAsia" w:hint="eastAsia"/>
          <w:color w:val="000000"/>
          <w:sz w:val="24"/>
        </w:rPr>
        <w:t>日</w:t>
      </w:r>
      <w:r w:rsidRPr="006F329D">
        <w:rPr>
          <w:rFonts w:eastAsiaTheme="minorEastAsia" w:hint="eastAsia"/>
          <w:color w:val="000000"/>
          <w:sz w:val="24"/>
        </w:rPr>
        <w:t>17</w:t>
      </w:r>
      <w:r w:rsidRPr="006F329D">
        <w:rPr>
          <w:rFonts w:eastAsiaTheme="minorEastAsia" w:hint="eastAsia"/>
          <w:color w:val="000000"/>
          <w:sz w:val="24"/>
        </w:rPr>
        <w:t>：</w:t>
      </w:r>
      <w:r w:rsidRPr="006F329D">
        <w:rPr>
          <w:rFonts w:eastAsiaTheme="minorEastAsia" w:hint="eastAsia"/>
          <w:color w:val="000000"/>
          <w:sz w:val="24"/>
        </w:rPr>
        <w:t>00</w:t>
      </w:r>
      <w:r w:rsidRPr="006F329D">
        <w:rPr>
          <w:rFonts w:eastAsiaTheme="minorEastAsia" w:hint="eastAsia"/>
          <w:color w:val="000000"/>
          <w:sz w:val="24"/>
        </w:rPr>
        <w:t>止以通讯方式召开本基金的基金份额持有人大会，就本基金基金合同修改有关事项的议案进行表决。根据基金份额持有人大会的决议，本基金管理人修改了本基金的收益分配原则，并相应修改基金合同和托管协议。本基金管理人将在更新基金招募说明书时，对上述相关内容进行相应修订。本次基金份额持有人大会决议于</w:t>
      </w:r>
      <w:r w:rsidRPr="006F329D">
        <w:rPr>
          <w:rFonts w:eastAsiaTheme="minorEastAsia" w:hint="eastAsia"/>
          <w:color w:val="000000"/>
          <w:sz w:val="24"/>
        </w:rPr>
        <w:t>2018</w:t>
      </w:r>
      <w:r w:rsidRPr="006F329D">
        <w:rPr>
          <w:rFonts w:eastAsiaTheme="minorEastAsia" w:hint="eastAsia"/>
          <w:color w:val="000000"/>
          <w:sz w:val="24"/>
        </w:rPr>
        <w:t>年</w:t>
      </w:r>
      <w:r w:rsidRPr="006F329D">
        <w:rPr>
          <w:rFonts w:eastAsiaTheme="minorEastAsia" w:hint="eastAsia"/>
          <w:color w:val="000000"/>
          <w:sz w:val="24"/>
        </w:rPr>
        <w:t>8</w:t>
      </w:r>
      <w:r w:rsidRPr="006F329D">
        <w:rPr>
          <w:rFonts w:eastAsiaTheme="minorEastAsia" w:hint="eastAsia"/>
          <w:color w:val="000000"/>
          <w:sz w:val="24"/>
        </w:rPr>
        <w:t>月</w:t>
      </w:r>
      <w:r w:rsidRPr="006F329D">
        <w:rPr>
          <w:rFonts w:eastAsiaTheme="minorEastAsia" w:hint="eastAsia"/>
          <w:color w:val="000000"/>
          <w:sz w:val="24"/>
        </w:rPr>
        <w:t>2</w:t>
      </w:r>
      <w:r w:rsidRPr="006F329D">
        <w:rPr>
          <w:rFonts w:eastAsiaTheme="minorEastAsia" w:hint="eastAsia"/>
          <w:color w:val="000000"/>
          <w:sz w:val="24"/>
        </w:rPr>
        <w:t>日生效，自本次基金份额持有人大会决议公告之日即</w:t>
      </w:r>
      <w:r w:rsidRPr="006F329D">
        <w:rPr>
          <w:rFonts w:eastAsiaTheme="minorEastAsia" w:hint="eastAsia"/>
          <w:color w:val="000000"/>
          <w:sz w:val="24"/>
        </w:rPr>
        <w:t>2018</w:t>
      </w:r>
      <w:r w:rsidRPr="006F329D">
        <w:rPr>
          <w:rFonts w:eastAsiaTheme="minorEastAsia" w:hint="eastAsia"/>
          <w:color w:val="000000"/>
          <w:sz w:val="24"/>
        </w:rPr>
        <w:t>年</w:t>
      </w:r>
      <w:r w:rsidRPr="006F329D">
        <w:rPr>
          <w:rFonts w:eastAsiaTheme="minorEastAsia" w:hint="eastAsia"/>
          <w:color w:val="000000"/>
          <w:sz w:val="24"/>
        </w:rPr>
        <w:t>8</w:t>
      </w:r>
      <w:r w:rsidRPr="006F329D">
        <w:rPr>
          <w:rFonts w:eastAsiaTheme="minorEastAsia" w:hint="eastAsia"/>
          <w:color w:val="000000"/>
          <w:sz w:val="24"/>
        </w:rPr>
        <w:t>月</w:t>
      </w:r>
      <w:r w:rsidRPr="006F329D">
        <w:rPr>
          <w:rFonts w:eastAsiaTheme="minorEastAsia" w:hint="eastAsia"/>
          <w:color w:val="000000"/>
          <w:sz w:val="24"/>
        </w:rPr>
        <w:t>3</w:t>
      </w:r>
      <w:r w:rsidRPr="006F329D">
        <w:rPr>
          <w:rFonts w:eastAsiaTheme="minorEastAsia" w:hint="eastAsia"/>
          <w:color w:val="000000"/>
          <w:sz w:val="24"/>
        </w:rPr>
        <w:t>日起，本基金执行修改后的基金收益分配原则。详情请查阅本基金管理人于</w:t>
      </w:r>
      <w:r w:rsidRPr="006F329D">
        <w:rPr>
          <w:rFonts w:eastAsiaTheme="minorEastAsia" w:hint="eastAsia"/>
          <w:color w:val="000000"/>
          <w:sz w:val="24"/>
        </w:rPr>
        <w:t>2018</w:t>
      </w:r>
      <w:r w:rsidRPr="006F329D">
        <w:rPr>
          <w:rFonts w:eastAsiaTheme="minorEastAsia" w:hint="eastAsia"/>
          <w:color w:val="000000"/>
          <w:sz w:val="24"/>
        </w:rPr>
        <w:t>年</w:t>
      </w:r>
      <w:r w:rsidRPr="006F329D">
        <w:rPr>
          <w:rFonts w:eastAsiaTheme="minorEastAsia" w:hint="eastAsia"/>
          <w:color w:val="000000"/>
          <w:sz w:val="24"/>
        </w:rPr>
        <w:t>8</w:t>
      </w:r>
      <w:r w:rsidRPr="006F329D">
        <w:rPr>
          <w:rFonts w:eastAsiaTheme="minorEastAsia" w:hint="eastAsia"/>
          <w:color w:val="000000"/>
          <w:sz w:val="24"/>
        </w:rPr>
        <w:t>月</w:t>
      </w:r>
      <w:r w:rsidRPr="006F329D">
        <w:rPr>
          <w:rFonts w:eastAsiaTheme="minorEastAsia" w:hint="eastAsia"/>
          <w:color w:val="000000"/>
          <w:sz w:val="24"/>
        </w:rPr>
        <w:t>3</w:t>
      </w:r>
      <w:r w:rsidRPr="006F329D">
        <w:rPr>
          <w:rFonts w:eastAsiaTheme="minorEastAsia" w:hint="eastAsia"/>
          <w:color w:val="000000"/>
          <w:sz w:val="24"/>
        </w:rPr>
        <w:t>日发布的《交银施罗德基金管理有限公司关于交银施罗德丰享收益债券型证券投资基金基金份额持有人大会表决结果暨决议生效的公告》。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DD6D17" w:rsidRDefault="00F44D55">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、中国证监会准予交银施罗德丰享收益债券型证券投资基金募集注册的文件；</w:t>
      </w:r>
      <w:r>
        <w:rPr>
          <w:rFonts w:eastAsiaTheme="minorEastAsia"/>
          <w:color w:val="000000"/>
          <w:sz w:val="24"/>
        </w:rPr>
        <w:t xml:space="preserve"> </w:t>
      </w:r>
    </w:p>
    <w:p w:rsidR="00DD6D17" w:rsidRDefault="00F44D55">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、《交银施罗德丰享收益债券型证券投资基金基金合同》；</w:t>
      </w:r>
    </w:p>
    <w:p w:rsidR="00DD6D17" w:rsidRDefault="00F44D55">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、《交银施罗德丰享收益债券型证券投资基金招募说明书》；</w:t>
      </w:r>
      <w:r>
        <w:rPr>
          <w:rFonts w:eastAsiaTheme="minorEastAsia"/>
          <w:color w:val="000000"/>
          <w:sz w:val="24"/>
        </w:rPr>
        <w:t xml:space="preserve"> </w:t>
      </w:r>
    </w:p>
    <w:p w:rsidR="00DD6D17" w:rsidRDefault="00F44D55">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、《交银施罗德丰享收益债券型证券投资基金托管协议》；</w:t>
      </w:r>
      <w:r>
        <w:rPr>
          <w:rFonts w:eastAsiaTheme="minorEastAsia"/>
          <w:color w:val="000000"/>
          <w:sz w:val="24"/>
        </w:rPr>
        <w:t xml:space="preserve"> </w:t>
      </w:r>
    </w:p>
    <w:p w:rsidR="00DD6D17" w:rsidRDefault="00F44D55">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DD6D17" w:rsidRDefault="00F44D55">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DD6D17" w:rsidRDefault="00F44D55">
      <w:pPr>
        <w:spacing w:before="29" w:line="288" w:lineRule="auto"/>
        <w:ind w:firstLineChars="200" w:firstLine="480"/>
        <w:rPr>
          <w:rFonts w:eastAsiaTheme="minorEastAsia"/>
          <w:color w:val="000000"/>
          <w:sz w:val="24"/>
        </w:rPr>
      </w:pPr>
      <w:r>
        <w:rPr>
          <w:rFonts w:eastAsiaTheme="minorEastAsia"/>
          <w:color w:val="000000"/>
          <w:sz w:val="24"/>
        </w:rPr>
        <w:lastRenderedPageBreak/>
        <w:t>7</w:t>
      </w:r>
      <w:r>
        <w:rPr>
          <w:rFonts w:eastAsiaTheme="minorEastAsia"/>
          <w:color w:val="000000"/>
          <w:sz w:val="24"/>
        </w:rPr>
        <w:t>、关于申请募集注册交银施罗德丰享收益债券型证券投资基金的法律意见书；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、报告期内交银施罗德丰享收益债券型证券投资基金在指定报刊上各项公告的原稿。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DD6D17" w:rsidRDefault="00F44D55">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D55" w:rsidRDefault="00F44D55">
      <w:r>
        <w:separator/>
      </w:r>
    </w:p>
  </w:endnote>
  <w:endnote w:type="continuationSeparator" w:id="0">
    <w:p w:rsidR="00F44D55" w:rsidRDefault="00F4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6F329D">
      <w:rPr>
        <w:noProof/>
        <w:kern w:val="0"/>
        <w:szCs w:val="21"/>
      </w:rPr>
      <w:t>13</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6F329D">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D55" w:rsidRDefault="00F44D55">
      <w:r>
        <w:separator/>
      </w:r>
    </w:p>
  </w:footnote>
  <w:footnote w:type="continuationSeparator" w:id="0">
    <w:p w:rsidR="00F44D55" w:rsidRDefault="00F44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w:t>
    </w:r>
    <w:proofErr w:type="gramStart"/>
    <w:r w:rsidRPr="00D3445F">
      <w:rPr>
        <w:rFonts w:eastAsiaTheme="minorEastAsia"/>
        <w:sz w:val="24"/>
      </w:rPr>
      <w:t>施罗德丰享收益债券</w:t>
    </w:r>
    <w:proofErr w:type="gramEnd"/>
    <w:r w:rsidRPr="00D3445F">
      <w:rPr>
        <w:rFonts w:eastAsiaTheme="minorEastAsia"/>
        <w:sz w:val="24"/>
      </w:rPr>
      <w:t>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329D"/>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6D17"/>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D55"/>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62165CA-56BF-4606-BF21-F1BF802E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39C61-3955-411C-8C52-12E8F8A1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210</TotalTime>
  <Pages>14</Pages>
  <Words>1225</Words>
  <Characters>6983</Characters>
  <Application>Microsoft Office Word</Application>
  <DocSecurity>0</DocSecurity>
  <Lines>58</Lines>
  <Paragraphs>16</Paragraphs>
  <ScaleCrop>false</ScaleCrop>
  <Company>TRT. Ltd. Co.</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378</cp:revision>
  <cp:lastPrinted>2007-07-19T00:46:00Z</cp:lastPrinted>
  <dcterms:created xsi:type="dcterms:W3CDTF">2014-01-17T06:19:00Z</dcterms:created>
  <dcterms:modified xsi:type="dcterms:W3CDTF">2018-10-18T09:19:00Z</dcterms:modified>
</cp:coreProperties>
</file>