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交银施罗德丰润收益债券型证券投资基金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9"/>
          <w:headerReference w:type="default" r:id="rId10"/>
          <w:footerReference w:type="even" r:id="rId11"/>
          <w:footerReference w:type="default" r:id="rId12"/>
          <w:headerReference w:type="first" r:id="rId13"/>
          <w:footerReference w:type="first" r:id="rId14"/>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二〇一八年十月二十六日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CC45F2" w:rsidRDefault="002E159F">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CC45F2" w:rsidRDefault="002E159F">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25</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CC45F2" w:rsidRDefault="002E159F">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CC45F2" w:rsidRDefault="002E159F">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CC45F2" w:rsidRDefault="002E159F">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交银丰润收益债券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w:t>
            </w:r>
            <w:r w:rsidRPr="007F52FA">
              <w:rPr>
                <w:color w:val="000000"/>
                <w:kern w:val="0"/>
                <w:sz w:val="24"/>
              </w:rPr>
              <w:t>,</w:t>
            </w:r>
            <w:r w:rsidRPr="007F52FA">
              <w:rPr>
                <w:color w:val="000000"/>
                <w:kern w:val="0"/>
                <w:sz w:val="24"/>
              </w:rPr>
              <w:t>本基金在基金合同生效之日起两年（含两年）的期间内封闭式运作（按照基金合同的约定提前转换基金运作方式的除外</w:t>
            </w:r>
            <w:r w:rsidRPr="007F52FA">
              <w:rPr>
                <w:color w:val="000000"/>
                <w:kern w:val="0"/>
                <w:sz w:val="24"/>
              </w:rPr>
              <w:t>)</w:t>
            </w:r>
            <w:r w:rsidRPr="007F52FA">
              <w:rPr>
                <w:color w:val="000000"/>
                <w:kern w:val="0"/>
                <w:sz w:val="24"/>
              </w:rPr>
              <w:t>，封闭期结束后转为开放式运作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18,978,353.67</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CC45F2" w:rsidRDefault="002E159F">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w:t>
            </w:r>
            <w:r w:rsidRPr="007F52FA">
              <w:rPr>
                <w:color w:val="000000"/>
                <w:kern w:val="0"/>
                <w:sz w:val="24"/>
              </w:rPr>
              <w:lastRenderedPageBreak/>
              <w:t>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CC45F2" w:rsidRDefault="002E159F">
            <w:pPr>
              <w:adjustRightInd w:val="0"/>
              <w:spacing w:before="29" w:line="288" w:lineRule="auto"/>
              <w:ind w:left="17"/>
              <w:jc w:val="left"/>
              <w:rPr>
                <w:color w:val="000000"/>
                <w:sz w:val="24"/>
              </w:rPr>
            </w:pPr>
            <w:r>
              <w:rPr>
                <w:color w:val="000000"/>
                <w:kern w:val="0"/>
                <w:sz w:val="24"/>
              </w:rPr>
              <w:t>封闭期内业绩比较基准：两年期银行定期存款税后收益率</w:t>
            </w:r>
            <w:r>
              <w:rPr>
                <w:color w:val="000000"/>
                <w:kern w:val="0"/>
                <w:sz w:val="24"/>
              </w:rPr>
              <w:t>+1.25%</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519743</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519745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17,952,124.26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1,026,229.41</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16</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交银丰润收益债券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交银丰润收益债券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78,700,369.41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108,036.32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33,104,876.79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3,534.55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0.0237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0.0034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18,536,151.09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1,054,176.12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1.0325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1.0272</w:t>
            </w:r>
          </w:p>
        </w:tc>
      </w:tr>
    </w:tbl>
    <w:p w:rsidR="00CC45F2" w:rsidRDefault="002E159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w:t>
      </w:r>
      <w:r>
        <w:rPr>
          <w:rFonts w:eastAsiaTheme="minorEastAsia"/>
          <w:color w:val="000000"/>
          <w:sz w:val="24"/>
        </w:rPr>
        <w:lastRenderedPageBreak/>
        <w:t>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交银丰润收益债券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C45F2">
        <w:trPr>
          <w:jc w:val="center"/>
        </w:trPr>
        <w:tc>
          <w:tcPr>
            <w:tcW w:w="1266" w:type="dxa"/>
            <w:vAlign w:val="center"/>
          </w:tcPr>
          <w:p w:rsidR="00CC45F2" w:rsidRDefault="002E159F">
            <w:pPr>
              <w:jc w:val="left"/>
            </w:pPr>
            <w:r>
              <w:rPr>
                <w:color w:val="000000"/>
                <w:sz w:val="24"/>
              </w:rPr>
              <w:t>过去三个月</w:t>
            </w:r>
          </w:p>
        </w:tc>
        <w:tc>
          <w:tcPr>
            <w:tcW w:w="1267" w:type="dxa"/>
            <w:vAlign w:val="center"/>
          </w:tcPr>
          <w:p w:rsidR="00CC45F2" w:rsidRDefault="002E159F">
            <w:pPr>
              <w:jc w:val="center"/>
            </w:pPr>
            <w:r>
              <w:rPr>
                <w:color w:val="000000"/>
                <w:sz w:val="24"/>
              </w:rPr>
              <w:t>1.03%</w:t>
            </w:r>
          </w:p>
        </w:tc>
        <w:tc>
          <w:tcPr>
            <w:tcW w:w="1267" w:type="dxa"/>
            <w:vAlign w:val="center"/>
          </w:tcPr>
          <w:p w:rsidR="00CC45F2" w:rsidRDefault="002E159F">
            <w:pPr>
              <w:jc w:val="center"/>
            </w:pPr>
            <w:r>
              <w:rPr>
                <w:color w:val="000000"/>
                <w:sz w:val="24"/>
              </w:rPr>
              <w:t>0.04%</w:t>
            </w:r>
          </w:p>
        </w:tc>
        <w:tc>
          <w:tcPr>
            <w:tcW w:w="1267" w:type="dxa"/>
            <w:vAlign w:val="center"/>
          </w:tcPr>
          <w:p w:rsidR="00CC45F2" w:rsidRDefault="002E159F">
            <w:pPr>
              <w:jc w:val="center"/>
            </w:pPr>
            <w:r>
              <w:rPr>
                <w:color w:val="000000"/>
                <w:sz w:val="24"/>
              </w:rPr>
              <w:t>0.57%</w:t>
            </w:r>
          </w:p>
        </w:tc>
        <w:tc>
          <w:tcPr>
            <w:tcW w:w="1267" w:type="dxa"/>
            <w:vAlign w:val="center"/>
          </w:tcPr>
          <w:p w:rsidR="00CC45F2" w:rsidRDefault="002E159F">
            <w:pPr>
              <w:jc w:val="center"/>
            </w:pPr>
            <w:r>
              <w:rPr>
                <w:color w:val="000000"/>
                <w:sz w:val="24"/>
              </w:rPr>
              <w:t>0.07%</w:t>
            </w:r>
          </w:p>
        </w:tc>
        <w:tc>
          <w:tcPr>
            <w:tcW w:w="1267" w:type="dxa"/>
            <w:vAlign w:val="center"/>
          </w:tcPr>
          <w:p w:rsidR="00CC45F2" w:rsidRDefault="002E159F">
            <w:pPr>
              <w:jc w:val="center"/>
            </w:pPr>
            <w:r>
              <w:rPr>
                <w:color w:val="000000"/>
                <w:sz w:val="24"/>
              </w:rPr>
              <w:t>0.46%</w:t>
            </w:r>
          </w:p>
        </w:tc>
        <w:tc>
          <w:tcPr>
            <w:tcW w:w="1267" w:type="dxa"/>
            <w:vAlign w:val="center"/>
          </w:tcPr>
          <w:p w:rsidR="00CC45F2" w:rsidRDefault="002E159F">
            <w:pPr>
              <w:jc w:val="center"/>
            </w:pPr>
            <w:r>
              <w:rPr>
                <w:color w:val="000000"/>
                <w:sz w:val="24"/>
              </w:rPr>
              <w:t>-0.03%</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交银丰润收益债券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C45F2">
        <w:trPr>
          <w:jc w:val="center"/>
        </w:trPr>
        <w:tc>
          <w:tcPr>
            <w:tcW w:w="1266" w:type="dxa"/>
            <w:vAlign w:val="center"/>
          </w:tcPr>
          <w:p w:rsidR="00CC45F2" w:rsidRDefault="002E159F">
            <w:pPr>
              <w:jc w:val="left"/>
            </w:pPr>
            <w:r>
              <w:rPr>
                <w:color w:val="000000"/>
                <w:sz w:val="24"/>
              </w:rPr>
              <w:t>过去三个月</w:t>
            </w:r>
          </w:p>
        </w:tc>
        <w:tc>
          <w:tcPr>
            <w:tcW w:w="1267" w:type="dxa"/>
            <w:vAlign w:val="center"/>
          </w:tcPr>
          <w:p w:rsidR="00CC45F2" w:rsidRDefault="002E159F">
            <w:pPr>
              <w:jc w:val="center"/>
            </w:pPr>
            <w:r>
              <w:rPr>
                <w:color w:val="000000"/>
                <w:sz w:val="24"/>
              </w:rPr>
              <w:t>0.51%</w:t>
            </w:r>
          </w:p>
        </w:tc>
        <w:tc>
          <w:tcPr>
            <w:tcW w:w="1267" w:type="dxa"/>
            <w:vAlign w:val="center"/>
          </w:tcPr>
          <w:p w:rsidR="00CC45F2" w:rsidRDefault="002E159F">
            <w:pPr>
              <w:jc w:val="center"/>
            </w:pPr>
            <w:r>
              <w:rPr>
                <w:color w:val="000000"/>
                <w:sz w:val="24"/>
              </w:rPr>
              <w:t>0.06%</w:t>
            </w:r>
          </w:p>
        </w:tc>
        <w:tc>
          <w:tcPr>
            <w:tcW w:w="1267" w:type="dxa"/>
            <w:vAlign w:val="center"/>
          </w:tcPr>
          <w:p w:rsidR="00CC45F2" w:rsidRDefault="002E159F">
            <w:pPr>
              <w:jc w:val="center"/>
            </w:pPr>
            <w:r>
              <w:rPr>
                <w:color w:val="000000"/>
                <w:sz w:val="24"/>
              </w:rPr>
              <w:t>0.57%</w:t>
            </w:r>
          </w:p>
        </w:tc>
        <w:tc>
          <w:tcPr>
            <w:tcW w:w="1267" w:type="dxa"/>
            <w:vAlign w:val="center"/>
          </w:tcPr>
          <w:p w:rsidR="00CC45F2" w:rsidRDefault="002E159F">
            <w:pPr>
              <w:jc w:val="center"/>
            </w:pPr>
            <w:r>
              <w:rPr>
                <w:color w:val="000000"/>
                <w:sz w:val="24"/>
              </w:rPr>
              <w:t>0.07%</w:t>
            </w:r>
          </w:p>
        </w:tc>
        <w:tc>
          <w:tcPr>
            <w:tcW w:w="1267" w:type="dxa"/>
            <w:vAlign w:val="center"/>
          </w:tcPr>
          <w:p w:rsidR="00CC45F2" w:rsidRDefault="002E159F">
            <w:pPr>
              <w:jc w:val="center"/>
            </w:pPr>
            <w:r>
              <w:rPr>
                <w:color w:val="000000"/>
                <w:sz w:val="24"/>
              </w:rPr>
              <w:t>-0.06%</w:t>
            </w:r>
          </w:p>
        </w:tc>
        <w:tc>
          <w:tcPr>
            <w:tcW w:w="1267" w:type="dxa"/>
            <w:vAlign w:val="center"/>
          </w:tcPr>
          <w:p w:rsidR="00CC45F2" w:rsidRDefault="002E159F">
            <w:pPr>
              <w:jc w:val="center"/>
            </w:pPr>
            <w:r>
              <w:rPr>
                <w:color w:val="000000"/>
                <w:sz w:val="24"/>
              </w:rPr>
              <w:t>-0.01%</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交银施罗德丰润收益债券型证券投资基金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交银丰润收益债券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5"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交银丰润收益债券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6"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CC45F2">
        <w:trPr>
          <w:jc w:val="center"/>
        </w:trPr>
        <w:tc>
          <w:tcPr>
            <w:tcW w:w="946" w:type="dxa"/>
            <w:vAlign w:val="center"/>
          </w:tcPr>
          <w:p w:rsidR="00CC45F2" w:rsidRDefault="002E159F">
            <w:pPr>
              <w:jc w:val="center"/>
            </w:pPr>
            <w:r>
              <w:rPr>
                <w:color w:val="000000"/>
                <w:sz w:val="24"/>
              </w:rPr>
              <w:t>连端清</w:t>
            </w:r>
          </w:p>
        </w:tc>
        <w:tc>
          <w:tcPr>
            <w:tcW w:w="924" w:type="dxa"/>
            <w:vAlign w:val="center"/>
          </w:tcPr>
          <w:p w:rsidR="00CC45F2" w:rsidRDefault="002E159F">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w:t>
            </w:r>
            <w:r>
              <w:rPr>
                <w:color w:val="000000"/>
                <w:sz w:val="24"/>
              </w:rPr>
              <w:lastRenderedPageBreak/>
              <w:t>券、交银天鑫宝货币、交银天益宝货币、交银境尚收益债券、交银天运宝货币的基金经理</w:t>
            </w:r>
          </w:p>
        </w:tc>
        <w:tc>
          <w:tcPr>
            <w:tcW w:w="1202" w:type="dxa"/>
            <w:vAlign w:val="center"/>
          </w:tcPr>
          <w:p w:rsidR="00CC45F2" w:rsidRDefault="002E159F">
            <w:pPr>
              <w:jc w:val="center"/>
            </w:pPr>
            <w:r>
              <w:rPr>
                <w:color w:val="000000"/>
                <w:sz w:val="24"/>
              </w:rPr>
              <w:lastRenderedPageBreak/>
              <w:t>2015-08-04</w:t>
            </w:r>
          </w:p>
        </w:tc>
        <w:tc>
          <w:tcPr>
            <w:tcW w:w="1300" w:type="dxa"/>
            <w:vAlign w:val="center"/>
          </w:tcPr>
          <w:p w:rsidR="00CC45F2" w:rsidRDefault="002E159F">
            <w:pPr>
              <w:jc w:val="center"/>
            </w:pPr>
            <w:r>
              <w:rPr>
                <w:color w:val="000000"/>
                <w:sz w:val="24"/>
              </w:rPr>
              <w:t>-</w:t>
            </w:r>
          </w:p>
        </w:tc>
        <w:tc>
          <w:tcPr>
            <w:tcW w:w="1245" w:type="dxa"/>
            <w:vAlign w:val="center"/>
          </w:tcPr>
          <w:p w:rsidR="00CC45F2" w:rsidRDefault="002E159F">
            <w:pPr>
              <w:jc w:val="center"/>
            </w:pPr>
            <w:r>
              <w:rPr>
                <w:color w:val="000000"/>
                <w:sz w:val="24"/>
              </w:rPr>
              <w:t>5</w:t>
            </w:r>
            <w:r>
              <w:rPr>
                <w:color w:val="000000"/>
                <w:sz w:val="24"/>
              </w:rPr>
              <w:t>年</w:t>
            </w:r>
          </w:p>
        </w:tc>
        <w:tc>
          <w:tcPr>
            <w:tcW w:w="3251" w:type="dxa"/>
            <w:vAlign w:val="center"/>
          </w:tcPr>
          <w:p w:rsidR="00CC45F2" w:rsidRDefault="002E159F">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bl>
    <w:p w:rsidR="00CC45F2" w:rsidRDefault="002E159F">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CC45F2" w:rsidRDefault="002E159F">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CC45F2" w:rsidRDefault="002E159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C45F2" w:rsidRDefault="002E159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w:t>
      </w:r>
      <w:r>
        <w:rPr>
          <w:color w:val="000000"/>
          <w:sz w:val="24"/>
        </w:rPr>
        <w:lastRenderedPageBreak/>
        <w:t>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C45F2" w:rsidRDefault="002E159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CC45F2" w:rsidRDefault="002E159F">
      <w:pPr>
        <w:spacing w:before="29" w:line="288" w:lineRule="auto"/>
        <w:ind w:firstLineChars="200" w:firstLine="480"/>
        <w:rPr>
          <w:color w:val="000000"/>
          <w:sz w:val="24"/>
        </w:rPr>
      </w:pPr>
      <w:r>
        <w:rPr>
          <w:color w:val="000000"/>
          <w:sz w:val="24"/>
        </w:rPr>
        <w:t>2018</w:t>
      </w:r>
      <w:r>
        <w:rPr>
          <w:color w:val="000000"/>
          <w:sz w:val="24"/>
        </w:rPr>
        <w:t>年三季度，国内经济延续稳中放缓态势，同时通胀压力有所上升，中美贸易战进一步扩大，国内经济政策稳字当头。国内制造业景气度仍保持高位扩张但已呈现减弱势头。制造业</w:t>
      </w:r>
      <w:r>
        <w:rPr>
          <w:color w:val="000000"/>
          <w:sz w:val="24"/>
        </w:rPr>
        <w:t>FAI</w:t>
      </w:r>
      <w:r>
        <w:rPr>
          <w:color w:val="000000"/>
          <w:sz w:val="24"/>
        </w:rPr>
        <w:t>同比增速继续提高，房地产投资仍保持较高增速，但基建投资增速继续下滑，导致固定资产投资持续下行。</w:t>
      </w:r>
      <w:r>
        <w:rPr>
          <w:color w:val="000000"/>
          <w:sz w:val="24"/>
        </w:rPr>
        <w:t>9</w:t>
      </w:r>
      <w:r>
        <w:rPr>
          <w:color w:val="000000"/>
          <w:sz w:val="24"/>
        </w:rPr>
        <w:t>月</w:t>
      </w:r>
      <w:r>
        <w:rPr>
          <w:color w:val="000000"/>
          <w:sz w:val="24"/>
        </w:rPr>
        <w:t>24</w:t>
      </w:r>
      <w:r>
        <w:rPr>
          <w:color w:val="000000"/>
          <w:sz w:val="24"/>
        </w:rPr>
        <w:t>日美国对</w:t>
      </w:r>
      <w:r>
        <w:rPr>
          <w:color w:val="000000"/>
          <w:sz w:val="24"/>
        </w:rPr>
        <w:t>2000</w:t>
      </w:r>
      <w:r>
        <w:rPr>
          <w:color w:val="000000"/>
          <w:sz w:val="24"/>
        </w:rPr>
        <w:t>亿美元输美中国商品加征关税，中美贸易战升级，负面影响在加大。三季度中采</w:t>
      </w:r>
      <w:r>
        <w:rPr>
          <w:color w:val="000000"/>
          <w:sz w:val="24"/>
        </w:rPr>
        <w:t>PMI</w:t>
      </w:r>
      <w:r>
        <w:rPr>
          <w:color w:val="000000"/>
          <w:sz w:val="24"/>
        </w:rPr>
        <w:t>分项指标新出口订单不断下滑，且九月份下滑幅度扩大。物价方面，三季度受灾害及原油价格攀升等问题影响，</w:t>
      </w:r>
      <w:r>
        <w:rPr>
          <w:color w:val="000000"/>
          <w:sz w:val="24"/>
        </w:rPr>
        <w:t>CPI</w:t>
      </w:r>
      <w:r>
        <w:rPr>
          <w:color w:val="000000"/>
          <w:sz w:val="24"/>
        </w:rPr>
        <w:t>再次回升至</w:t>
      </w:r>
      <w:r>
        <w:rPr>
          <w:color w:val="000000"/>
          <w:sz w:val="24"/>
        </w:rPr>
        <w:t>2%</w:t>
      </w:r>
      <w:r>
        <w:rPr>
          <w:color w:val="000000"/>
          <w:sz w:val="24"/>
        </w:rPr>
        <w:t>以上且短期内仍有上升压力。货币政策上，三季度央行维持中性偏松的货币政策，央行主要通过公开市场逆回购与</w:t>
      </w:r>
      <w:r>
        <w:rPr>
          <w:color w:val="000000"/>
          <w:sz w:val="24"/>
        </w:rPr>
        <w:t>MLF</w:t>
      </w:r>
      <w:r>
        <w:rPr>
          <w:color w:val="000000"/>
          <w:sz w:val="24"/>
        </w:rPr>
        <w:t>操作净投放</w:t>
      </w:r>
      <w:r>
        <w:rPr>
          <w:color w:val="000000"/>
          <w:sz w:val="24"/>
        </w:rPr>
        <w:t>4925</w:t>
      </w:r>
      <w:r>
        <w:rPr>
          <w:color w:val="000000"/>
          <w:sz w:val="24"/>
        </w:rPr>
        <w:t>亿元，以维持货币市场资金面宽松。但是，短期内央行进一步宽松的空间受到人民币贬值压力及货币政策传导机制阻塞等问题制约，八月下旬至九月上旬曾一度暂停逆回购操作。</w:t>
      </w:r>
    </w:p>
    <w:p w:rsidR="00CC45F2" w:rsidRDefault="002E159F">
      <w:pPr>
        <w:spacing w:before="29" w:line="288" w:lineRule="auto"/>
        <w:ind w:firstLineChars="200" w:firstLine="480"/>
        <w:rPr>
          <w:color w:val="000000"/>
          <w:sz w:val="24"/>
        </w:rPr>
      </w:pPr>
      <w:r>
        <w:rPr>
          <w:color w:val="000000"/>
          <w:sz w:val="24"/>
        </w:rPr>
        <w:t>资金面上，三季度货币市场流动性整体上非常宽裕，银行间市场</w:t>
      </w:r>
      <w:r>
        <w:rPr>
          <w:color w:val="000000"/>
          <w:sz w:val="24"/>
        </w:rPr>
        <w:t>R001</w:t>
      </w:r>
      <w:r>
        <w:rPr>
          <w:color w:val="000000"/>
          <w:sz w:val="24"/>
        </w:rPr>
        <w:t>曾在八月上旬一度降至</w:t>
      </w:r>
      <w:r>
        <w:rPr>
          <w:color w:val="000000"/>
          <w:sz w:val="24"/>
        </w:rPr>
        <w:t>1.5%</w:t>
      </w:r>
      <w:r>
        <w:rPr>
          <w:color w:val="000000"/>
          <w:sz w:val="24"/>
        </w:rPr>
        <w:t>以下，随后有所回调，但依然处于较低水平，九月底</w:t>
      </w:r>
      <w:r>
        <w:rPr>
          <w:color w:val="000000"/>
          <w:sz w:val="24"/>
        </w:rPr>
        <w:t>R001</w:t>
      </w:r>
      <w:r>
        <w:rPr>
          <w:color w:val="000000"/>
          <w:sz w:val="24"/>
        </w:rPr>
        <w:t>较六月底下降</w:t>
      </w:r>
      <w:r>
        <w:rPr>
          <w:color w:val="000000"/>
          <w:sz w:val="24"/>
        </w:rPr>
        <w:t>45</w:t>
      </w:r>
      <w:r>
        <w:rPr>
          <w:color w:val="000000"/>
          <w:sz w:val="24"/>
        </w:rPr>
        <w:t>个</w:t>
      </w:r>
      <w:r>
        <w:rPr>
          <w:color w:val="000000"/>
          <w:sz w:val="24"/>
        </w:rPr>
        <w:t>BP</w:t>
      </w:r>
      <w:r>
        <w:rPr>
          <w:color w:val="000000"/>
          <w:sz w:val="24"/>
        </w:rPr>
        <w:t>以上。三季度同业存款存单利率全线大幅下行，八月上旬同业存单利率降至历史最低位，股份制行三个月同业存单利率降至</w:t>
      </w:r>
      <w:r>
        <w:rPr>
          <w:color w:val="000000"/>
          <w:sz w:val="24"/>
        </w:rPr>
        <w:t>1.9%</w:t>
      </w:r>
      <w:r>
        <w:rPr>
          <w:color w:val="000000"/>
          <w:sz w:val="24"/>
        </w:rPr>
        <w:t>，尽管后续有所回升，但基本上处于</w:t>
      </w:r>
      <w:r>
        <w:rPr>
          <w:color w:val="000000"/>
          <w:sz w:val="24"/>
        </w:rPr>
        <w:t>3%</w:t>
      </w:r>
      <w:r>
        <w:rPr>
          <w:color w:val="000000"/>
          <w:sz w:val="24"/>
        </w:rPr>
        <w:t>以下较低位置。同业存款市场需求低迷，价格比存单更差。三季度债市整体上经历了大幅上涨再回调的波澜壮阔行情，受流动性宽松及经济悲观预期影响债市先大幅上涨，之后受流动性宽松边际暂停及</w:t>
      </w:r>
      <w:r>
        <w:rPr>
          <w:color w:val="000000"/>
          <w:sz w:val="24"/>
        </w:rPr>
        <w:t>CPI</w:t>
      </w:r>
      <w:r>
        <w:rPr>
          <w:color w:val="000000"/>
          <w:sz w:val="24"/>
        </w:rPr>
        <w:t>上涨压力凸现等利空因素影响，八月中旬开始债市持续回调，及至九月下旬长端利率债再次回暖。</w:t>
      </w:r>
    </w:p>
    <w:p w:rsidR="00CC45F2" w:rsidRDefault="002E159F">
      <w:pPr>
        <w:spacing w:before="29" w:line="288" w:lineRule="auto"/>
        <w:ind w:firstLineChars="200" w:firstLine="480"/>
        <w:rPr>
          <w:color w:val="000000"/>
          <w:sz w:val="24"/>
        </w:rPr>
      </w:pPr>
      <w:r>
        <w:rPr>
          <w:color w:val="000000"/>
          <w:sz w:val="24"/>
        </w:rPr>
        <w:t>基金操作方面，报告期内本基金减持债券，应对客户赎回，调整组合杠杆与持仓债券，为持有人创造稳健的回报。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年四季度，考虑中美贸易战升级，宽裕货币向信贷传导的机制仍待疏通，</w:t>
      </w:r>
      <w:r w:rsidRPr="007F52FA">
        <w:rPr>
          <w:color w:val="000000"/>
          <w:sz w:val="24"/>
        </w:rPr>
        <w:lastRenderedPageBreak/>
        <w:t>以及地方政府债务融资约束加强等问题，我们预计经济下行压力可能加大。但七月底中央政治局会议已提出</w:t>
      </w:r>
      <w:r w:rsidRPr="007F52FA">
        <w:rPr>
          <w:color w:val="000000"/>
          <w:sz w:val="24"/>
        </w:rPr>
        <w:t>“</w:t>
      </w:r>
      <w:r w:rsidRPr="007F52FA">
        <w:rPr>
          <w:color w:val="000000"/>
          <w:sz w:val="24"/>
        </w:rPr>
        <w:t>要保持社会经济大局稳定</w:t>
      </w:r>
      <w:r w:rsidRPr="007F52FA">
        <w:rPr>
          <w:color w:val="000000"/>
          <w:sz w:val="24"/>
        </w:rPr>
        <w:t>”</w:t>
      </w:r>
      <w:r w:rsidRPr="007F52FA">
        <w:rPr>
          <w:color w:val="000000"/>
          <w:sz w:val="24"/>
        </w:rPr>
        <w:t>，</w:t>
      </w:r>
      <w:r w:rsidRPr="007F52FA">
        <w:rPr>
          <w:color w:val="000000"/>
          <w:sz w:val="24"/>
        </w:rPr>
        <w:t>“</w:t>
      </w:r>
      <w:r w:rsidRPr="007F52FA">
        <w:rPr>
          <w:color w:val="000000"/>
          <w:sz w:val="24"/>
        </w:rPr>
        <w:t>要做好稳就业、稳金融、稳外贸、稳外资、稳投资、稳预期工作</w:t>
      </w:r>
      <w:r w:rsidRPr="007F52FA">
        <w:rPr>
          <w:color w:val="000000"/>
          <w:sz w:val="24"/>
        </w:rPr>
        <w:t>”</w:t>
      </w:r>
      <w:r w:rsidRPr="007F52FA">
        <w:rPr>
          <w:color w:val="000000"/>
          <w:sz w:val="24"/>
        </w:rPr>
        <w:t>的要求，经济政策托底工作可能进一步加强，我们预计四季度国内经济延续稳中放缓的概率较大，</w:t>
      </w:r>
      <w:r w:rsidRPr="007F52FA">
        <w:rPr>
          <w:color w:val="000000"/>
          <w:sz w:val="24"/>
        </w:rPr>
        <w:t>CPI</w:t>
      </w:r>
      <w:r w:rsidRPr="007F52FA">
        <w:rPr>
          <w:color w:val="000000"/>
          <w:sz w:val="24"/>
        </w:rPr>
        <w:t>短期内仍有上行压力。央行短期内仍可能坚持中性偏松的货币政策。我们将密切关注中美贸易战升级对四季度经济走势的影响。组合管理方面，本基金将努力研判宏观经济走势，密切跟踪央行货币政策操作与监管政策动态，管控风险，积极跟踪把握市场机会，努力为份额持有人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本基金本报告期内连续二十个工作日以上出现基金资产净值低于</w:t>
      </w:r>
      <w:r w:rsidRPr="002070B4">
        <w:rPr>
          <w:color w:val="000000"/>
          <w:sz w:val="24"/>
        </w:rPr>
        <w:t>5000</w:t>
      </w:r>
      <w:r w:rsidRPr="002070B4">
        <w:rPr>
          <w:color w:val="000000"/>
          <w:sz w:val="24"/>
        </w:rPr>
        <w:t>万元的情形，截至本报告期末，本基金基金资产净值仍低于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17,589,000.00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87.66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17,589,000.00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87.66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7.97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lastRenderedPageBreak/>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457,720.13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2.28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417,964.30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2.08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20,064,684.43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F13131" w:rsidRPr="00F13131" w:rsidRDefault="00F13131"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F13131">
      <w:pPr>
        <w:autoSpaceDE w:val="0"/>
        <w:autoSpaceDN w:val="0"/>
        <w:adjustRightInd w:val="0"/>
        <w:spacing w:before="29" w:line="288" w:lineRule="auto"/>
        <w:jc w:val="left"/>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17,589,000.00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89.78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17,589,000.00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89.78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17,589,000.00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89.78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lastRenderedPageBreak/>
              <w:t>例</w:t>
            </w:r>
            <w:r w:rsidRPr="007F52FA">
              <w:rPr>
                <w:color w:val="000000"/>
                <w:kern w:val="0"/>
                <w:sz w:val="24"/>
              </w:rPr>
              <w:t>（％）</w:t>
            </w:r>
          </w:p>
        </w:tc>
      </w:tr>
      <w:tr w:rsidR="00CC45F2">
        <w:trPr>
          <w:jc w:val="center"/>
        </w:trPr>
        <w:tc>
          <w:tcPr>
            <w:tcW w:w="1075" w:type="dxa"/>
            <w:vAlign w:val="center"/>
          </w:tcPr>
          <w:p w:rsidR="00CC45F2" w:rsidRDefault="002E159F">
            <w:pPr>
              <w:jc w:val="center"/>
            </w:pPr>
            <w:r>
              <w:rPr>
                <w:color w:val="000000"/>
                <w:sz w:val="24"/>
              </w:rPr>
              <w:lastRenderedPageBreak/>
              <w:t>1</w:t>
            </w:r>
          </w:p>
        </w:tc>
        <w:tc>
          <w:tcPr>
            <w:tcW w:w="1533" w:type="dxa"/>
            <w:vAlign w:val="center"/>
          </w:tcPr>
          <w:p w:rsidR="00CC45F2" w:rsidRDefault="002E159F">
            <w:pPr>
              <w:jc w:val="center"/>
            </w:pPr>
            <w:r>
              <w:rPr>
                <w:color w:val="000000"/>
                <w:sz w:val="24"/>
              </w:rPr>
              <w:t>180201</w:t>
            </w:r>
          </w:p>
        </w:tc>
        <w:tc>
          <w:tcPr>
            <w:tcW w:w="1533" w:type="dxa"/>
            <w:vAlign w:val="center"/>
          </w:tcPr>
          <w:p w:rsidR="00CC45F2" w:rsidRDefault="002E159F">
            <w:pPr>
              <w:jc w:val="center"/>
            </w:pPr>
            <w:r>
              <w:rPr>
                <w:color w:val="000000"/>
                <w:sz w:val="24"/>
              </w:rPr>
              <w:t>18</w:t>
            </w:r>
            <w:r>
              <w:rPr>
                <w:color w:val="000000"/>
                <w:sz w:val="24"/>
              </w:rPr>
              <w:t>国开</w:t>
            </w:r>
            <w:r>
              <w:rPr>
                <w:color w:val="000000"/>
                <w:sz w:val="24"/>
              </w:rPr>
              <w:t>01</w:t>
            </w:r>
          </w:p>
        </w:tc>
        <w:tc>
          <w:tcPr>
            <w:tcW w:w="1394" w:type="dxa"/>
            <w:vAlign w:val="center"/>
          </w:tcPr>
          <w:p w:rsidR="00CC45F2" w:rsidRDefault="002E159F">
            <w:pPr>
              <w:jc w:val="right"/>
            </w:pPr>
            <w:r>
              <w:rPr>
                <w:color w:val="000000"/>
                <w:sz w:val="24"/>
              </w:rPr>
              <w:t>100,000</w:t>
            </w:r>
          </w:p>
        </w:tc>
        <w:tc>
          <w:tcPr>
            <w:tcW w:w="1944" w:type="dxa"/>
            <w:vAlign w:val="center"/>
          </w:tcPr>
          <w:p w:rsidR="00CC45F2" w:rsidRDefault="002E159F">
            <w:pPr>
              <w:jc w:val="right"/>
            </w:pPr>
            <w:r>
              <w:rPr>
                <w:color w:val="000000"/>
                <w:sz w:val="24"/>
              </w:rPr>
              <w:t>10,044,000.00</w:t>
            </w:r>
          </w:p>
        </w:tc>
        <w:tc>
          <w:tcPr>
            <w:tcW w:w="1389" w:type="dxa"/>
            <w:vAlign w:val="center"/>
          </w:tcPr>
          <w:p w:rsidR="00CC45F2" w:rsidRDefault="002E159F">
            <w:pPr>
              <w:jc w:val="right"/>
            </w:pPr>
            <w:r>
              <w:rPr>
                <w:color w:val="000000"/>
                <w:sz w:val="24"/>
              </w:rPr>
              <w:t>51.27</w:t>
            </w:r>
          </w:p>
        </w:tc>
      </w:tr>
      <w:tr w:rsidR="00CC45F2">
        <w:trPr>
          <w:jc w:val="center"/>
        </w:trPr>
        <w:tc>
          <w:tcPr>
            <w:tcW w:w="1075" w:type="dxa"/>
            <w:vAlign w:val="center"/>
          </w:tcPr>
          <w:p w:rsidR="00CC45F2" w:rsidRDefault="002E159F">
            <w:pPr>
              <w:jc w:val="center"/>
            </w:pPr>
            <w:r>
              <w:rPr>
                <w:color w:val="000000"/>
                <w:sz w:val="24"/>
              </w:rPr>
              <w:t>2</w:t>
            </w:r>
          </w:p>
        </w:tc>
        <w:tc>
          <w:tcPr>
            <w:tcW w:w="1533" w:type="dxa"/>
            <w:vAlign w:val="center"/>
          </w:tcPr>
          <w:p w:rsidR="00CC45F2" w:rsidRDefault="002E159F">
            <w:pPr>
              <w:jc w:val="center"/>
            </w:pPr>
            <w:r>
              <w:rPr>
                <w:color w:val="000000"/>
                <w:sz w:val="24"/>
              </w:rPr>
              <w:t>018005</w:t>
            </w:r>
          </w:p>
        </w:tc>
        <w:tc>
          <w:tcPr>
            <w:tcW w:w="1533" w:type="dxa"/>
            <w:vAlign w:val="center"/>
          </w:tcPr>
          <w:p w:rsidR="00CC45F2" w:rsidRDefault="002E159F">
            <w:pPr>
              <w:jc w:val="center"/>
            </w:pPr>
            <w:r>
              <w:rPr>
                <w:color w:val="000000"/>
                <w:sz w:val="24"/>
              </w:rPr>
              <w:t>国开</w:t>
            </w:r>
            <w:r>
              <w:rPr>
                <w:color w:val="000000"/>
                <w:sz w:val="24"/>
              </w:rPr>
              <w:t>1701</w:t>
            </w:r>
          </w:p>
        </w:tc>
        <w:tc>
          <w:tcPr>
            <w:tcW w:w="1394" w:type="dxa"/>
            <w:vAlign w:val="center"/>
          </w:tcPr>
          <w:p w:rsidR="00CC45F2" w:rsidRDefault="002E159F">
            <w:pPr>
              <w:jc w:val="right"/>
            </w:pPr>
            <w:r>
              <w:rPr>
                <w:color w:val="000000"/>
                <w:sz w:val="24"/>
              </w:rPr>
              <w:t>75,000</w:t>
            </w:r>
          </w:p>
        </w:tc>
        <w:tc>
          <w:tcPr>
            <w:tcW w:w="1944" w:type="dxa"/>
            <w:vAlign w:val="center"/>
          </w:tcPr>
          <w:p w:rsidR="00CC45F2" w:rsidRDefault="002E159F">
            <w:pPr>
              <w:jc w:val="right"/>
            </w:pPr>
            <w:r>
              <w:rPr>
                <w:color w:val="000000"/>
                <w:sz w:val="24"/>
              </w:rPr>
              <w:t>7,545,000.00</w:t>
            </w:r>
          </w:p>
        </w:tc>
        <w:tc>
          <w:tcPr>
            <w:tcW w:w="1389" w:type="dxa"/>
            <w:vAlign w:val="center"/>
          </w:tcPr>
          <w:p w:rsidR="00CC45F2" w:rsidRDefault="002E159F">
            <w:pPr>
              <w:jc w:val="right"/>
            </w:pPr>
            <w:r>
              <w:rPr>
                <w:color w:val="000000"/>
                <w:sz w:val="24"/>
              </w:rPr>
              <w:t>38.51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376BF7">
      <w:pPr>
        <w:autoSpaceDE w:val="0"/>
        <w:autoSpaceDN w:val="0"/>
        <w:adjustRightInd w:val="0"/>
        <w:spacing w:before="29" w:line="288" w:lineRule="auto"/>
        <w:jc w:val="left"/>
        <w:rPr>
          <w:sz w:val="24"/>
        </w:rPr>
      </w:pPr>
      <w:bookmarkStart w:id="0" w:name="_GoBack"/>
      <w:bookmarkEnd w:id="0"/>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1,941.10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415,327.87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249.83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445.50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417,964.30</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F13131" w:rsidRDefault="00C51B4E" w:rsidP="000A2988">
      <w:pPr>
        <w:pStyle w:val="1"/>
        <w:spacing w:beforeLines="100" w:before="312" w:afterLines="100" w:after="312" w:line="360" w:lineRule="auto"/>
        <w:jc w:val="center"/>
        <w:rPr>
          <w:rFonts w:eastAsiaTheme="minorEastAsia"/>
          <w:color w:val="000000" w:themeColor="text1"/>
          <w:kern w:val="0"/>
          <w:sz w:val="24"/>
          <w:szCs w:val="24"/>
        </w:rPr>
      </w:pPr>
      <w:r w:rsidRPr="00F13131">
        <w:rPr>
          <w:rFonts w:eastAsiaTheme="minorEastAsia"/>
          <w:color w:val="000000" w:themeColor="text1"/>
          <w:kern w:val="0"/>
          <w:sz w:val="24"/>
          <w:szCs w:val="24"/>
        </w:rPr>
        <w:t>§6</w:t>
      </w:r>
      <w:r w:rsidRPr="00F13131">
        <w:rPr>
          <w:rFonts w:eastAsiaTheme="minorEastAsia" w:hint="eastAsia"/>
          <w:color w:val="000000" w:themeColor="text1"/>
          <w:kern w:val="0"/>
          <w:sz w:val="24"/>
          <w:szCs w:val="24"/>
        </w:rPr>
        <w:t xml:space="preserve">  </w:t>
      </w:r>
      <w:r w:rsidRPr="00F13131">
        <w:rPr>
          <w:rFonts w:eastAsiaTheme="minorEastAsia" w:hint="eastAsia"/>
          <w:color w:val="000000" w:themeColor="text1"/>
          <w:kern w:val="0"/>
          <w:sz w:val="24"/>
          <w:szCs w:val="24"/>
        </w:rPr>
        <w:t>基金中基金</w:t>
      </w:r>
    </w:p>
    <w:p w:rsidR="00C51B4E" w:rsidRPr="00F13131" w:rsidRDefault="00C51B4E" w:rsidP="00C51B4E">
      <w:pPr>
        <w:adjustRightInd w:val="0"/>
        <w:snapToGrid w:val="0"/>
        <w:spacing w:line="360" w:lineRule="auto"/>
        <w:rPr>
          <w:rFonts w:eastAsiaTheme="minorEastAsia"/>
          <w:b/>
          <w:color w:val="000000" w:themeColor="text1"/>
          <w:kern w:val="0"/>
          <w:sz w:val="24"/>
        </w:rPr>
      </w:pPr>
      <w:r w:rsidRPr="00F13131">
        <w:rPr>
          <w:rFonts w:eastAsiaTheme="minorEastAsia"/>
          <w:b/>
          <w:color w:val="000000" w:themeColor="text1"/>
          <w:kern w:val="0"/>
          <w:sz w:val="24"/>
        </w:rPr>
        <w:t>6.1</w:t>
      </w:r>
      <w:r w:rsidRPr="00F13131">
        <w:rPr>
          <w:rFonts w:eastAsiaTheme="minorEastAsia" w:hint="eastAsia"/>
          <w:b/>
          <w:color w:val="000000" w:themeColor="text1"/>
          <w:kern w:val="0"/>
          <w:sz w:val="24"/>
        </w:rPr>
        <w:t xml:space="preserve"> </w:t>
      </w:r>
      <w:r w:rsidRPr="00F13131">
        <w:rPr>
          <w:rFonts w:eastAsiaTheme="minorEastAsia" w:hint="eastAsia"/>
          <w:b/>
          <w:color w:val="000000" w:themeColor="text1"/>
          <w:kern w:val="0"/>
          <w:sz w:val="24"/>
        </w:rPr>
        <w:t>报告期末按公允价值占基金资产净值比例大小排序的前十名基金投资明细</w:t>
      </w:r>
    </w:p>
    <w:p w:rsidR="00C51B4E" w:rsidRPr="00F13131"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F13131">
        <w:rPr>
          <w:rFonts w:eastAsiaTheme="minorEastAsia"/>
          <w:color w:val="000000" w:themeColor="text1"/>
          <w:sz w:val="24"/>
        </w:rPr>
        <w:t>本基金本报告期末未持有基金。</w:t>
      </w:r>
    </w:p>
    <w:p w:rsidR="00C51B4E" w:rsidRPr="00F13131" w:rsidRDefault="00C51B4E" w:rsidP="000A2988">
      <w:pPr>
        <w:adjustRightInd w:val="0"/>
        <w:snapToGrid w:val="0"/>
        <w:spacing w:beforeLines="50" w:before="156" w:line="360" w:lineRule="auto"/>
        <w:rPr>
          <w:rFonts w:eastAsiaTheme="minorEastAsia"/>
          <w:b/>
          <w:color w:val="000000" w:themeColor="text1"/>
          <w:kern w:val="0"/>
          <w:sz w:val="24"/>
        </w:rPr>
      </w:pPr>
      <w:r w:rsidRPr="00F13131">
        <w:rPr>
          <w:rFonts w:eastAsiaTheme="minorEastAsia"/>
          <w:b/>
          <w:color w:val="000000" w:themeColor="text1"/>
          <w:kern w:val="0"/>
          <w:sz w:val="24"/>
        </w:rPr>
        <w:t>6.2</w:t>
      </w:r>
      <w:r w:rsidRPr="00F13131">
        <w:rPr>
          <w:rFonts w:eastAsiaTheme="minorEastAsia" w:hint="eastAsia"/>
          <w:b/>
          <w:color w:val="000000" w:themeColor="text1"/>
          <w:kern w:val="0"/>
          <w:sz w:val="24"/>
        </w:rPr>
        <w:t xml:space="preserve"> </w:t>
      </w:r>
      <w:r w:rsidRPr="00F13131">
        <w:rPr>
          <w:rFonts w:eastAsiaTheme="minorEastAsia" w:hint="eastAsia"/>
          <w:b/>
          <w:color w:val="000000" w:themeColor="text1"/>
          <w:kern w:val="0"/>
          <w:sz w:val="24"/>
        </w:rPr>
        <w:t>当期交易及持有基金产生的费用</w:t>
      </w:r>
    </w:p>
    <w:p w:rsidR="00C51B4E" w:rsidRPr="00F13131"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F13131">
        <w:rPr>
          <w:rFonts w:eastAsiaTheme="minorEastAsia"/>
          <w:color w:val="000000" w:themeColor="text1"/>
          <w:sz w:val="24"/>
        </w:rPr>
        <w:t>本基金本报告期内未交易或持有基金。</w:t>
      </w:r>
    </w:p>
    <w:p w:rsidR="00C51B4E" w:rsidRPr="00F13131" w:rsidRDefault="00C51B4E" w:rsidP="000A2988">
      <w:pPr>
        <w:adjustRightInd w:val="0"/>
        <w:snapToGrid w:val="0"/>
        <w:spacing w:beforeLines="50" w:before="156" w:line="360" w:lineRule="auto"/>
        <w:rPr>
          <w:rFonts w:eastAsiaTheme="minorEastAsia"/>
          <w:b/>
          <w:color w:val="000000" w:themeColor="text1"/>
          <w:kern w:val="0"/>
          <w:sz w:val="24"/>
        </w:rPr>
      </w:pPr>
      <w:r w:rsidRPr="00F13131">
        <w:rPr>
          <w:rFonts w:eastAsiaTheme="minorEastAsia"/>
          <w:b/>
          <w:color w:val="000000" w:themeColor="text1"/>
          <w:kern w:val="0"/>
          <w:sz w:val="24"/>
        </w:rPr>
        <w:t>6.3</w:t>
      </w:r>
      <w:r w:rsidRPr="00F13131">
        <w:rPr>
          <w:rFonts w:eastAsiaTheme="minorEastAsia" w:hint="eastAsia"/>
          <w:b/>
          <w:color w:val="000000" w:themeColor="text1"/>
          <w:kern w:val="0"/>
          <w:sz w:val="24"/>
        </w:rPr>
        <w:t xml:space="preserve"> </w:t>
      </w:r>
      <w:r w:rsidRPr="00F13131">
        <w:rPr>
          <w:rFonts w:eastAsiaTheme="minorEastAsia" w:hint="eastAsia"/>
          <w:b/>
          <w:color w:val="000000" w:themeColor="text1"/>
          <w:kern w:val="0"/>
          <w:sz w:val="24"/>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4,908,494,615.39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762,830.38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2,782,124.94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1,362,108.88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4,893,324,616.07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1,098,709.85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17,952,124.26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1,026,229.41</w:t>
            </w:r>
          </w:p>
        </w:tc>
      </w:tr>
    </w:tbl>
    <w:p w:rsidR="00CC45F2" w:rsidRDefault="002E159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407B0E" w:rsidRDefault="00ED0E09" w:rsidP="000A2988">
      <w:pPr>
        <w:pStyle w:val="1"/>
        <w:spacing w:beforeLines="100" w:before="312" w:afterLines="100" w:after="312" w:line="360" w:lineRule="auto"/>
        <w:jc w:val="center"/>
        <w:rPr>
          <w:rFonts w:eastAsiaTheme="minorEastAsia"/>
          <w:color w:val="000000" w:themeColor="text1"/>
          <w:kern w:val="0"/>
          <w:sz w:val="24"/>
          <w:szCs w:val="24"/>
        </w:rPr>
      </w:pPr>
      <w:r w:rsidRPr="00407B0E">
        <w:rPr>
          <w:rFonts w:eastAsiaTheme="minorEastAsia"/>
          <w:color w:val="000000" w:themeColor="text1"/>
          <w:kern w:val="0"/>
          <w:sz w:val="24"/>
          <w:szCs w:val="24"/>
        </w:rPr>
        <w:t xml:space="preserve">§9 </w:t>
      </w:r>
      <w:r w:rsidR="00F139D5" w:rsidRPr="00407B0E">
        <w:rPr>
          <w:rFonts w:eastAsiaTheme="minorEastAsia"/>
          <w:color w:val="000000" w:themeColor="text1"/>
          <w:kern w:val="0"/>
          <w:sz w:val="24"/>
          <w:szCs w:val="24"/>
        </w:rPr>
        <w:t xml:space="preserve"> </w:t>
      </w:r>
      <w:r w:rsidRPr="00407B0E">
        <w:rPr>
          <w:rFonts w:eastAsiaTheme="minorEastAsia" w:hint="eastAsia"/>
          <w:color w:val="000000" w:themeColor="text1"/>
          <w:kern w:val="0"/>
          <w:sz w:val="24"/>
          <w:szCs w:val="24"/>
        </w:rPr>
        <w:t>影响投资者决策的其他重要信息</w:t>
      </w:r>
    </w:p>
    <w:p w:rsidR="00ED0E09" w:rsidRPr="00407B0E" w:rsidRDefault="00ED0E09" w:rsidP="00ED0E09">
      <w:pPr>
        <w:autoSpaceDE w:val="0"/>
        <w:autoSpaceDN w:val="0"/>
        <w:adjustRightInd w:val="0"/>
        <w:spacing w:line="360" w:lineRule="auto"/>
        <w:jc w:val="left"/>
        <w:rPr>
          <w:b/>
          <w:sz w:val="24"/>
        </w:rPr>
      </w:pPr>
      <w:r w:rsidRPr="00407B0E">
        <w:rPr>
          <w:rFonts w:hint="eastAsia"/>
          <w:b/>
          <w:sz w:val="24"/>
        </w:rPr>
        <w:t xml:space="preserve">9.1 </w:t>
      </w:r>
      <w:r w:rsidRPr="00407B0E">
        <w:rPr>
          <w:rFonts w:hint="eastAsia"/>
          <w:b/>
          <w:sz w:val="24"/>
        </w:rPr>
        <w:t>报告期内单一投资者持有基金份额比例达到或超过</w:t>
      </w:r>
      <w:r w:rsidRPr="00407B0E">
        <w:rPr>
          <w:rFonts w:hint="eastAsia"/>
          <w:b/>
          <w:sz w:val="24"/>
        </w:rPr>
        <w:t>20%</w:t>
      </w:r>
      <w:r w:rsidRPr="00407B0E">
        <w:rPr>
          <w:rFonts w:hint="eastAsia"/>
          <w:b/>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407B0E"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407B0E" w:rsidRDefault="00ED0E09">
            <w:pPr>
              <w:autoSpaceDE w:val="0"/>
              <w:autoSpaceDN w:val="0"/>
              <w:adjustRightInd w:val="0"/>
              <w:jc w:val="center"/>
              <w:rPr>
                <w:rFonts w:ascii="宋体" w:hAnsi="宋体"/>
                <w:b/>
                <w:bCs/>
                <w:color w:val="000000"/>
                <w:kern w:val="0"/>
                <w:sz w:val="24"/>
              </w:rPr>
            </w:pPr>
            <w:r w:rsidRPr="00407B0E">
              <w:rPr>
                <w:rFonts w:ascii="宋体" w:hAnsi="宋体" w:hint="eastAsia"/>
                <w:color w:val="000000"/>
                <w:kern w:val="0"/>
                <w:sz w:val="24"/>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407B0E" w:rsidRDefault="00ED0E09">
            <w:pPr>
              <w:autoSpaceDE w:val="0"/>
              <w:autoSpaceDN w:val="0"/>
              <w:adjustRightInd w:val="0"/>
              <w:jc w:val="center"/>
              <w:rPr>
                <w:rFonts w:ascii="宋体" w:hAnsi="宋体"/>
                <w:b/>
                <w:bCs/>
                <w:color w:val="000000"/>
                <w:kern w:val="0"/>
                <w:sz w:val="24"/>
              </w:rPr>
            </w:pPr>
            <w:r w:rsidRPr="00407B0E">
              <w:rPr>
                <w:rFonts w:ascii="宋体" w:hAnsi="宋体"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407B0E" w:rsidRDefault="00ED0E09">
            <w:pPr>
              <w:autoSpaceDE w:val="0"/>
              <w:autoSpaceDN w:val="0"/>
              <w:adjustRightInd w:val="0"/>
              <w:jc w:val="center"/>
              <w:rPr>
                <w:rFonts w:ascii="宋体" w:hAnsi="宋体"/>
                <w:b/>
                <w:bCs/>
                <w:color w:val="000000"/>
                <w:kern w:val="0"/>
                <w:sz w:val="24"/>
              </w:rPr>
            </w:pPr>
            <w:r w:rsidRPr="00407B0E">
              <w:rPr>
                <w:rFonts w:ascii="宋体" w:hAnsi="宋体" w:hint="eastAsia"/>
                <w:color w:val="000000"/>
                <w:kern w:val="0"/>
                <w:sz w:val="24"/>
              </w:rPr>
              <w:t>报告期末持有基金情况</w:t>
            </w:r>
          </w:p>
        </w:tc>
      </w:tr>
      <w:tr w:rsidR="00ED0E09" w:rsidRPr="00407B0E"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407B0E" w:rsidRDefault="00ED0E09">
            <w:pPr>
              <w:widowControl/>
              <w:jc w:val="left"/>
              <w:rPr>
                <w:rFonts w:ascii="宋体" w:hAnsi="宋体"/>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407B0E" w:rsidRDefault="00ED0E09">
            <w:pPr>
              <w:autoSpaceDE w:val="0"/>
              <w:autoSpaceDN w:val="0"/>
              <w:adjustRightInd w:val="0"/>
              <w:jc w:val="center"/>
              <w:rPr>
                <w:rFonts w:ascii="宋体" w:hAnsi="宋体"/>
                <w:b/>
                <w:bCs/>
                <w:color w:val="000000"/>
                <w:kern w:val="0"/>
                <w:sz w:val="24"/>
              </w:rPr>
            </w:pPr>
            <w:r w:rsidRPr="00407B0E">
              <w:rPr>
                <w:rFonts w:ascii="宋体" w:hAnsi="宋体"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407B0E" w:rsidRDefault="00ED0E09">
            <w:pPr>
              <w:autoSpaceDE w:val="0"/>
              <w:autoSpaceDN w:val="0"/>
              <w:adjustRightInd w:val="0"/>
              <w:jc w:val="center"/>
              <w:rPr>
                <w:rFonts w:ascii="宋体" w:hAnsi="宋体"/>
                <w:b/>
                <w:bCs/>
                <w:color w:val="000000"/>
                <w:kern w:val="0"/>
                <w:sz w:val="24"/>
              </w:rPr>
            </w:pPr>
            <w:r w:rsidRPr="00407B0E">
              <w:rPr>
                <w:rFonts w:ascii="宋体" w:hAnsi="宋体" w:hint="eastAsia"/>
                <w:color w:val="000000"/>
                <w:kern w:val="0"/>
                <w:sz w:val="24"/>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407B0E" w:rsidRDefault="00ED0E09">
            <w:pPr>
              <w:widowControl/>
              <w:jc w:val="center"/>
              <w:rPr>
                <w:rFonts w:ascii="宋体" w:hAnsi="宋体"/>
                <w:b/>
                <w:bCs/>
                <w:color w:val="000000"/>
                <w:kern w:val="0"/>
                <w:sz w:val="24"/>
              </w:rPr>
            </w:pPr>
            <w:r w:rsidRPr="00407B0E">
              <w:rPr>
                <w:rFonts w:ascii="宋体" w:hAnsi="宋体" w:hint="eastAsia"/>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407B0E" w:rsidRDefault="00ED0E09">
            <w:pPr>
              <w:widowControl/>
              <w:jc w:val="center"/>
              <w:rPr>
                <w:rFonts w:ascii="宋体" w:hAnsi="宋体"/>
                <w:b/>
                <w:bCs/>
                <w:color w:val="000000"/>
                <w:kern w:val="0"/>
                <w:sz w:val="24"/>
              </w:rPr>
            </w:pPr>
            <w:r w:rsidRPr="00407B0E">
              <w:rPr>
                <w:rFonts w:ascii="宋体" w:hAnsi="宋体" w:hint="eastAsia"/>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407B0E" w:rsidRDefault="00ED0E09">
            <w:pPr>
              <w:widowControl/>
              <w:jc w:val="center"/>
              <w:rPr>
                <w:rFonts w:ascii="宋体" w:hAnsi="宋体"/>
                <w:b/>
                <w:bCs/>
                <w:color w:val="000000"/>
                <w:kern w:val="0"/>
                <w:sz w:val="24"/>
              </w:rPr>
            </w:pPr>
            <w:r w:rsidRPr="00407B0E">
              <w:rPr>
                <w:rFonts w:ascii="宋体" w:hAnsi="宋体" w:hint="eastAsia"/>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407B0E" w:rsidRDefault="00ED0E09">
            <w:pPr>
              <w:autoSpaceDE w:val="0"/>
              <w:autoSpaceDN w:val="0"/>
              <w:adjustRightInd w:val="0"/>
              <w:jc w:val="center"/>
              <w:rPr>
                <w:rFonts w:ascii="宋体" w:hAnsi="宋体"/>
                <w:b/>
                <w:bCs/>
                <w:color w:val="000000"/>
                <w:kern w:val="0"/>
                <w:sz w:val="24"/>
              </w:rPr>
            </w:pPr>
            <w:r w:rsidRPr="00407B0E">
              <w:rPr>
                <w:rFonts w:ascii="宋体" w:hAnsi="宋体" w:hint="eastAsia"/>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407B0E" w:rsidRDefault="00ED0E09">
            <w:pPr>
              <w:autoSpaceDE w:val="0"/>
              <w:autoSpaceDN w:val="0"/>
              <w:adjustRightInd w:val="0"/>
              <w:jc w:val="center"/>
              <w:rPr>
                <w:rFonts w:ascii="宋体" w:hAnsi="宋体"/>
                <w:b/>
                <w:bCs/>
                <w:color w:val="000000"/>
                <w:kern w:val="0"/>
                <w:sz w:val="24"/>
              </w:rPr>
            </w:pPr>
            <w:r w:rsidRPr="00407B0E">
              <w:rPr>
                <w:rFonts w:ascii="宋体" w:hAnsi="宋体" w:hint="eastAsia"/>
                <w:color w:val="000000"/>
                <w:kern w:val="0"/>
                <w:sz w:val="24"/>
              </w:rPr>
              <w:t>份额占比</w:t>
            </w:r>
          </w:p>
        </w:tc>
      </w:tr>
      <w:tr w:rsidR="00CC45F2" w:rsidRPr="00407B0E">
        <w:tc>
          <w:tcPr>
            <w:tcW w:w="992" w:type="dxa"/>
            <w:vMerge w:val="restart"/>
          </w:tcPr>
          <w:p w:rsidR="00CC45F2" w:rsidRPr="00407B0E" w:rsidRDefault="00CC45F2">
            <w:pPr>
              <w:rPr>
                <w:sz w:val="24"/>
              </w:rPr>
            </w:pPr>
          </w:p>
          <w:p w:rsidR="00CC45F2" w:rsidRPr="00407B0E" w:rsidRDefault="002E159F">
            <w:pPr>
              <w:rPr>
                <w:sz w:val="24"/>
              </w:rPr>
            </w:pPr>
            <w:r w:rsidRPr="00407B0E">
              <w:rPr>
                <w:rFonts w:ascii="宋体" w:hAnsi="宋体" w:hint="eastAsia"/>
                <w:bCs/>
                <w:color w:val="000000"/>
                <w:kern w:val="0"/>
                <w:sz w:val="24"/>
              </w:rPr>
              <w:t>机构</w:t>
            </w:r>
          </w:p>
        </w:tc>
        <w:tc>
          <w:tcPr>
            <w:tcW w:w="991" w:type="dxa"/>
            <w:vAlign w:val="center"/>
          </w:tcPr>
          <w:p w:rsidR="00CC45F2" w:rsidRPr="00407B0E" w:rsidRDefault="002E159F">
            <w:pPr>
              <w:jc w:val="center"/>
              <w:rPr>
                <w:sz w:val="24"/>
              </w:rPr>
            </w:pPr>
            <w:r w:rsidRPr="00407B0E">
              <w:rPr>
                <w:rFonts w:ascii="宋体" w:hAnsi="宋体" w:hint="eastAsia"/>
                <w:color w:val="000000"/>
                <w:kern w:val="0"/>
                <w:sz w:val="24"/>
              </w:rPr>
              <w:t>1</w:t>
            </w:r>
          </w:p>
        </w:tc>
        <w:tc>
          <w:tcPr>
            <w:tcW w:w="1843" w:type="dxa"/>
            <w:vAlign w:val="center"/>
          </w:tcPr>
          <w:p w:rsidR="00CC45F2" w:rsidRPr="00407B0E" w:rsidRDefault="002E159F">
            <w:pPr>
              <w:jc w:val="center"/>
              <w:rPr>
                <w:sz w:val="24"/>
              </w:rPr>
            </w:pPr>
            <w:r w:rsidRPr="00407B0E">
              <w:rPr>
                <w:rFonts w:ascii="宋体" w:hAnsi="宋体" w:hint="eastAsia"/>
                <w:color w:val="000000"/>
                <w:kern w:val="0"/>
                <w:sz w:val="24"/>
              </w:rPr>
              <w:t>2018/7/1-2018/9/30</w:t>
            </w:r>
          </w:p>
        </w:tc>
        <w:tc>
          <w:tcPr>
            <w:tcW w:w="851" w:type="dxa"/>
            <w:vAlign w:val="center"/>
          </w:tcPr>
          <w:p w:rsidR="00CC45F2" w:rsidRPr="00407B0E" w:rsidRDefault="002E159F">
            <w:pPr>
              <w:jc w:val="center"/>
              <w:rPr>
                <w:sz w:val="24"/>
              </w:rPr>
            </w:pPr>
            <w:r w:rsidRPr="00407B0E">
              <w:rPr>
                <w:rFonts w:ascii="宋体" w:hAnsi="宋体" w:hint="eastAsia"/>
                <w:color w:val="000000"/>
                <w:kern w:val="0"/>
                <w:sz w:val="24"/>
              </w:rPr>
              <w:t>4,892,366,927.59</w:t>
            </w:r>
          </w:p>
        </w:tc>
        <w:tc>
          <w:tcPr>
            <w:tcW w:w="850" w:type="dxa"/>
            <w:vAlign w:val="center"/>
          </w:tcPr>
          <w:p w:rsidR="00CC45F2" w:rsidRPr="00407B0E" w:rsidRDefault="002E159F">
            <w:pPr>
              <w:jc w:val="center"/>
              <w:rPr>
                <w:sz w:val="24"/>
              </w:rPr>
            </w:pPr>
            <w:r w:rsidRPr="00407B0E">
              <w:rPr>
                <w:rFonts w:ascii="宋体" w:hAnsi="宋体" w:hint="eastAsia"/>
                <w:color w:val="000000"/>
                <w:kern w:val="0"/>
                <w:sz w:val="24"/>
              </w:rPr>
              <w:t>-</w:t>
            </w:r>
          </w:p>
        </w:tc>
        <w:tc>
          <w:tcPr>
            <w:tcW w:w="1134" w:type="dxa"/>
            <w:vAlign w:val="center"/>
          </w:tcPr>
          <w:p w:rsidR="00CC45F2" w:rsidRPr="00407B0E" w:rsidRDefault="002E159F">
            <w:pPr>
              <w:jc w:val="center"/>
              <w:rPr>
                <w:sz w:val="24"/>
              </w:rPr>
            </w:pPr>
            <w:r w:rsidRPr="00407B0E">
              <w:rPr>
                <w:rFonts w:ascii="宋体" w:hAnsi="宋体" w:hint="eastAsia"/>
                <w:color w:val="000000"/>
                <w:kern w:val="0"/>
                <w:sz w:val="24"/>
              </w:rPr>
              <w:t>4,892,366,927.59</w:t>
            </w:r>
          </w:p>
        </w:tc>
        <w:tc>
          <w:tcPr>
            <w:tcW w:w="1419" w:type="dxa"/>
            <w:vAlign w:val="center"/>
          </w:tcPr>
          <w:p w:rsidR="00CC45F2" w:rsidRPr="00407B0E" w:rsidRDefault="002E159F">
            <w:pPr>
              <w:jc w:val="center"/>
              <w:rPr>
                <w:sz w:val="24"/>
              </w:rPr>
            </w:pPr>
            <w:r w:rsidRPr="00407B0E">
              <w:rPr>
                <w:rFonts w:ascii="宋体" w:hAnsi="宋体" w:hint="eastAsia"/>
                <w:color w:val="000000"/>
                <w:kern w:val="0"/>
                <w:sz w:val="24"/>
              </w:rPr>
              <w:t>-</w:t>
            </w:r>
          </w:p>
        </w:tc>
        <w:tc>
          <w:tcPr>
            <w:tcW w:w="1130" w:type="dxa"/>
            <w:vAlign w:val="center"/>
          </w:tcPr>
          <w:p w:rsidR="00CC45F2" w:rsidRPr="00407B0E" w:rsidRDefault="002E159F">
            <w:pPr>
              <w:jc w:val="center"/>
              <w:rPr>
                <w:sz w:val="24"/>
              </w:rPr>
            </w:pPr>
            <w:r w:rsidRPr="00407B0E">
              <w:rPr>
                <w:rFonts w:ascii="宋体" w:hAnsi="宋体" w:hint="eastAsia"/>
                <w:color w:val="000000"/>
                <w:kern w:val="0"/>
                <w:sz w:val="24"/>
              </w:rPr>
              <w:t>-</w:t>
            </w:r>
          </w:p>
        </w:tc>
      </w:tr>
      <w:tr w:rsidR="00ED0E09" w:rsidRPr="00407B0E"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407B0E" w:rsidRDefault="00ED0E09">
            <w:pPr>
              <w:autoSpaceDE w:val="0"/>
              <w:autoSpaceDN w:val="0"/>
              <w:adjustRightInd w:val="0"/>
              <w:jc w:val="center"/>
              <w:rPr>
                <w:rFonts w:ascii="宋体" w:hAnsi="宋体"/>
                <w:kern w:val="0"/>
                <w:sz w:val="24"/>
              </w:rPr>
            </w:pPr>
            <w:r w:rsidRPr="00407B0E">
              <w:rPr>
                <w:rFonts w:ascii="宋体" w:hAnsi="宋体" w:hint="eastAsia"/>
                <w:color w:val="000000"/>
                <w:kern w:val="0"/>
                <w:sz w:val="24"/>
              </w:rPr>
              <w:t>产品特有风险</w:t>
            </w:r>
          </w:p>
        </w:tc>
      </w:tr>
      <w:tr w:rsidR="00ED0E09" w:rsidRPr="00407B0E"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407B0E" w:rsidRDefault="00ED0E09">
            <w:pPr>
              <w:autoSpaceDE w:val="0"/>
              <w:autoSpaceDN w:val="0"/>
              <w:adjustRightInd w:val="0"/>
              <w:jc w:val="left"/>
              <w:rPr>
                <w:rFonts w:ascii="宋体" w:hAnsi="宋体"/>
                <w:kern w:val="0"/>
                <w:sz w:val="24"/>
              </w:rPr>
            </w:pPr>
            <w:r w:rsidRPr="00407B0E">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C4F85" w:rsidRPr="00407B0E" w:rsidRDefault="005C4F85" w:rsidP="00ED0E09">
      <w:pPr>
        <w:autoSpaceDE w:val="0"/>
        <w:autoSpaceDN w:val="0"/>
        <w:adjustRightInd w:val="0"/>
        <w:spacing w:line="360" w:lineRule="auto"/>
        <w:jc w:val="left"/>
        <w:rPr>
          <w:rFonts w:ascii="宋体" w:hAnsi="宋体"/>
          <w:b/>
          <w:bCs/>
          <w:color w:val="000000"/>
          <w:kern w:val="0"/>
          <w:sz w:val="24"/>
        </w:rPr>
      </w:pPr>
    </w:p>
    <w:p w:rsidR="00ED0E09" w:rsidRPr="00407B0E" w:rsidRDefault="00ED0E09" w:rsidP="00407B0E">
      <w:pPr>
        <w:autoSpaceDE w:val="0"/>
        <w:autoSpaceDN w:val="0"/>
        <w:adjustRightInd w:val="0"/>
        <w:spacing w:line="360" w:lineRule="auto"/>
        <w:jc w:val="left"/>
        <w:rPr>
          <w:b/>
          <w:sz w:val="24"/>
        </w:rPr>
      </w:pPr>
      <w:r w:rsidRPr="00407B0E">
        <w:rPr>
          <w:rFonts w:hint="eastAsia"/>
          <w:b/>
          <w:sz w:val="24"/>
        </w:rPr>
        <w:t xml:space="preserve">9.2 </w:t>
      </w:r>
      <w:r w:rsidRPr="00407B0E">
        <w:rPr>
          <w:rFonts w:hint="eastAsia"/>
          <w:b/>
          <w:sz w:val="24"/>
        </w:rPr>
        <w:t>影响投资者决策的其他重要信息</w:t>
      </w:r>
    </w:p>
    <w:p w:rsidR="00ED0E09" w:rsidRPr="00407B0E" w:rsidRDefault="00ED0E09" w:rsidP="00407B0E">
      <w:pPr>
        <w:spacing w:before="29" w:line="288" w:lineRule="auto"/>
        <w:ind w:firstLineChars="200" w:firstLine="480"/>
        <w:rPr>
          <w:rFonts w:eastAsiaTheme="minorEastAsia"/>
          <w:color w:val="000000"/>
          <w:sz w:val="24"/>
        </w:rPr>
      </w:pPr>
      <w:r w:rsidRPr="00407B0E">
        <w:rPr>
          <w:rFonts w:eastAsiaTheme="minorEastAsia" w:hint="eastAsia"/>
          <w:color w:val="000000"/>
          <w:sz w:val="24"/>
        </w:rPr>
        <w:t>为更好地维护基金份额持有人的利益，提高本基金基金份额净值的精确度，本基金管理人经与基金托管人中信银行股份有限公司协商一致，并报中国证券监督管理委员会备案，自</w:t>
      </w:r>
      <w:r w:rsidRPr="00407B0E">
        <w:rPr>
          <w:rFonts w:eastAsiaTheme="minorEastAsia" w:hint="eastAsia"/>
          <w:color w:val="000000"/>
          <w:sz w:val="24"/>
        </w:rPr>
        <w:t>2018</w:t>
      </w:r>
      <w:r w:rsidRPr="00407B0E">
        <w:rPr>
          <w:rFonts w:eastAsiaTheme="minorEastAsia" w:hint="eastAsia"/>
          <w:color w:val="000000"/>
          <w:sz w:val="24"/>
        </w:rPr>
        <w:t>年</w:t>
      </w:r>
      <w:r w:rsidRPr="00407B0E">
        <w:rPr>
          <w:rFonts w:eastAsiaTheme="minorEastAsia" w:hint="eastAsia"/>
          <w:color w:val="000000"/>
          <w:sz w:val="24"/>
        </w:rPr>
        <w:t>7</w:t>
      </w:r>
      <w:r w:rsidRPr="00407B0E">
        <w:rPr>
          <w:rFonts w:eastAsiaTheme="minorEastAsia" w:hint="eastAsia"/>
          <w:color w:val="000000"/>
          <w:sz w:val="24"/>
        </w:rPr>
        <w:t>月</w:t>
      </w:r>
      <w:r w:rsidRPr="00407B0E">
        <w:rPr>
          <w:rFonts w:eastAsiaTheme="minorEastAsia" w:hint="eastAsia"/>
          <w:color w:val="000000"/>
          <w:sz w:val="24"/>
        </w:rPr>
        <w:t>19</w:t>
      </w:r>
      <w:r w:rsidRPr="00407B0E">
        <w:rPr>
          <w:rFonts w:eastAsiaTheme="minorEastAsia" w:hint="eastAsia"/>
          <w:color w:val="000000"/>
          <w:sz w:val="24"/>
        </w:rPr>
        <w:t>日起调整本基金的基金份额净值计算小数点后保留位数，由保留到小数点后</w:t>
      </w:r>
      <w:r w:rsidRPr="00407B0E">
        <w:rPr>
          <w:rFonts w:eastAsiaTheme="minorEastAsia" w:hint="eastAsia"/>
          <w:color w:val="000000"/>
          <w:sz w:val="24"/>
        </w:rPr>
        <w:t>3</w:t>
      </w:r>
      <w:r w:rsidRPr="00407B0E">
        <w:rPr>
          <w:rFonts w:eastAsiaTheme="minorEastAsia" w:hint="eastAsia"/>
          <w:color w:val="000000"/>
          <w:sz w:val="24"/>
        </w:rPr>
        <w:t>位调整为小数点后</w:t>
      </w:r>
      <w:r w:rsidRPr="00407B0E">
        <w:rPr>
          <w:rFonts w:eastAsiaTheme="minorEastAsia" w:hint="eastAsia"/>
          <w:color w:val="000000"/>
          <w:sz w:val="24"/>
        </w:rPr>
        <w:t>4</w:t>
      </w:r>
      <w:r w:rsidRPr="00407B0E">
        <w:rPr>
          <w:rFonts w:eastAsiaTheme="minorEastAsia" w:hint="eastAsia"/>
          <w:color w:val="000000"/>
          <w:sz w:val="24"/>
        </w:rPr>
        <w:t>位，小数点后第</w:t>
      </w:r>
      <w:r w:rsidRPr="00407B0E">
        <w:rPr>
          <w:rFonts w:eastAsiaTheme="minorEastAsia" w:hint="eastAsia"/>
          <w:color w:val="000000"/>
          <w:sz w:val="24"/>
        </w:rPr>
        <w:t>5</w:t>
      </w:r>
      <w:r w:rsidRPr="00407B0E">
        <w:rPr>
          <w:rFonts w:eastAsiaTheme="minorEastAsia" w:hint="eastAsia"/>
          <w:color w:val="000000"/>
          <w:sz w:val="24"/>
        </w:rPr>
        <w:t>位四舍五入，并对本基金的基金合同、托管协议作相应修改。详情请查阅本基金管理人于</w:t>
      </w:r>
      <w:r w:rsidRPr="00407B0E">
        <w:rPr>
          <w:rFonts w:eastAsiaTheme="minorEastAsia" w:hint="eastAsia"/>
          <w:color w:val="000000"/>
          <w:sz w:val="24"/>
        </w:rPr>
        <w:t>2018</w:t>
      </w:r>
      <w:r w:rsidRPr="00407B0E">
        <w:rPr>
          <w:rFonts w:eastAsiaTheme="minorEastAsia" w:hint="eastAsia"/>
          <w:color w:val="000000"/>
          <w:sz w:val="24"/>
        </w:rPr>
        <w:t>年</w:t>
      </w:r>
      <w:r w:rsidRPr="00407B0E">
        <w:rPr>
          <w:rFonts w:eastAsiaTheme="minorEastAsia" w:hint="eastAsia"/>
          <w:color w:val="000000"/>
          <w:sz w:val="24"/>
        </w:rPr>
        <w:t>7</w:t>
      </w:r>
      <w:r w:rsidRPr="00407B0E">
        <w:rPr>
          <w:rFonts w:eastAsiaTheme="minorEastAsia" w:hint="eastAsia"/>
          <w:color w:val="000000"/>
          <w:sz w:val="24"/>
        </w:rPr>
        <w:t>月</w:t>
      </w:r>
      <w:r w:rsidRPr="00407B0E">
        <w:rPr>
          <w:rFonts w:eastAsiaTheme="minorEastAsia" w:hint="eastAsia"/>
          <w:color w:val="000000"/>
          <w:sz w:val="24"/>
        </w:rPr>
        <w:t>17</w:t>
      </w:r>
      <w:r w:rsidRPr="00407B0E">
        <w:rPr>
          <w:rFonts w:eastAsiaTheme="minorEastAsia" w:hint="eastAsia"/>
          <w:color w:val="000000"/>
          <w:sz w:val="24"/>
        </w:rPr>
        <w:t>日发布的《交</w:t>
      </w:r>
      <w:r w:rsidRPr="00407B0E">
        <w:rPr>
          <w:rFonts w:eastAsiaTheme="minorEastAsia" w:hint="eastAsia"/>
          <w:color w:val="000000"/>
          <w:sz w:val="24"/>
        </w:rPr>
        <w:lastRenderedPageBreak/>
        <w:t>银施罗德基金管理有限公司关于调整交银施罗德丰润收益债券型证券投资基金的基金份额净值计算小数点后保留位数并修改基金合同、托管协议的公告》。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CC45F2" w:rsidRDefault="002E159F">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、中国证监会准予交银施罗德丰润收益债券型证券投资基金募集注册的文件；</w:t>
      </w:r>
      <w:r>
        <w:rPr>
          <w:rFonts w:eastAsiaTheme="minorEastAsia"/>
          <w:color w:val="000000"/>
          <w:sz w:val="24"/>
        </w:rPr>
        <w:t xml:space="preserve"> </w:t>
      </w:r>
    </w:p>
    <w:p w:rsidR="00CC45F2" w:rsidRDefault="002E159F">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、《交银施罗德丰润收益债券型证券投资基金基金合同》；</w:t>
      </w:r>
    </w:p>
    <w:p w:rsidR="00CC45F2" w:rsidRDefault="002E159F">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、《交银施罗德丰润收益债券型证券投资基金招募说明书》；</w:t>
      </w:r>
      <w:r>
        <w:rPr>
          <w:rFonts w:eastAsiaTheme="minorEastAsia"/>
          <w:color w:val="000000"/>
          <w:sz w:val="24"/>
        </w:rPr>
        <w:t xml:space="preserve"> </w:t>
      </w:r>
    </w:p>
    <w:p w:rsidR="00CC45F2" w:rsidRDefault="002E159F">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、《交银施罗德丰润收益债券型证券投资基金托管协议》；</w:t>
      </w:r>
      <w:r>
        <w:rPr>
          <w:rFonts w:eastAsiaTheme="minorEastAsia"/>
          <w:color w:val="000000"/>
          <w:sz w:val="24"/>
        </w:rPr>
        <w:t xml:space="preserve"> </w:t>
      </w:r>
    </w:p>
    <w:p w:rsidR="00CC45F2" w:rsidRDefault="002E159F">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CC45F2" w:rsidRDefault="002E159F">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CC45F2" w:rsidRDefault="002E159F">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、关于申请募集注册交银施罗德丰润收益债券型证券投资基金的法律意见书；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、报告期内交银施罗德丰润收益债券型证券投资基金在指定报刊上各项公告的原稿。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CC45F2" w:rsidRDefault="002E159F">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2FE" w:rsidRDefault="00EF42FE">
      <w:r>
        <w:separator/>
      </w:r>
    </w:p>
  </w:endnote>
  <w:endnote w:type="continuationSeparator" w:id="0">
    <w:p w:rsidR="00EF42FE" w:rsidRDefault="00EF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376BF7">
      <w:rPr>
        <w:noProof/>
        <w:kern w:val="0"/>
        <w:szCs w:val="21"/>
      </w:rPr>
      <w:t>13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376BF7">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2FE" w:rsidRDefault="00EF42FE">
      <w:r>
        <w:separator/>
      </w:r>
    </w:p>
  </w:footnote>
  <w:footnote w:type="continuationSeparator" w:id="0">
    <w:p w:rsidR="00EF42FE" w:rsidRDefault="00EF4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交银施罗德丰润收益债券型证券投资基金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159F"/>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6BF7"/>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B0E"/>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47E57"/>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4F85"/>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81A"/>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45F2"/>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33B"/>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42FE"/>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131"/>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69F3"/>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0">
    <w:name w:val="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2D96E-FE56-4C55-90B7-38E24C06C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214</TotalTime>
  <Pages>14</Pages>
  <Words>1224</Words>
  <Characters>6979</Characters>
  <Application>Microsoft Office Word</Application>
  <DocSecurity>0</DocSecurity>
  <Lines>58</Lines>
  <Paragraphs>16</Paragraphs>
  <ScaleCrop>false</ScaleCrop>
  <Company>TRT. Ltd. Co.</Company>
  <LinksUpToDate>false</LinksUpToDate>
  <CharactersWithSpaces>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383</cp:revision>
  <cp:lastPrinted>2007-07-19T00:46:00Z</cp:lastPrinted>
  <dcterms:created xsi:type="dcterms:W3CDTF">2014-01-17T06:19:00Z</dcterms:created>
  <dcterms:modified xsi:type="dcterms:W3CDTF">2018-10-20T11:32:00Z</dcterms:modified>
</cp:coreProperties>
</file>