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二〇一八年十月二十六日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091824" w:rsidRDefault="007111CD">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91824" w:rsidRDefault="007111CD">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91824" w:rsidRDefault="007111CD">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91824" w:rsidRDefault="007111CD">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91824" w:rsidRDefault="007111CD">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3,837,434,842.11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3,425,723,330.36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411,711,511.75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32,200,127.59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3,867,745.76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32,200,127.59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3,867,745.76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3,425,723,330.36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411,711,511.75</w:t>
            </w:r>
          </w:p>
        </w:tc>
      </w:tr>
    </w:tbl>
    <w:p w:rsidR="00091824" w:rsidRDefault="007111C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7111CD" w:rsidP="00281564">
      <w:pPr>
        <w:autoSpaceDE w:val="0"/>
        <w:autoSpaceDN w:val="0"/>
        <w:adjustRightInd w:val="0"/>
        <w:spacing w:before="29" w:line="288" w:lineRule="auto"/>
        <w:jc w:val="left"/>
        <w:rPr>
          <w:color w:val="000000"/>
          <w:sz w:val="24"/>
        </w:rPr>
      </w:pPr>
      <w:r>
        <w:rPr>
          <w:rFonts w:hint="eastAsia"/>
          <w:color w:val="000000"/>
          <w:sz w:val="24"/>
        </w:rPr>
        <w:t xml:space="preserve">    </w:t>
      </w:r>
      <w:r w:rsidR="00893021" w:rsidRPr="000E4C40">
        <w:rPr>
          <w:color w:val="000000"/>
          <w:sz w:val="24"/>
        </w:rPr>
        <w:t>2</w:t>
      </w:r>
      <w:r w:rsidR="00893021"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091824">
        <w:trPr>
          <w:jc w:val="center"/>
        </w:trPr>
        <w:tc>
          <w:tcPr>
            <w:tcW w:w="1266" w:type="dxa"/>
            <w:vAlign w:val="center"/>
          </w:tcPr>
          <w:p w:rsidR="00091824" w:rsidRDefault="007111CD">
            <w:pPr>
              <w:jc w:val="left"/>
            </w:pPr>
            <w:r>
              <w:rPr>
                <w:color w:val="000000"/>
              </w:rPr>
              <w:t>过去三个月</w:t>
            </w:r>
          </w:p>
        </w:tc>
        <w:tc>
          <w:tcPr>
            <w:tcW w:w="1267" w:type="dxa"/>
            <w:vAlign w:val="center"/>
          </w:tcPr>
          <w:p w:rsidR="00091824" w:rsidRDefault="007111CD">
            <w:pPr>
              <w:jc w:val="center"/>
            </w:pPr>
            <w:r>
              <w:rPr>
                <w:color w:val="000000"/>
              </w:rPr>
              <w:t>0.8874%</w:t>
            </w:r>
          </w:p>
        </w:tc>
        <w:tc>
          <w:tcPr>
            <w:tcW w:w="1267" w:type="dxa"/>
            <w:vAlign w:val="center"/>
          </w:tcPr>
          <w:p w:rsidR="00091824" w:rsidRDefault="007111CD">
            <w:pPr>
              <w:jc w:val="center"/>
            </w:pPr>
            <w:r>
              <w:rPr>
                <w:color w:val="000000"/>
              </w:rPr>
              <w:t>0.0037%</w:t>
            </w:r>
          </w:p>
        </w:tc>
        <w:tc>
          <w:tcPr>
            <w:tcW w:w="1267" w:type="dxa"/>
            <w:vAlign w:val="center"/>
          </w:tcPr>
          <w:p w:rsidR="00091824" w:rsidRDefault="007111CD">
            <w:pPr>
              <w:jc w:val="center"/>
            </w:pPr>
            <w:r>
              <w:rPr>
                <w:color w:val="000000"/>
              </w:rPr>
              <w:t>0.0882%</w:t>
            </w:r>
          </w:p>
        </w:tc>
        <w:tc>
          <w:tcPr>
            <w:tcW w:w="1267" w:type="dxa"/>
            <w:vAlign w:val="center"/>
          </w:tcPr>
          <w:p w:rsidR="00091824" w:rsidRDefault="007111CD">
            <w:pPr>
              <w:jc w:val="center"/>
            </w:pPr>
            <w:r>
              <w:rPr>
                <w:color w:val="000000"/>
              </w:rPr>
              <w:t>0.0000%</w:t>
            </w:r>
          </w:p>
        </w:tc>
        <w:tc>
          <w:tcPr>
            <w:tcW w:w="1267" w:type="dxa"/>
            <w:vAlign w:val="center"/>
          </w:tcPr>
          <w:p w:rsidR="00091824" w:rsidRDefault="007111CD">
            <w:pPr>
              <w:jc w:val="center"/>
            </w:pPr>
            <w:r>
              <w:rPr>
                <w:color w:val="000000"/>
              </w:rPr>
              <w:t>0.7992%</w:t>
            </w:r>
          </w:p>
        </w:tc>
        <w:tc>
          <w:tcPr>
            <w:tcW w:w="1267" w:type="dxa"/>
            <w:vAlign w:val="center"/>
          </w:tcPr>
          <w:p w:rsidR="00091824" w:rsidRDefault="007111CD">
            <w:pPr>
              <w:jc w:val="center"/>
            </w:pPr>
            <w:r>
              <w:rPr>
                <w:color w:val="000000"/>
              </w:rPr>
              <w:t>0.0037%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7111CD">
        <w:trPr>
          <w:jc w:val="center"/>
        </w:trPr>
        <w:tc>
          <w:tcPr>
            <w:tcW w:w="1266"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091824">
        <w:trPr>
          <w:jc w:val="center"/>
        </w:trPr>
        <w:tc>
          <w:tcPr>
            <w:tcW w:w="1266" w:type="dxa"/>
            <w:vAlign w:val="center"/>
          </w:tcPr>
          <w:p w:rsidR="00091824" w:rsidRDefault="007111CD">
            <w:pPr>
              <w:jc w:val="left"/>
            </w:pPr>
            <w:r>
              <w:rPr>
                <w:color w:val="000000"/>
              </w:rPr>
              <w:t>过去三个月</w:t>
            </w:r>
          </w:p>
        </w:tc>
        <w:tc>
          <w:tcPr>
            <w:tcW w:w="1267" w:type="dxa"/>
            <w:vAlign w:val="center"/>
          </w:tcPr>
          <w:p w:rsidR="00091824" w:rsidRDefault="007111CD">
            <w:pPr>
              <w:jc w:val="center"/>
            </w:pPr>
            <w:r>
              <w:rPr>
                <w:color w:val="000000"/>
              </w:rPr>
              <w:t>0.9483%</w:t>
            </w:r>
          </w:p>
        </w:tc>
        <w:tc>
          <w:tcPr>
            <w:tcW w:w="1267" w:type="dxa"/>
            <w:vAlign w:val="center"/>
          </w:tcPr>
          <w:p w:rsidR="00091824" w:rsidRDefault="007111CD">
            <w:pPr>
              <w:jc w:val="center"/>
            </w:pPr>
            <w:r>
              <w:rPr>
                <w:color w:val="000000"/>
              </w:rPr>
              <w:t>0.0037%</w:t>
            </w:r>
          </w:p>
        </w:tc>
        <w:tc>
          <w:tcPr>
            <w:tcW w:w="1267" w:type="dxa"/>
            <w:vAlign w:val="center"/>
          </w:tcPr>
          <w:p w:rsidR="00091824" w:rsidRDefault="007111CD">
            <w:pPr>
              <w:jc w:val="center"/>
            </w:pPr>
            <w:r>
              <w:rPr>
                <w:color w:val="000000"/>
              </w:rPr>
              <w:t>0.0882%</w:t>
            </w:r>
          </w:p>
        </w:tc>
        <w:tc>
          <w:tcPr>
            <w:tcW w:w="1267" w:type="dxa"/>
            <w:vAlign w:val="center"/>
          </w:tcPr>
          <w:p w:rsidR="00091824" w:rsidRDefault="007111CD">
            <w:pPr>
              <w:jc w:val="center"/>
            </w:pPr>
            <w:r>
              <w:rPr>
                <w:color w:val="000000"/>
              </w:rPr>
              <w:t>0.0000%</w:t>
            </w:r>
          </w:p>
        </w:tc>
        <w:tc>
          <w:tcPr>
            <w:tcW w:w="1267" w:type="dxa"/>
            <w:vAlign w:val="center"/>
          </w:tcPr>
          <w:p w:rsidR="00091824" w:rsidRDefault="007111CD">
            <w:pPr>
              <w:jc w:val="center"/>
            </w:pPr>
            <w:r>
              <w:rPr>
                <w:color w:val="000000"/>
              </w:rPr>
              <w:t>0.8601%</w:t>
            </w:r>
          </w:p>
        </w:tc>
        <w:tc>
          <w:tcPr>
            <w:tcW w:w="1267" w:type="dxa"/>
            <w:vAlign w:val="center"/>
          </w:tcPr>
          <w:p w:rsidR="00091824" w:rsidRDefault="007111CD">
            <w:pPr>
              <w:jc w:val="center"/>
            </w:pPr>
            <w:r>
              <w:rPr>
                <w:color w:val="000000"/>
              </w:rPr>
              <w:t>0.0037%</w:t>
            </w:r>
          </w:p>
        </w:tc>
      </w:tr>
    </w:tbl>
    <w:p w:rsidR="007111CD" w:rsidRPr="000E4C40" w:rsidRDefault="007111CD" w:rsidP="007111CD">
      <w:pPr>
        <w:autoSpaceDE w:val="0"/>
        <w:autoSpaceDN w:val="0"/>
        <w:adjustRightInd w:val="0"/>
        <w:spacing w:before="29" w:line="288" w:lineRule="auto"/>
        <w:jc w:val="left"/>
        <w:rPr>
          <w:color w:val="000000"/>
          <w:sz w:val="24"/>
        </w:rPr>
      </w:pPr>
      <w:bookmarkStart w:id="0" w:name="_GoBack"/>
      <w:r w:rsidRPr="000E4C40">
        <w:rPr>
          <w:color w:val="000000"/>
          <w:sz w:val="24"/>
        </w:rPr>
        <w:t>注：本基金收益分配按日结转份额。</w:t>
      </w:r>
    </w:p>
    <w:bookmarkEnd w:id="0"/>
    <w:p w:rsidR="001F0286" w:rsidRPr="007111CD"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日起增加</w:t>
      </w:r>
      <w:r w:rsidRPr="000E4C40">
        <w:rPr>
          <w:color w:val="000000"/>
          <w:sz w:val="24"/>
        </w:rPr>
        <w:t>E</w:t>
      </w:r>
      <w:r w:rsidRPr="000E4C40">
        <w:rPr>
          <w:color w:val="000000"/>
          <w:sz w:val="24"/>
        </w:rPr>
        <w:t>类基金份额类别，投资者提交的申购申请于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091824">
        <w:trPr>
          <w:jc w:val="center"/>
        </w:trPr>
        <w:tc>
          <w:tcPr>
            <w:tcW w:w="945" w:type="dxa"/>
            <w:vAlign w:val="center"/>
          </w:tcPr>
          <w:p w:rsidR="00091824" w:rsidRDefault="007111CD">
            <w:pPr>
              <w:jc w:val="center"/>
            </w:pPr>
            <w:r>
              <w:rPr>
                <w:color w:val="000000"/>
                <w:sz w:val="24"/>
              </w:rPr>
              <w:t>黄莹洁</w:t>
            </w:r>
          </w:p>
        </w:tc>
        <w:tc>
          <w:tcPr>
            <w:tcW w:w="1589" w:type="dxa"/>
            <w:vAlign w:val="center"/>
          </w:tcPr>
          <w:p w:rsidR="00091824" w:rsidRDefault="007111CD">
            <w:pPr>
              <w:jc w:val="center"/>
            </w:pPr>
            <w:r>
              <w:rPr>
                <w:color w:val="000000"/>
                <w:sz w:val="24"/>
              </w:rPr>
              <w:t>交银货币、交银理财</w:t>
            </w:r>
            <w:r>
              <w:rPr>
                <w:color w:val="000000"/>
                <w:sz w:val="24"/>
              </w:rPr>
              <w:t>21</w:t>
            </w:r>
            <w:r>
              <w:rPr>
                <w:color w:val="000000"/>
                <w:sz w:val="24"/>
              </w:rPr>
              <w:t>天债券、交银现金宝货币、交银丰享收益债券、交银裕</w:t>
            </w:r>
            <w:r>
              <w:rPr>
                <w:color w:val="000000"/>
                <w:sz w:val="24"/>
              </w:rPr>
              <w:lastRenderedPageBreak/>
              <w:t>通纯债债券、交银活期通货币、交银天利宝货币、交银裕隆纯债债券、交银天鑫宝货币、交银天益宝货币、交银境尚收益债券的基金经理</w:t>
            </w:r>
          </w:p>
        </w:tc>
        <w:tc>
          <w:tcPr>
            <w:tcW w:w="1478" w:type="dxa"/>
            <w:vAlign w:val="center"/>
          </w:tcPr>
          <w:p w:rsidR="00091824" w:rsidRDefault="007111CD">
            <w:pPr>
              <w:jc w:val="center"/>
            </w:pPr>
            <w:r>
              <w:rPr>
                <w:color w:val="000000"/>
                <w:sz w:val="24"/>
              </w:rPr>
              <w:lastRenderedPageBreak/>
              <w:t>2015-05-27</w:t>
            </w:r>
          </w:p>
        </w:tc>
        <w:tc>
          <w:tcPr>
            <w:tcW w:w="1478" w:type="dxa"/>
            <w:vAlign w:val="center"/>
          </w:tcPr>
          <w:p w:rsidR="00091824" w:rsidRDefault="007111CD">
            <w:pPr>
              <w:jc w:val="center"/>
            </w:pPr>
            <w:r>
              <w:rPr>
                <w:color w:val="000000"/>
                <w:sz w:val="24"/>
              </w:rPr>
              <w:t>-</w:t>
            </w:r>
          </w:p>
        </w:tc>
        <w:tc>
          <w:tcPr>
            <w:tcW w:w="986" w:type="dxa"/>
            <w:vAlign w:val="center"/>
          </w:tcPr>
          <w:p w:rsidR="00091824" w:rsidRDefault="007111CD">
            <w:pPr>
              <w:jc w:val="center"/>
            </w:pPr>
            <w:r>
              <w:rPr>
                <w:color w:val="000000"/>
                <w:sz w:val="24"/>
              </w:rPr>
              <w:t>10</w:t>
            </w:r>
            <w:r>
              <w:rPr>
                <w:color w:val="000000"/>
                <w:sz w:val="24"/>
              </w:rPr>
              <w:t>年</w:t>
            </w:r>
          </w:p>
        </w:tc>
        <w:tc>
          <w:tcPr>
            <w:tcW w:w="2392" w:type="dxa"/>
            <w:vAlign w:val="center"/>
          </w:tcPr>
          <w:p w:rsidR="00091824" w:rsidRDefault="007111CD">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p w:rsidR="00091824" w:rsidRDefault="00091824"/>
        </w:tc>
      </w:tr>
      <w:tr w:rsidR="00091824">
        <w:trPr>
          <w:jc w:val="center"/>
        </w:trPr>
        <w:tc>
          <w:tcPr>
            <w:tcW w:w="945" w:type="dxa"/>
            <w:vAlign w:val="center"/>
          </w:tcPr>
          <w:p w:rsidR="00091824" w:rsidRDefault="007111CD">
            <w:pPr>
              <w:jc w:val="center"/>
            </w:pPr>
            <w:r>
              <w:rPr>
                <w:color w:val="000000"/>
                <w:sz w:val="24"/>
              </w:rPr>
              <w:lastRenderedPageBreak/>
              <w:t>连端清</w:t>
            </w:r>
          </w:p>
        </w:tc>
        <w:tc>
          <w:tcPr>
            <w:tcW w:w="1589" w:type="dxa"/>
            <w:vAlign w:val="center"/>
          </w:tcPr>
          <w:p w:rsidR="00091824" w:rsidRDefault="007111CD">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091824" w:rsidRDefault="007111CD">
            <w:pPr>
              <w:jc w:val="center"/>
            </w:pPr>
            <w:r>
              <w:rPr>
                <w:color w:val="000000"/>
                <w:sz w:val="24"/>
              </w:rPr>
              <w:t>2015-08-04</w:t>
            </w:r>
          </w:p>
        </w:tc>
        <w:tc>
          <w:tcPr>
            <w:tcW w:w="1478" w:type="dxa"/>
            <w:vAlign w:val="center"/>
          </w:tcPr>
          <w:p w:rsidR="00091824" w:rsidRDefault="007111CD">
            <w:pPr>
              <w:jc w:val="center"/>
            </w:pPr>
            <w:r>
              <w:rPr>
                <w:color w:val="000000"/>
                <w:sz w:val="24"/>
              </w:rPr>
              <w:t>-</w:t>
            </w:r>
          </w:p>
        </w:tc>
        <w:tc>
          <w:tcPr>
            <w:tcW w:w="986" w:type="dxa"/>
            <w:vAlign w:val="center"/>
          </w:tcPr>
          <w:p w:rsidR="00091824" w:rsidRDefault="007111CD">
            <w:pPr>
              <w:jc w:val="center"/>
            </w:pPr>
            <w:r>
              <w:rPr>
                <w:color w:val="000000"/>
                <w:sz w:val="24"/>
              </w:rPr>
              <w:t>5</w:t>
            </w:r>
            <w:r>
              <w:rPr>
                <w:color w:val="000000"/>
                <w:sz w:val="24"/>
              </w:rPr>
              <w:t>年</w:t>
            </w:r>
          </w:p>
        </w:tc>
        <w:tc>
          <w:tcPr>
            <w:tcW w:w="2392" w:type="dxa"/>
            <w:vAlign w:val="center"/>
          </w:tcPr>
          <w:p w:rsidR="00091824" w:rsidRDefault="007111CD">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091824" w:rsidRDefault="007111C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091824" w:rsidRDefault="007111CD">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091824" w:rsidRDefault="007111C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91824" w:rsidRDefault="007111C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91824" w:rsidRDefault="007111C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091824" w:rsidRDefault="007111CD">
      <w:pPr>
        <w:spacing w:before="29" w:line="288" w:lineRule="auto"/>
        <w:ind w:firstLineChars="200" w:firstLine="480"/>
        <w:rPr>
          <w:color w:val="000000"/>
          <w:sz w:val="24"/>
        </w:rPr>
      </w:pPr>
      <w:r>
        <w:rPr>
          <w:color w:val="000000"/>
          <w:sz w:val="24"/>
        </w:rPr>
        <w:t>本报告期内，国内经济增速继续稳中放缓，通胀压力的抬头压制了固定收益资产的回报预期。同时，中美贸易战进一步扩大，全球风险偏好回落，权益类资产继续回调。国内制造业增速继续保持高位，但已出现放缓势头。房地产投资在政策悲观的预期氛围内继续保持高速增长，但基建投资增速下滑，导致固定资产投资继续下行。九月下旬，</w:t>
      </w:r>
      <w:r>
        <w:rPr>
          <w:color w:val="000000"/>
          <w:sz w:val="24"/>
        </w:rPr>
        <w:lastRenderedPageBreak/>
        <w:t>美国对中国新增</w:t>
      </w:r>
      <w:r>
        <w:rPr>
          <w:color w:val="000000"/>
          <w:sz w:val="24"/>
        </w:rPr>
        <w:t>2000</w:t>
      </w:r>
      <w:r>
        <w:rPr>
          <w:color w:val="000000"/>
          <w:sz w:val="24"/>
        </w:rPr>
        <w:t>亿美元商品加征关税，贸易战升级，悲观预期加大。通胀方面，国内受天气灾害和俄罗斯猪瘟传入影响，食品价格攀升，</w:t>
      </w:r>
      <w:r>
        <w:rPr>
          <w:color w:val="000000"/>
          <w:sz w:val="24"/>
        </w:rPr>
        <w:t>CPI</w:t>
      </w:r>
      <w:r>
        <w:rPr>
          <w:color w:val="000000"/>
          <w:sz w:val="24"/>
        </w:rPr>
        <w:t>再次回到</w:t>
      </w:r>
      <w:r>
        <w:rPr>
          <w:color w:val="000000"/>
          <w:sz w:val="24"/>
        </w:rPr>
        <w:t>2%</w:t>
      </w:r>
      <w:r>
        <w:rPr>
          <w:color w:val="000000"/>
          <w:sz w:val="24"/>
        </w:rPr>
        <w:t>以上，同时国际原油价格突破新高，加之人民币贬值预期，输入性通胀预期不断增强，市场陷入</w:t>
      </w:r>
      <w:r>
        <w:rPr>
          <w:color w:val="000000"/>
          <w:sz w:val="24"/>
        </w:rPr>
        <w:t>“</w:t>
      </w:r>
      <w:r>
        <w:rPr>
          <w:color w:val="000000"/>
          <w:sz w:val="24"/>
        </w:rPr>
        <w:t>滞涨</w:t>
      </w:r>
      <w:r>
        <w:rPr>
          <w:color w:val="000000"/>
          <w:sz w:val="24"/>
        </w:rPr>
        <w:t>”</w:t>
      </w:r>
      <w:r>
        <w:rPr>
          <w:color w:val="000000"/>
          <w:sz w:val="24"/>
        </w:rPr>
        <w:t>的担忧之中。货币政策方面，央行在联储加息和贸易战的背景下坚持稳健中性的货币政策，九月美联储加息后并未上调公开市场操作利率，显示出国内经济格局和美国利率政策的独立性。货币市场方面，三季度资金面整体上非常宽裕，银行间隔夜利率一度在八月份降至</w:t>
      </w:r>
      <w:r>
        <w:rPr>
          <w:color w:val="000000"/>
          <w:sz w:val="24"/>
        </w:rPr>
        <w:t>1.5%</w:t>
      </w:r>
      <w:r>
        <w:rPr>
          <w:color w:val="000000"/>
          <w:sz w:val="24"/>
        </w:rPr>
        <w:t>，之后虽有回调，但依然大幅低于二季度末，下降幅度在</w:t>
      </w:r>
      <w:r>
        <w:rPr>
          <w:color w:val="000000"/>
          <w:sz w:val="24"/>
        </w:rPr>
        <w:t>45BP</w:t>
      </w:r>
      <w:r>
        <w:rPr>
          <w:color w:val="000000"/>
          <w:sz w:val="24"/>
        </w:rPr>
        <w:t>以上，三季度同业存单存款利率同样大幅下行，股份制银行三个月同业存单利率将至</w:t>
      </w:r>
      <w:r>
        <w:rPr>
          <w:color w:val="000000"/>
          <w:sz w:val="24"/>
        </w:rPr>
        <w:t>1.9%</w:t>
      </w:r>
      <w:r>
        <w:rPr>
          <w:color w:val="000000"/>
          <w:sz w:val="24"/>
        </w:rPr>
        <w:t>，虽然之后有所回升，但基本处于</w:t>
      </w:r>
      <w:r>
        <w:rPr>
          <w:color w:val="000000"/>
          <w:sz w:val="24"/>
        </w:rPr>
        <w:t>3%</w:t>
      </w:r>
      <w:r>
        <w:rPr>
          <w:color w:val="000000"/>
          <w:sz w:val="24"/>
        </w:rPr>
        <w:t>以下。报告期内，三个月上海银行间拆借利率下行</w:t>
      </w:r>
      <w:r>
        <w:rPr>
          <w:color w:val="000000"/>
          <w:sz w:val="24"/>
        </w:rPr>
        <w:t>131BP</w:t>
      </w:r>
      <w:r>
        <w:rPr>
          <w:color w:val="000000"/>
          <w:sz w:val="24"/>
        </w:rPr>
        <w:t>到</w:t>
      </w:r>
      <w:r>
        <w:rPr>
          <w:color w:val="000000"/>
          <w:sz w:val="24"/>
        </w:rPr>
        <w:t>2.85%</w:t>
      </w:r>
      <w:r>
        <w:rPr>
          <w:color w:val="000000"/>
          <w:sz w:val="24"/>
        </w:rPr>
        <w:t>。</w:t>
      </w:r>
    </w:p>
    <w:p w:rsidR="00091824" w:rsidRDefault="007111CD">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九月末我们视组合流动性和市场情况，增配了高流动性的回购资产和部分高评级的同业存单、同业存款等，在市场收益率普遍下行中维持收益水平。</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四季度，我们将继续关注收益率显著下行的银行同业存单发行情况，持续观察监管政策的落地实施以及实际影响。我们预计中美贸易战仍将延续，货币政策可能会延续结构性宽松的状态，流动性宽松态势有望保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lastRenderedPageBreak/>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3,227,683,341.98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74.45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3,227,683,341.98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74.45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276,129,214.19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6.37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618,179,597.61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14.26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213,273,308.71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4.92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4,335,265,462.49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7.60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495,025,857.46</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12.90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69</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lastRenderedPageBreak/>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10.87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12.90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7.26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47.43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41.86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107.42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12.90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199,552,849.69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5.20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20,035,577.99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0.52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20,035,577.99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0.52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399,998,116.81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10.42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2,608,096,797.49</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67.96</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3,227,683,341.98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84.11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45"/>
        <w:gridCol w:w="1288"/>
        <w:gridCol w:w="2147"/>
        <w:gridCol w:w="1207"/>
        <w:gridCol w:w="2053"/>
        <w:gridCol w:w="1328"/>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091824">
        <w:trPr>
          <w:jc w:val="center"/>
        </w:trPr>
        <w:tc>
          <w:tcPr>
            <w:tcW w:w="0" w:type="auto"/>
            <w:vAlign w:val="center"/>
          </w:tcPr>
          <w:p w:rsidR="00091824" w:rsidRDefault="007111CD">
            <w:pPr>
              <w:jc w:val="center"/>
            </w:pPr>
            <w:r>
              <w:rPr>
                <w:color w:val="000000"/>
                <w:sz w:val="24"/>
              </w:rPr>
              <w:t>1</w:t>
            </w:r>
          </w:p>
        </w:tc>
        <w:tc>
          <w:tcPr>
            <w:tcW w:w="0" w:type="auto"/>
            <w:vAlign w:val="center"/>
          </w:tcPr>
          <w:p w:rsidR="00091824" w:rsidRDefault="007111CD">
            <w:pPr>
              <w:jc w:val="center"/>
            </w:pPr>
            <w:r>
              <w:rPr>
                <w:color w:val="000000"/>
                <w:sz w:val="24"/>
              </w:rPr>
              <w:t>111821322</w:t>
            </w:r>
          </w:p>
        </w:tc>
        <w:tc>
          <w:tcPr>
            <w:tcW w:w="0" w:type="auto"/>
            <w:vAlign w:val="center"/>
          </w:tcPr>
          <w:p w:rsidR="00091824" w:rsidRDefault="007111CD">
            <w:pPr>
              <w:jc w:val="center"/>
            </w:pPr>
            <w:r>
              <w:rPr>
                <w:color w:val="000000"/>
                <w:sz w:val="24"/>
              </w:rPr>
              <w:t>18</w:t>
            </w:r>
            <w:r>
              <w:rPr>
                <w:color w:val="000000"/>
                <w:sz w:val="24"/>
              </w:rPr>
              <w:t>渤海银行</w:t>
            </w:r>
            <w:r>
              <w:rPr>
                <w:color w:val="000000"/>
                <w:sz w:val="24"/>
              </w:rPr>
              <w:t>CD322</w:t>
            </w:r>
          </w:p>
        </w:tc>
        <w:tc>
          <w:tcPr>
            <w:tcW w:w="0" w:type="auto"/>
            <w:vAlign w:val="center"/>
          </w:tcPr>
          <w:p w:rsidR="00091824" w:rsidRDefault="007111CD">
            <w:pPr>
              <w:jc w:val="right"/>
            </w:pPr>
            <w:r>
              <w:rPr>
                <w:color w:val="000000"/>
                <w:sz w:val="24"/>
              </w:rPr>
              <w:t>2,000,000</w:t>
            </w:r>
          </w:p>
        </w:tc>
        <w:tc>
          <w:tcPr>
            <w:tcW w:w="0" w:type="auto"/>
            <w:vAlign w:val="center"/>
          </w:tcPr>
          <w:p w:rsidR="00091824" w:rsidRDefault="007111CD">
            <w:pPr>
              <w:jc w:val="right"/>
            </w:pPr>
            <w:r>
              <w:rPr>
                <w:color w:val="000000"/>
                <w:sz w:val="24"/>
              </w:rPr>
              <w:t>196,774,665.00</w:t>
            </w:r>
          </w:p>
        </w:tc>
        <w:tc>
          <w:tcPr>
            <w:tcW w:w="0" w:type="auto"/>
            <w:vAlign w:val="center"/>
          </w:tcPr>
          <w:p w:rsidR="00091824" w:rsidRDefault="007111CD">
            <w:pPr>
              <w:jc w:val="right"/>
            </w:pPr>
            <w:r>
              <w:rPr>
                <w:color w:val="000000"/>
                <w:sz w:val="24"/>
              </w:rPr>
              <w:t>5.13</w:t>
            </w:r>
          </w:p>
        </w:tc>
      </w:tr>
      <w:tr w:rsidR="00091824">
        <w:trPr>
          <w:jc w:val="center"/>
        </w:trPr>
        <w:tc>
          <w:tcPr>
            <w:tcW w:w="0" w:type="auto"/>
            <w:vAlign w:val="center"/>
          </w:tcPr>
          <w:p w:rsidR="00091824" w:rsidRDefault="007111CD">
            <w:pPr>
              <w:jc w:val="center"/>
            </w:pPr>
            <w:r>
              <w:rPr>
                <w:color w:val="000000"/>
                <w:sz w:val="24"/>
              </w:rPr>
              <w:t>2</w:t>
            </w:r>
          </w:p>
        </w:tc>
        <w:tc>
          <w:tcPr>
            <w:tcW w:w="0" w:type="auto"/>
            <w:vAlign w:val="center"/>
          </w:tcPr>
          <w:p w:rsidR="00091824" w:rsidRDefault="007111CD">
            <w:pPr>
              <w:jc w:val="center"/>
            </w:pPr>
            <w:r>
              <w:rPr>
                <w:color w:val="000000"/>
                <w:sz w:val="24"/>
              </w:rPr>
              <w:t>111899482</w:t>
            </w:r>
          </w:p>
        </w:tc>
        <w:tc>
          <w:tcPr>
            <w:tcW w:w="0" w:type="auto"/>
            <w:vAlign w:val="center"/>
          </w:tcPr>
          <w:p w:rsidR="00091824" w:rsidRDefault="007111CD">
            <w:pPr>
              <w:jc w:val="center"/>
            </w:pPr>
            <w:r>
              <w:rPr>
                <w:color w:val="000000"/>
                <w:sz w:val="24"/>
              </w:rPr>
              <w:t>18</w:t>
            </w:r>
            <w:r>
              <w:rPr>
                <w:color w:val="000000"/>
                <w:sz w:val="24"/>
              </w:rPr>
              <w:t>东莞农村商业银行</w:t>
            </w:r>
            <w:r>
              <w:rPr>
                <w:color w:val="000000"/>
                <w:sz w:val="24"/>
              </w:rPr>
              <w:t>CD061</w:t>
            </w:r>
          </w:p>
        </w:tc>
        <w:tc>
          <w:tcPr>
            <w:tcW w:w="0" w:type="auto"/>
            <w:vAlign w:val="center"/>
          </w:tcPr>
          <w:p w:rsidR="00091824" w:rsidRDefault="007111CD">
            <w:pPr>
              <w:jc w:val="right"/>
            </w:pPr>
            <w:r>
              <w:rPr>
                <w:color w:val="000000"/>
                <w:sz w:val="24"/>
              </w:rPr>
              <w:t>1,500,000</w:t>
            </w:r>
          </w:p>
        </w:tc>
        <w:tc>
          <w:tcPr>
            <w:tcW w:w="0" w:type="auto"/>
            <w:vAlign w:val="center"/>
          </w:tcPr>
          <w:p w:rsidR="00091824" w:rsidRDefault="007111CD">
            <w:pPr>
              <w:jc w:val="right"/>
            </w:pPr>
            <w:r>
              <w:rPr>
                <w:color w:val="000000"/>
                <w:sz w:val="24"/>
              </w:rPr>
              <w:t>148,546,462.85</w:t>
            </w:r>
          </w:p>
        </w:tc>
        <w:tc>
          <w:tcPr>
            <w:tcW w:w="0" w:type="auto"/>
            <w:vAlign w:val="center"/>
          </w:tcPr>
          <w:p w:rsidR="00091824" w:rsidRDefault="007111CD">
            <w:pPr>
              <w:jc w:val="right"/>
            </w:pPr>
            <w:r>
              <w:rPr>
                <w:color w:val="000000"/>
                <w:sz w:val="24"/>
              </w:rPr>
              <w:t>3.87</w:t>
            </w:r>
          </w:p>
        </w:tc>
      </w:tr>
      <w:tr w:rsidR="00091824">
        <w:trPr>
          <w:jc w:val="center"/>
        </w:trPr>
        <w:tc>
          <w:tcPr>
            <w:tcW w:w="0" w:type="auto"/>
            <w:vAlign w:val="center"/>
          </w:tcPr>
          <w:p w:rsidR="00091824" w:rsidRDefault="007111CD">
            <w:pPr>
              <w:jc w:val="center"/>
            </w:pPr>
            <w:r>
              <w:rPr>
                <w:color w:val="000000"/>
                <w:sz w:val="24"/>
              </w:rPr>
              <w:t>3</w:t>
            </w:r>
          </w:p>
        </w:tc>
        <w:tc>
          <w:tcPr>
            <w:tcW w:w="0" w:type="auto"/>
            <w:vAlign w:val="center"/>
          </w:tcPr>
          <w:p w:rsidR="00091824" w:rsidRDefault="007111CD">
            <w:pPr>
              <w:jc w:val="center"/>
            </w:pPr>
            <w:r>
              <w:rPr>
                <w:color w:val="000000"/>
                <w:sz w:val="24"/>
              </w:rPr>
              <w:t>111885689</w:t>
            </w:r>
          </w:p>
        </w:tc>
        <w:tc>
          <w:tcPr>
            <w:tcW w:w="0" w:type="auto"/>
            <w:vAlign w:val="center"/>
          </w:tcPr>
          <w:p w:rsidR="00091824" w:rsidRDefault="007111CD">
            <w:pPr>
              <w:jc w:val="center"/>
            </w:pPr>
            <w:r>
              <w:rPr>
                <w:color w:val="000000"/>
                <w:sz w:val="24"/>
              </w:rPr>
              <w:t>18</w:t>
            </w:r>
            <w:r>
              <w:rPr>
                <w:color w:val="000000"/>
                <w:sz w:val="24"/>
              </w:rPr>
              <w:t>江西银行</w:t>
            </w:r>
            <w:r>
              <w:rPr>
                <w:color w:val="000000"/>
                <w:sz w:val="24"/>
              </w:rPr>
              <w:t>CD100</w:t>
            </w:r>
          </w:p>
        </w:tc>
        <w:tc>
          <w:tcPr>
            <w:tcW w:w="0" w:type="auto"/>
            <w:vAlign w:val="center"/>
          </w:tcPr>
          <w:p w:rsidR="00091824" w:rsidRDefault="007111CD">
            <w:pPr>
              <w:jc w:val="right"/>
            </w:pPr>
            <w:r>
              <w:rPr>
                <w:color w:val="000000"/>
                <w:sz w:val="24"/>
              </w:rPr>
              <w:t>1,500,000</w:t>
            </w:r>
          </w:p>
        </w:tc>
        <w:tc>
          <w:tcPr>
            <w:tcW w:w="0" w:type="auto"/>
            <w:vAlign w:val="center"/>
          </w:tcPr>
          <w:p w:rsidR="00091824" w:rsidRDefault="007111CD">
            <w:pPr>
              <w:jc w:val="right"/>
            </w:pPr>
            <w:r>
              <w:rPr>
                <w:color w:val="000000"/>
                <w:sz w:val="24"/>
              </w:rPr>
              <w:t>147,649,179.00</w:t>
            </w:r>
          </w:p>
        </w:tc>
        <w:tc>
          <w:tcPr>
            <w:tcW w:w="0" w:type="auto"/>
            <w:vAlign w:val="center"/>
          </w:tcPr>
          <w:p w:rsidR="00091824" w:rsidRDefault="007111CD">
            <w:pPr>
              <w:jc w:val="right"/>
            </w:pPr>
            <w:r>
              <w:rPr>
                <w:color w:val="000000"/>
                <w:sz w:val="24"/>
              </w:rPr>
              <w:t>3.85</w:t>
            </w:r>
          </w:p>
        </w:tc>
      </w:tr>
      <w:tr w:rsidR="00091824">
        <w:trPr>
          <w:jc w:val="center"/>
        </w:trPr>
        <w:tc>
          <w:tcPr>
            <w:tcW w:w="0" w:type="auto"/>
            <w:vAlign w:val="center"/>
          </w:tcPr>
          <w:p w:rsidR="00091824" w:rsidRDefault="007111CD">
            <w:pPr>
              <w:jc w:val="center"/>
            </w:pPr>
            <w:r>
              <w:rPr>
                <w:color w:val="000000"/>
                <w:sz w:val="24"/>
              </w:rPr>
              <w:t>4</w:t>
            </w:r>
          </w:p>
        </w:tc>
        <w:tc>
          <w:tcPr>
            <w:tcW w:w="0" w:type="auto"/>
            <w:vAlign w:val="center"/>
          </w:tcPr>
          <w:p w:rsidR="00091824" w:rsidRDefault="007111CD">
            <w:pPr>
              <w:jc w:val="center"/>
            </w:pPr>
            <w:r>
              <w:rPr>
                <w:color w:val="000000"/>
                <w:sz w:val="24"/>
              </w:rPr>
              <w:t>111885837</w:t>
            </w:r>
          </w:p>
        </w:tc>
        <w:tc>
          <w:tcPr>
            <w:tcW w:w="0" w:type="auto"/>
            <w:vAlign w:val="center"/>
          </w:tcPr>
          <w:p w:rsidR="00091824" w:rsidRDefault="007111CD">
            <w:pPr>
              <w:jc w:val="center"/>
            </w:pPr>
            <w:r>
              <w:rPr>
                <w:color w:val="000000"/>
                <w:sz w:val="24"/>
              </w:rPr>
              <w:t>18</w:t>
            </w:r>
            <w:r>
              <w:rPr>
                <w:color w:val="000000"/>
                <w:sz w:val="24"/>
              </w:rPr>
              <w:t>重庆农村商行</w:t>
            </w:r>
            <w:r>
              <w:rPr>
                <w:color w:val="000000"/>
                <w:sz w:val="24"/>
              </w:rPr>
              <w:t>CD121</w:t>
            </w:r>
          </w:p>
        </w:tc>
        <w:tc>
          <w:tcPr>
            <w:tcW w:w="0" w:type="auto"/>
            <w:vAlign w:val="center"/>
          </w:tcPr>
          <w:p w:rsidR="00091824" w:rsidRDefault="007111CD">
            <w:pPr>
              <w:jc w:val="right"/>
            </w:pPr>
            <w:r>
              <w:rPr>
                <w:color w:val="000000"/>
                <w:sz w:val="24"/>
              </w:rPr>
              <w:t>1,500,000</w:t>
            </w:r>
          </w:p>
        </w:tc>
        <w:tc>
          <w:tcPr>
            <w:tcW w:w="0" w:type="auto"/>
            <w:vAlign w:val="center"/>
          </w:tcPr>
          <w:p w:rsidR="00091824" w:rsidRDefault="007111CD">
            <w:pPr>
              <w:jc w:val="right"/>
            </w:pPr>
            <w:r>
              <w:rPr>
                <w:color w:val="000000"/>
                <w:sz w:val="24"/>
              </w:rPr>
              <w:t>147,594,632.28</w:t>
            </w:r>
          </w:p>
        </w:tc>
        <w:tc>
          <w:tcPr>
            <w:tcW w:w="0" w:type="auto"/>
            <w:vAlign w:val="center"/>
          </w:tcPr>
          <w:p w:rsidR="00091824" w:rsidRDefault="007111CD">
            <w:pPr>
              <w:jc w:val="right"/>
            </w:pPr>
            <w:r>
              <w:rPr>
                <w:color w:val="000000"/>
                <w:sz w:val="24"/>
              </w:rPr>
              <w:t>3.85</w:t>
            </w:r>
          </w:p>
        </w:tc>
      </w:tr>
      <w:tr w:rsidR="00091824">
        <w:trPr>
          <w:jc w:val="center"/>
        </w:trPr>
        <w:tc>
          <w:tcPr>
            <w:tcW w:w="0" w:type="auto"/>
            <w:vAlign w:val="center"/>
          </w:tcPr>
          <w:p w:rsidR="00091824" w:rsidRDefault="007111CD">
            <w:pPr>
              <w:jc w:val="center"/>
            </w:pPr>
            <w:r>
              <w:rPr>
                <w:color w:val="000000"/>
                <w:sz w:val="24"/>
              </w:rPr>
              <w:t>5</w:t>
            </w:r>
          </w:p>
        </w:tc>
        <w:tc>
          <w:tcPr>
            <w:tcW w:w="0" w:type="auto"/>
            <w:vAlign w:val="center"/>
          </w:tcPr>
          <w:p w:rsidR="00091824" w:rsidRDefault="007111CD">
            <w:pPr>
              <w:jc w:val="center"/>
            </w:pPr>
            <w:r>
              <w:rPr>
                <w:color w:val="000000"/>
                <w:sz w:val="24"/>
              </w:rPr>
              <w:t>111819387</w:t>
            </w:r>
          </w:p>
        </w:tc>
        <w:tc>
          <w:tcPr>
            <w:tcW w:w="0" w:type="auto"/>
            <w:vAlign w:val="center"/>
          </w:tcPr>
          <w:p w:rsidR="00091824" w:rsidRDefault="007111CD">
            <w:pPr>
              <w:jc w:val="center"/>
            </w:pPr>
            <w:r>
              <w:rPr>
                <w:color w:val="000000"/>
                <w:sz w:val="24"/>
              </w:rPr>
              <w:t>18</w:t>
            </w:r>
            <w:r>
              <w:rPr>
                <w:color w:val="000000"/>
                <w:sz w:val="24"/>
              </w:rPr>
              <w:t>恒丰银行</w:t>
            </w:r>
            <w:r>
              <w:rPr>
                <w:color w:val="000000"/>
                <w:sz w:val="24"/>
              </w:rPr>
              <w:t>CD387</w:t>
            </w:r>
          </w:p>
        </w:tc>
        <w:tc>
          <w:tcPr>
            <w:tcW w:w="0" w:type="auto"/>
            <w:vAlign w:val="center"/>
          </w:tcPr>
          <w:p w:rsidR="00091824" w:rsidRDefault="007111CD">
            <w:pPr>
              <w:jc w:val="right"/>
            </w:pPr>
            <w:r>
              <w:rPr>
                <w:color w:val="000000"/>
                <w:sz w:val="24"/>
              </w:rPr>
              <w:t>1,500,000</w:t>
            </w:r>
          </w:p>
        </w:tc>
        <w:tc>
          <w:tcPr>
            <w:tcW w:w="0" w:type="auto"/>
            <w:vAlign w:val="center"/>
          </w:tcPr>
          <w:p w:rsidR="00091824" w:rsidRDefault="007111CD">
            <w:pPr>
              <w:jc w:val="right"/>
            </w:pPr>
            <w:r>
              <w:rPr>
                <w:color w:val="000000"/>
                <w:sz w:val="24"/>
              </w:rPr>
              <w:t>147,559,806.22</w:t>
            </w:r>
          </w:p>
        </w:tc>
        <w:tc>
          <w:tcPr>
            <w:tcW w:w="0" w:type="auto"/>
            <w:vAlign w:val="center"/>
          </w:tcPr>
          <w:p w:rsidR="00091824" w:rsidRDefault="007111CD">
            <w:pPr>
              <w:jc w:val="right"/>
            </w:pPr>
            <w:r>
              <w:rPr>
                <w:color w:val="000000"/>
                <w:sz w:val="24"/>
              </w:rPr>
              <w:t>3.85</w:t>
            </w:r>
          </w:p>
        </w:tc>
      </w:tr>
      <w:tr w:rsidR="00091824">
        <w:trPr>
          <w:jc w:val="center"/>
        </w:trPr>
        <w:tc>
          <w:tcPr>
            <w:tcW w:w="0" w:type="auto"/>
            <w:vAlign w:val="center"/>
          </w:tcPr>
          <w:p w:rsidR="00091824" w:rsidRDefault="007111CD">
            <w:pPr>
              <w:jc w:val="center"/>
            </w:pPr>
            <w:r>
              <w:rPr>
                <w:color w:val="000000"/>
                <w:sz w:val="24"/>
              </w:rPr>
              <w:t>6</w:t>
            </w:r>
          </w:p>
        </w:tc>
        <w:tc>
          <w:tcPr>
            <w:tcW w:w="0" w:type="auto"/>
            <w:vAlign w:val="center"/>
          </w:tcPr>
          <w:p w:rsidR="00091824" w:rsidRDefault="007111CD">
            <w:pPr>
              <w:jc w:val="center"/>
            </w:pPr>
            <w:r>
              <w:rPr>
                <w:color w:val="000000"/>
                <w:sz w:val="24"/>
              </w:rPr>
              <w:t>011801689</w:t>
            </w:r>
          </w:p>
        </w:tc>
        <w:tc>
          <w:tcPr>
            <w:tcW w:w="0" w:type="auto"/>
            <w:vAlign w:val="center"/>
          </w:tcPr>
          <w:p w:rsidR="00091824" w:rsidRDefault="007111CD">
            <w:pPr>
              <w:jc w:val="center"/>
            </w:pPr>
            <w:r>
              <w:rPr>
                <w:color w:val="000000"/>
                <w:sz w:val="24"/>
              </w:rPr>
              <w:t>18</w:t>
            </w:r>
            <w:r>
              <w:rPr>
                <w:color w:val="000000"/>
                <w:sz w:val="24"/>
              </w:rPr>
              <w:t>津渤海</w:t>
            </w:r>
            <w:r>
              <w:rPr>
                <w:color w:val="000000"/>
                <w:sz w:val="24"/>
              </w:rPr>
              <w:t>SCP006</w:t>
            </w:r>
          </w:p>
        </w:tc>
        <w:tc>
          <w:tcPr>
            <w:tcW w:w="0" w:type="auto"/>
            <w:vAlign w:val="center"/>
          </w:tcPr>
          <w:p w:rsidR="00091824" w:rsidRDefault="007111CD">
            <w:pPr>
              <w:jc w:val="right"/>
            </w:pPr>
            <w:r>
              <w:rPr>
                <w:color w:val="000000"/>
                <w:sz w:val="24"/>
              </w:rPr>
              <w:t>1,000,000</w:t>
            </w:r>
          </w:p>
        </w:tc>
        <w:tc>
          <w:tcPr>
            <w:tcW w:w="0" w:type="auto"/>
            <w:vAlign w:val="center"/>
          </w:tcPr>
          <w:p w:rsidR="00091824" w:rsidRDefault="007111CD">
            <w:pPr>
              <w:jc w:val="right"/>
            </w:pPr>
            <w:r>
              <w:rPr>
                <w:color w:val="000000"/>
                <w:sz w:val="24"/>
              </w:rPr>
              <w:t>100,000,123.49</w:t>
            </w:r>
          </w:p>
        </w:tc>
        <w:tc>
          <w:tcPr>
            <w:tcW w:w="0" w:type="auto"/>
            <w:vAlign w:val="center"/>
          </w:tcPr>
          <w:p w:rsidR="00091824" w:rsidRDefault="007111CD">
            <w:pPr>
              <w:jc w:val="right"/>
            </w:pPr>
            <w:r>
              <w:rPr>
                <w:color w:val="000000"/>
                <w:sz w:val="24"/>
              </w:rPr>
              <w:t>2.61</w:t>
            </w:r>
          </w:p>
        </w:tc>
      </w:tr>
      <w:tr w:rsidR="00091824">
        <w:trPr>
          <w:jc w:val="center"/>
        </w:trPr>
        <w:tc>
          <w:tcPr>
            <w:tcW w:w="0" w:type="auto"/>
            <w:vAlign w:val="center"/>
          </w:tcPr>
          <w:p w:rsidR="00091824" w:rsidRDefault="007111CD">
            <w:pPr>
              <w:jc w:val="center"/>
            </w:pPr>
            <w:r>
              <w:rPr>
                <w:color w:val="000000"/>
                <w:sz w:val="24"/>
              </w:rPr>
              <w:t>7</w:t>
            </w:r>
          </w:p>
        </w:tc>
        <w:tc>
          <w:tcPr>
            <w:tcW w:w="0" w:type="auto"/>
            <w:vAlign w:val="center"/>
          </w:tcPr>
          <w:p w:rsidR="00091824" w:rsidRDefault="007111CD">
            <w:pPr>
              <w:jc w:val="center"/>
            </w:pPr>
            <w:r>
              <w:rPr>
                <w:color w:val="000000"/>
                <w:sz w:val="24"/>
              </w:rPr>
              <w:t>111898001</w:t>
            </w:r>
          </w:p>
        </w:tc>
        <w:tc>
          <w:tcPr>
            <w:tcW w:w="0" w:type="auto"/>
            <w:vAlign w:val="center"/>
          </w:tcPr>
          <w:p w:rsidR="00091824" w:rsidRDefault="007111CD">
            <w:pPr>
              <w:jc w:val="center"/>
            </w:pPr>
            <w:r>
              <w:rPr>
                <w:color w:val="000000"/>
                <w:sz w:val="24"/>
              </w:rPr>
              <w:t>18</w:t>
            </w:r>
            <w:r>
              <w:rPr>
                <w:color w:val="000000"/>
                <w:sz w:val="24"/>
              </w:rPr>
              <w:t>成都农商银行</w:t>
            </w:r>
            <w:r>
              <w:rPr>
                <w:color w:val="000000"/>
                <w:sz w:val="24"/>
              </w:rPr>
              <w:t>CD003</w:t>
            </w:r>
          </w:p>
        </w:tc>
        <w:tc>
          <w:tcPr>
            <w:tcW w:w="0" w:type="auto"/>
            <w:vAlign w:val="center"/>
          </w:tcPr>
          <w:p w:rsidR="00091824" w:rsidRDefault="007111CD">
            <w:pPr>
              <w:jc w:val="right"/>
            </w:pPr>
            <w:r>
              <w:rPr>
                <w:color w:val="000000"/>
                <w:sz w:val="24"/>
              </w:rPr>
              <w:t>1,000,000</w:t>
            </w:r>
          </w:p>
        </w:tc>
        <w:tc>
          <w:tcPr>
            <w:tcW w:w="0" w:type="auto"/>
            <w:vAlign w:val="center"/>
          </w:tcPr>
          <w:p w:rsidR="00091824" w:rsidRDefault="007111CD">
            <w:pPr>
              <w:jc w:val="right"/>
            </w:pPr>
            <w:r>
              <w:rPr>
                <w:color w:val="000000"/>
                <w:sz w:val="24"/>
              </w:rPr>
              <w:t>99,287,692.13</w:t>
            </w:r>
          </w:p>
        </w:tc>
        <w:tc>
          <w:tcPr>
            <w:tcW w:w="0" w:type="auto"/>
            <w:vAlign w:val="center"/>
          </w:tcPr>
          <w:p w:rsidR="00091824" w:rsidRDefault="007111CD">
            <w:pPr>
              <w:jc w:val="right"/>
            </w:pPr>
            <w:r>
              <w:rPr>
                <w:color w:val="000000"/>
                <w:sz w:val="24"/>
              </w:rPr>
              <w:t>2.59</w:t>
            </w:r>
          </w:p>
        </w:tc>
      </w:tr>
      <w:tr w:rsidR="00091824">
        <w:trPr>
          <w:jc w:val="center"/>
        </w:trPr>
        <w:tc>
          <w:tcPr>
            <w:tcW w:w="0" w:type="auto"/>
            <w:vAlign w:val="center"/>
          </w:tcPr>
          <w:p w:rsidR="00091824" w:rsidRDefault="007111CD">
            <w:pPr>
              <w:jc w:val="center"/>
            </w:pPr>
            <w:r>
              <w:rPr>
                <w:color w:val="000000"/>
                <w:sz w:val="24"/>
              </w:rPr>
              <w:t>8</w:t>
            </w:r>
          </w:p>
        </w:tc>
        <w:tc>
          <w:tcPr>
            <w:tcW w:w="0" w:type="auto"/>
            <w:vAlign w:val="center"/>
          </w:tcPr>
          <w:p w:rsidR="00091824" w:rsidRDefault="007111CD">
            <w:pPr>
              <w:jc w:val="center"/>
            </w:pPr>
            <w:r>
              <w:rPr>
                <w:color w:val="000000"/>
                <w:sz w:val="24"/>
              </w:rPr>
              <w:t>111819224</w:t>
            </w:r>
          </w:p>
        </w:tc>
        <w:tc>
          <w:tcPr>
            <w:tcW w:w="0" w:type="auto"/>
            <w:vAlign w:val="center"/>
          </w:tcPr>
          <w:p w:rsidR="00091824" w:rsidRDefault="007111CD">
            <w:pPr>
              <w:jc w:val="center"/>
            </w:pPr>
            <w:r>
              <w:rPr>
                <w:color w:val="000000"/>
                <w:sz w:val="24"/>
              </w:rPr>
              <w:t>18</w:t>
            </w:r>
            <w:r>
              <w:rPr>
                <w:color w:val="000000"/>
                <w:sz w:val="24"/>
              </w:rPr>
              <w:t>恒丰银行</w:t>
            </w:r>
            <w:r>
              <w:rPr>
                <w:color w:val="000000"/>
                <w:sz w:val="24"/>
              </w:rPr>
              <w:t>CD224</w:t>
            </w:r>
          </w:p>
        </w:tc>
        <w:tc>
          <w:tcPr>
            <w:tcW w:w="0" w:type="auto"/>
            <w:vAlign w:val="center"/>
          </w:tcPr>
          <w:p w:rsidR="00091824" w:rsidRDefault="007111CD">
            <w:pPr>
              <w:jc w:val="right"/>
            </w:pPr>
            <w:r>
              <w:rPr>
                <w:color w:val="000000"/>
                <w:sz w:val="24"/>
              </w:rPr>
              <w:t>1,000,000</w:t>
            </w:r>
          </w:p>
        </w:tc>
        <w:tc>
          <w:tcPr>
            <w:tcW w:w="0" w:type="auto"/>
            <w:vAlign w:val="center"/>
          </w:tcPr>
          <w:p w:rsidR="00091824" w:rsidRDefault="007111CD">
            <w:pPr>
              <w:jc w:val="right"/>
            </w:pPr>
            <w:r>
              <w:rPr>
                <w:color w:val="000000"/>
                <w:sz w:val="24"/>
              </w:rPr>
              <w:t>99,275,455.56</w:t>
            </w:r>
          </w:p>
        </w:tc>
        <w:tc>
          <w:tcPr>
            <w:tcW w:w="0" w:type="auto"/>
            <w:vAlign w:val="center"/>
          </w:tcPr>
          <w:p w:rsidR="00091824" w:rsidRDefault="007111CD">
            <w:pPr>
              <w:jc w:val="right"/>
            </w:pPr>
            <w:r>
              <w:rPr>
                <w:color w:val="000000"/>
                <w:sz w:val="24"/>
              </w:rPr>
              <w:t>2.59</w:t>
            </w:r>
          </w:p>
        </w:tc>
      </w:tr>
      <w:tr w:rsidR="00091824">
        <w:trPr>
          <w:jc w:val="center"/>
        </w:trPr>
        <w:tc>
          <w:tcPr>
            <w:tcW w:w="0" w:type="auto"/>
            <w:vAlign w:val="center"/>
          </w:tcPr>
          <w:p w:rsidR="00091824" w:rsidRDefault="007111CD">
            <w:pPr>
              <w:jc w:val="center"/>
            </w:pPr>
            <w:r>
              <w:rPr>
                <w:color w:val="000000"/>
                <w:sz w:val="24"/>
              </w:rPr>
              <w:t>9</w:t>
            </w:r>
          </w:p>
        </w:tc>
        <w:tc>
          <w:tcPr>
            <w:tcW w:w="0" w:type="auto"/>
            <w:vAlign w:val="center"/>
          </w:tcPr>
          <w:p w:rsidR="00091824" w:rsidRDefault="007111CD">
            <w:pPr>
              <w:jc w:val="center"/>
            </w:pPr>
            <w:r>
              <w:rPr>
                <w:color w:val="000000"/>
                <w:sz w:val="24"/>
              </w:rPr>
              <w:t>111898148</w:t>
            </w:r>
          </w:p>
        </w:tc>
        <w:tc>
          <w:tcPr>
            <w:tcW w:w="0" w:type="auto"/>
            <w:vAlign w:val="center"/>
          </w:tcPr>
          <w:p w:rsidR="00091824" w:rsidRDefault="007111CD">
            <w:pPr>
              <w:jc w:val="center"/>
            </w:pPr>
            <w:r>
              <w:rPr>
                <w:color w:val="000000"/>
                <w:sz w:val="24"/>
              </w:rPr>
              <w:t>18</w:t>
            </w:r>
            <w:r>
              <w:rPr>
                <w:color w:val="000000"/>
                <w:sz w:val="24"/>
              </w:rPr>
              <w:t>厦门国际银行</w:t>
            </w:r>
            <w:r>
              <w:rPr>
                <w:color w:val="000000"/>
                <w:sz w:val="24"/>
              </w:rPr>
              <w:t>CD109</w:t>
            </w:r>
          </w:p>
        </w:tc>
        <w:tc>
          <w:tcPr>
            <w:tcW w:w="0" w:type="auto"/>
            <w:vAlign w:val="center"/>
          </w:tcPr>
          <w:p w:rsidR="00091824" w:rsidRDefault="007111CD">
            <w:pPr>
              <w:jc w:val="right"/>
            </w:pPr>
            <w:r>
              <w:rPr>
                <w:color w:val="000000"/>
                <w:sz w:val="24"/>
              </w:rPr>
              <w:t>1,000,000</w:t>
            </w:r>
          </w:p>
        </w:tc>
        <w:tc>
          <w:tcPr>
            <w:tcW w:w="0" w:type="auto"/>
            <w:vAlign w:val="center"/>
          </w:tcPr>
          <w:p w:rsidR="00091824" w:rsidRDefault="007111CD">
            <w:pPr>
              <w:jc w:val="right"/>
            </w:pPr>
            <w:r>
              <w:rPr>
                <w:color w:val="000000"/>
                <w:sz w:val="24"/>
              </w:rPr>
              <w:t>99,275,455.56</w:t>
            </w:r>
          </w:p>
        </w:tc>
        <w:tc>
          <w:tcPr>
            <w:tcW w:w="0" w:type="auto"/>
            <w:vAlign w:val="center"/>
          </w:tcPr>
          <w:p w:rsidR="00091824" w:rsidRDefault="007111CD">
            <w:pPr>
              <w:jc w:val="right"/>
            </w:pPr>
            <w:r>
              <w:rPr>
                <w:color w:val="000000"/>
                <w:sz w:val="24"/>
              </w:rPr>
              <w:t>2.59</w:t>
            </w:r>
          </w:p>
        </w:tc>
      </w:tr>
      <w:tr w:rsidR="00091824">
        <w:trPr>
          <w:jc w:val="center"/>
        </w:trPr>
        <w:tc>
          <w:tcPr>
            <w:tcW w:w="0" w:type="auto"/>
            <w:vAlign w:val="center"/>
          </w:tcPr>
          <w:p w:rsidR="00091824" w:rsidRDefault="007111CD">
            <w:pPr>
              <w:jc w:val="center"/>
            </w:pPr>
            <w:r>
              <w:rPr>
                <w:color w:val="000000"/>
                <w:sz w:val="24"/>
              </w:rPr>
              <w:lastRenderedPageBreak/>
              <w:t>10</w:t>
            </w:r>
          </w:p>
        </w:tc>
        <w:tc>
          <w:tcPr>
            <w:tcW w:w="0" w:type="auto"/>
            <w:vAlign w:val="center"/>
          </w:tcPr>
          <w:p w:rsidR="00091824" w:rsidRDefault="007111CD">
            <w:pPr>
              <w:jc w:val="center"/>
            </w:pPr>
            <w:r>
              <w:rPr>
                <w:color w:val="000000"/>
                <w:sz w:val="24"/>
              </w:rPr>
              <w:t>111892536</w:t>
            </w:r>
          </w:p>
        </w:tc>
        <w:tc>
          <w:tcPr>
            <w:tcW w:w="0" w:type="auto"/>
            <w:vAlign w:val="center"/>
          </w:tcPr>
          <w:p w:rsidR="00091824" w:rsidRDefault="007111CD">
            <w:pPr>
              <w:jc w:val="center"/>
            </w:pPr>
            <w:r>
              <w:rPr>
                <w:color w:val="000000"/>
                <w:sz w:val="24"/>
              </w:rPr>
              <w:t>18</w:t>
            </w:r>
            <w:r>
              <w:rPr>
                <w:color w:val="000000"/>
                <w:sz w:val="24"/>
              </w:rPr>
              <w:t>贵阳银行</w:t>
            </w:r>
            <w:r>
              <w:rPr>
                <w:color w:val="000000"/>
                <w:sz w:val="24"/>
              </w:rPr>
              <w:t>CD046</w:t>
            </w:r>
          </w:p>
        </w:tc>
        <w:tc>
          <w:tcPr>
            <w:tcW w:w="0" w:type="auto"/>
            <w:vAlign w:val="center"/>
          </w:tcPr>
          <w:p w:rsidR="00091824" w:rsidRDefault="007111CD">
            <w:pPr>
              <w:jc w:val="right"/>
            </w:pPr>
            <w:r>
              <w:rPr>
                <w:color w:val="000000"/>
                <w:sz w:val="24"/>
              </w:rPr>
              <w:t>1,000,000</w:t>
            </w:r>
          </w:p>
        </w:tc>
        <w:tc>
          <w:tcPr>
            <w:tcW w:w="0" w:type="auto"/>
            <w:vAlign w:val="center"/>
          </w:tcPr>
          <w:p w:rsidR="00091824" w:rsidRDefault="007111CD">
            <w:pPr>
              <w:jc w:val="right"/>
            </w:pPr>
            <w:r>
              <w:rPr>
                <w:color w:val="000000"/>
                <w:sz w:val="24"/>
              </w:rPr>
              <w:t>99,215,422.96</w:t>
            </w:r>
          </w:p>
        </w:tc>
        <w:tc>
          <w:tcPr>
            <w:tcW w:w="0" w:type="auto"/>
            <w:vAlign w:val="center"/>
          </w:tcPr>
          <w:p w:rsidR="00091824" w:rsidRDefault="007111CD">
            <w:pPr>
              <w:jc w:val="right"/>
            </w:pPr>
            <w:r>
              <w:rPr>
                <w:color w:val="000000"/>
                <w:sz w:val="24"/>
              </w:rPr>
              <w:t>2.59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20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0.3578%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0.1148%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0.2324%</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27,906.03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8,876,665.14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204,368,737.54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213,273,308.71</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2,995,788,827.31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407,800,174.24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17,127,719,907.40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3,922,541.15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16,697,785,404.35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11,203.64</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3,425,723,330.36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411,711,511.75</w:t>
            </w:r>
          </w:p>
        </w:tc>
      </w:tr>
    </w:tbl>
    <w:p w:rsidR="00091824" w:rsidRDefault="007111C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091824">
        <w:trPr>
          <w:jc w:val="center"/>
        </w:trPr>
        <w:tc>
          <w:tcPr>
            <w:tcW w:w="1454" w:type="dxa"/>
            <w:vAlign w:val="center"/>
          </w:tcPr>
          <w:p w:rsidR="00091824" w:rsidRDefault="007111CD">
            <w:pPr>
              <w:jc w:val="center"/>
            </w:pPr>
            <w:r>
              <w:rPr>
                <w:color w:val="000000"/>
                <w:sz w:val="24"/>
              </w:rPr>
              <w:t>-</w:t>
            </w:r>
          </w:p>
        </w:tc>
        <w:tc>
          <w:tcPr>
            <w:tcW w:w="1678" w:type="dxa"/>
            <w:vAlign w:val="center"/>
          </w:tcPr>
          <w:p w:rsidR="00091824" w:rsidRDefault="007111CD">
            <w:pPr>
              <w:jc w:val="center"/>
            </w:pPr>
            <w:r>
              <w:rPr>
                <w:color w:val="000000"/>
                <w:sz w:val="24"/>
              </w:rPr>
              <w:t>E</w:t>
            </w:r>
            <w:r>
              <w:rPr>
                <w:color w:val="000000"/>
                <w:sz w:val="24"/>
              </w:rPr>
              <w:t>类份额红利再投</w:t>
            </w:r>
          </w:p>
        </w:tc>
        <w:tc>
          <w:tcPr>
            <w:tcW w:w="1249" w:type="dxa"/>
            <w:vAlign w:val="center"/>
          </w:tcPr>
          <w:p w:rsidR="00091824" w:rsidRDefault="007111CD">
            <w:pPr>
              <w:jc w:val="center"/>
            </w:pPr>
            <w:r>
              <w:rPr>
                <w:color w:val="000000"/>
                <w:sz w:val="24"/>
              </w:rPr>
              <w:t>-</w:t>
            </w:r>
          </w:p>
        </w:tc>
        <w:tc>
          <w:tcPr>
            <w:tcW w:w="1544" w:type="dxa"/>
            <w:vAlign w:val="center"/>
          </w:tcPr>
          <w:p w:rsidR="00091824" w:rsidRDefault="007111CD">
            <w:pPr>
              <w:jc w:val="right"/>
            </w:pPr>
            <w:r>
              <w:rPr>
                <w:color w:val="000000"/>
                <w:sz w:val="24"/>
              </w:rPr>
              <w:t>2,416.30</w:t>
            </w:r>
          </w:p>
        </w:tc>
        <w:tc>
          <w:tcPr>
            <w:tcW w:w="1670" w:type="dxa"/>
            <w:vAlign w:val="center"/>
          </w:tcPr>
          <w:p w:rsidR="00091824" w:rsidRDefault="007111CD">
            <w:pPr>
              <w:jc w:val="right"/>
            </w:pPr>
            <w:r>
              <w:rPr>
                <w:color w:val="000000"/>
                <w:sz w:val="24"/>
              </w:rPr>
              <w:t>2,416.30</w:t>
            </w:r>
          </w:p>
        </w:tc>
        <w:tc>
          <w:tcPr>
            <w:tcW w:w="1273" w:type="dxa"/>
            <w:vAlign w:val="center"/>
          </w:tcPr>
          <w:p w:rsidR="00091824" w:rsidRDefault="007111CD">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2,416.30</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2,416.30</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091824" w:rsidRDefault="007111C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258,876.13</w:t>
      </w:r>
      <w:r>
        <w:rPr>
          <w:color w:val="000000"/>
          <w:sz w:val="24"/>
        </w:rPr>
        <w:t>份，占本基金期末</w:t>
      </w:r>
      <w:r>
        <w:rPr>
          <w:color w:val="000000"/>
          <w:sz w:val="24"/>
        </w:rPr>
        <w:t>E</w:t>
      </w:r>
      <w:r>
        <w:rPr>
          <w:color w:val="000000"/>
          <w:sz w:val="24"/>
        </w:rPr>
        <w:t>类基金总份额的</w:t>
      </w:r>
      <w:r>
        <w:rPr>
          <w:color w:val="000000"/>
          <w:sz w:val="24"/>
        </w:rPr>
        <w:t>0.06%</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lastRenderedPageBreak/>
        <w:t xml:space="preserve">    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091824" w:rsidRDefault="007111CD">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091824" w:rsidRDefault="007111CD">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091824" w:rsidRDefault="007111CD">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091824" w:rsidRDefault="007111CD">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091824" w:rsidRDefault="007111CD">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091824" w:rsidRDefault="007111CD">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91824" w:rsidRDefault="007111CD">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091824" w:rsidRDefault="007111C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6A1" w:rsidRDefault="005266A1">
      <w:r>
        <w:separator/>
      </w:r>
    </w:p>
  </w:endnote>
  <w:endnote w:type="continuationSeparator" w:id="0">
    <w:p w:rsidR="005266A1" w:rsidRDefault="0052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DE07DA">
      <w:rPr>
        <w:noProof/>
        <w:kern w:val="0"/>
        <w:szCs w:val="21"/>
      </w:rPr>
      <w:t>3</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DE07DA">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6A1" w:rsidRDefault="005266A1">
      <w:r>
        <w:separator/>
      </w:r>
    </w:p>
  </w:footnote>
  <w:footnote w:type="continuationSeparator" w:id="0">
    <w:p w:rsidR="005266A1" w:rsidRDefault="0052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交银施罗德现金宝货币市场基金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9182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266A1"/>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11CD"/>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07DA"/>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2759357-EF4D-4EFD-965C-B9125AB9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46C2A4-AD0B-42CC-BA6C-85ECF33C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1252</Words>
  <Characters>7142</Characters>
  <Application>Microsoft Office Word</Application>
  <DocSecurity>0</DocSecurity>
  <Lines>59</Lines>
  <Paragraphs>16</Paragraphs>
  <ScaleCrop>false</ScaleCrop>
  <Company>jysld</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317</cp:revision>
  <cp:lastPrinted>2009-01-22T10:11:00Z</cp:lastPrinted>
  <dcterms:created xsi:type="dcterms:W3CDTF">2012-11-21T05:49:00Z</dcterms:created>
  <dcterms:modified xsi:type="dcterms:W3CDTF">2018-10-22T08:24:00Z</dcterms:modified>
</cp:coreProperties>
</file>