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交银施罗德新成长混合型证券投资基金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基金托管人招商银行股份有限公司根据本基金合同规定，于2018年10月25日复核了本报告中的财务指标、净值表现和投资组合报告等内容，保证复核内容不存在虚假记载、误导性陈述或者重大遗漏。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2014年5月9日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1,625,898,620.95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xml:space="preserve">深入挖掘经济转型背景下的投资机会，自下而上精选个股，力争实现基金资产的长期稳定增值。 </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75%×富时中国A600成长指数+25%×中证综合债券指数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-151,846,175.66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-119,363,306.71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-0.0748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3,069,506,973.60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1.888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-3.72%</w:t>
            </w:r>
          </w:p>
        </w:tc>
        <w:tc>
          <w:tcPr>
            <w:vAlign w:val="center"/>
          </w:tcPr>
          <w:p>
            <w:pPr>
              <w:jc w:val="center"/>
            </w:pPr>
            <w:r>
              <w:rPr>
                <w:color w:val="000000"/>
                <w:sz w:val="24"/>
                <w:szCs w:val="24"/>
              </w:rPr>
              <w:t>1.58%</w:t>
            </w:r>
          </w:p>
        </w:tc>
        <w:tc>
          <w:tcPr>
            <w:vAlign w:val="center"/>
          </w:tcPr>
          <w:p>
            <w:pPr>
              <w:jc w:val="center"/>
            </w:pPr>
            <w:r>
              <w:rPr>
                <w:color w:val="000000"/>
                <w:sz w:val="24"/>
                <w:szCs w:val="24"/>
              </w:rPr>
              <w:t>-6.28%</w:t>
            </w:r>
          </w:p>
        </w:tc>
        <w:tc>
          <w:tcPr>
            <w:vAlign w:val="center"/>
          </w:tcPr>
          <w:p>
            <w:pPr>
              <w:jc w:val="center"/>
            </w:pPr>
            <w:r>
              <w:rPr>
                <w:color w:val="000000"/>
                <w:sz w:val="24"/>
                <w:szCs w:val="24"/>
              </w:rPr>
              <w:t>1.08%</w:t>
            </w:r>
          </w:p>
        </w:tc>
        <w:tc>
          <w:tcPr>
            <w:vAlign w:val="center"/>
          </w:tcPr>
          <w:p>
            <w:pPr>
              <w:jc w:val="center"/>
            </w:pPr>
            <w:r>
              <w:rPr>
                <w:color w:val="000000"/>
                <w:sz w:val="24"/>
                <w:szCs w:val="24"/>
              </w:rPr>
              <w:t>2.56%</w:t>
            </w:r>
          </w:p>
        </w:tc>
        <w:tc>
          <w:tcPr>
            <w:vAlign w:val="center"/>
          </w:tcPr>
          <w:p>
            <w:pPr>
              <w:jc w:val="center"/>
            </w:pPr>
            <w:r>
              <w:rPr>
                <w:color w:val="000000"/>
                <w:sz w:val="24"/>
                <w:szCs w:val="24"/>
              </w:rPr>
              <w:t>0.50%</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富时中国A600成长指数+25%×中信标普全债指数”变更为“75%×富时中国A600成长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交银施罗德新成长混合型证券投资基金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2014年5月9日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王崇</w:t>
            </w:r>
          </w:p>
        </w:tc>
        <w:tc>
          <w:tcPr>
            <w:vAlign w:val="center"/>
          </w:tcPr>
          <w:p>
            <w:pPr>
              <w:jc w:val="center"/>
            </w:pPr>
            <w:r>
              <w:rPr>
                <w:color w:val="000000"/>
                <w:sz w:val="24"/>
                <w:szCs w:val="24"/>
              </w:rPr>
              <w:t>交银精选混合、交银新成长混合的基金经理</w:t>
            </w:r>
          </w:p>
        </w:tc>
        <w:tc>
          <w:tcPr>
            <w:vAlign w:val="center"/>
          </w:tcPr>
          <w:p>
            <w:pPr>
              <w:jc w:val="center"/>
            </w:pPr>
            <w:r>
              <w:rPr>
                <w:color w:val="000000"/>
                <w:sz w:val="24"/>
                <w:szCs w:val="24"/>
              </w:rPr>
              <w:t>2014-10-22</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王崇先生，北京大学金融学博士。2008年加入交银施罗德基金管理有限公司，历任行业分析师、高级研究员。</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三季度国内经济增速继续放缓，中美贸易冲突有所升级，人民币对美元贬值压力加大。A股市场风险偏好继续下降，总体延续下跌趋势。资金追求确定性溢价，涌向A50为首的金融和消费。风格层面上证50反弹，中小板、创业板下跌。行业层面表现为银行和食品饮料等传统行业涨幅居前，电子、医药、传媒、计算机等新兴成长行业跌幅居前。</w:t>
      </w:r>
    </w:p>
    <w:p>
      <w:pPr>
        <w:spacing w:before="29" w:line="288" w:lineRule="auto"/>
        <w:ind w:firstLine="480" w:firstLineChars="200"/>
        <w:rPr>
          <w:color w:val="000000"/>
          <w:sz w:val="24"/>
          <w:szCs w:val="24"/>
        </w:rPr>
      </w:pPr>
      <w:r>
        <w:rPr>
          <w:color w:val="000000"/>
          <w:sz w:val="24"/>
          <w:szCs w:val="24"/>
        </w:rPr>
        <w:t>三季度本基金采取稳健投资策略，在二季度末大幅提高仓位后，三季度随着反弹降到中性略偏高仓位。行业配置增配医疗服务和房地产，减持传媒、电子、通信。三季度本基金净值出现一定幅度下跌，但跑赢业绩比较基准。</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四季度，我们对A股市场持谨慎乐观态度。一方面，我们时刻关注经济下行趋势对相关上市公司盈利的负面影响，尤其是地产产业链和中美贸易战受害的科技硬件。另一方面，货币政策已经出现微调，流动性最紧的时刻可能已经过去，A股行业除了大消费以外，各子行业接近历史底部区域估值水平，我们相信价值只会迟来而不会缺席，权益类资产配置时机或已逐步到来。四季度本基金将维持中性略高仓位，看好医疗服务、房地产、传媒、公共事业、计算机等成长领域投资机会，精选优质成长公司股票，恪守安全边际，努力为基金持有人带来稳定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2,505,766,964.67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76.94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2,505,766,964.67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76.94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151,224,800.00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151,224,800.00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540,248,808.39</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16.59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59,658,383.21</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1.83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3,256,898,956.27</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22,510,878.60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559,129,757.94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18.22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133,130,896.70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185,652,848.68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164,897,249.40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543,815,889.24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113,436,266.11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138,242,751.36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476,099,738.94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168,850,687.70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2,505,766,964.67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81.63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23,539,668</w:t>
            </w:r>
          </w:p>
        </w:tc>
        <w:tc>
          <w:tcPr>
            <w:vAlign w:val="center"/>
          </w:tcPr>
          <w:p>
            <w:pPr>
              <w:jc w:val="right"/>
            </w:pPr>
            <w:r>
              <w:rPr>
                <w:color w:val="000000"/>
                <w:sz w:val="24"/>
                <w:szCs w:val="24"/>
              </w:rPr>
              <w:t>286,477,759.56</w:t>
            </w:r>
          </w:p>
        </w:tc>
        <w:tc>
          <w:tcPr>
            <w:vAlign w:val="center"/>
          </w:tcPr>
          <w:p>
            <w:pPr>
              <w:jc w:val="right"/>
            </w:pPr>
            <w:r>
              <w:rPr>
                <w:color w:val="000000"/>
                <w:sz w:val="24"/>
                <w:szCs w:val="24"/>
              </w:rPr>
              <w:t>9.33</w:t>
            </w:r>
          </w:p>
        </w:tc>
      </w:tr>
      <w:tr>
        <w:tc>
          <w:tcPr>
            <w:vAlign w:val="center"/>
          </w:tcPr>
          <w:p>
            <w:pPr>
              <w:jc w:val="center"/>
            </w:pPr>
            <w:r>
              <w:rPr>
                <w:color w:val="000000"/>
                <w:sz w:val="24"/>
                <w:szCs w:val="24"/>
              </w:rPr>
              <w:t>2</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15,847,223</w:t>
            </w:r>
          </w:p>
        </w:tc>
        <w:tc>
          <w:tcPr>
            <w:vAlign w:val="center"/>
          </w:tcPr>
          <w:p>
            <w:pPr>
              <w:jc w:val="right"/>
            </w:pPr>
            <w:r>
              <w:rPr>
                <w:color w:val="000000"/>
                <w:sz w:val="24"/>
                <w:szCs w:val="24"/>
              </w:rPr>
              <w:t>273,047,652.29</w:t>
            </w:r>
          </w:p>
        </w:tc>
        <w:tc>
          <w:tcPr>
            <w:vAlign w:val="center"/>
          </w:tcPr>
          <w:p>
            <w:pPr>
              <w:jc w:val="right"/>
            </w:pPr>
            <w:r>
              <w:rPr>
                <w:color w:val="000000"/>
                <w:sz w:val="24"/>
                <w:szCs w:val="24"/>
              </w:rPr>
              <w:t>8.90</w:t>
            </w:r>
          </w:p>
        </w:tc>
      </w:tr>
      <w:tr>
        <w:tc>
          <w:tcPr>
            <w:vAlign w:val="center"/>
          </w:tcPr>
          <w:p>
            <w:pPr>
              <w:jc w:val="center"/>
            </w:pPr>
            <w:r>
              <w:rPr>
                <w:color w:val="000000"/>
                <w:sz w:val="24"/>
                <w:szCs w:val="24"/>
              </w:rPr>
              <w:t>3</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8,095,376</w:t>
            </w:r>
          </w:p>
        </w:tc>
        <w:tc>
          <w:tcPr>
            <w:vAlign w:val="center"/>
          </w:tcPr>
          <w:p>
            <w:pPr>
              <w:jc w:val="right"/>
            </w:pPr>
            <w:r>
              <w:rPr>
                <w:color w:val="000000"/>
                <w:sz w:val="24"/>
                <w:szCs w:val="24"/>
              </w:rPr>
              <w:t>180,769,746.08</w:t>
            </w:r>
          </w:p>
        </w:tc>
        <w:tc>
          <w:tcPr>
            <w:vAlign w:val="center"/>
          </w:tcPr>
          <w:p>
            <w:pPr>
              <w:jc w:val="right"/>
            </w:pPr>
            <w:r>
              <w:rPr>
                <w:color w:val="000000"/>
                <w:sz w:val="24"/>
                <w:szCs w:val="24"/>
              </w:rPr>
              <w:t>5.89</w:t>
            </w:r>
          </w:p>
        </w:tc>
      </w:tr>
      <w:tr>
        <w:tc>
          <w:tcPr>
            <w:vAlign w:val="center"/>
          </w:tcPr>
          <w:p>
            <w:pPr>
              <w:jc w:val="center"/>
            </w:pPr>
            <w:r>
              <w:rPr>
                <w:color w:val="000000"/>
                <w:sz w:val="24"/>
                <w:szCs w:val="24"/>
              </w:rPr>
              <w:t>4</w:t>
            </w:r>
          </w:p>
        </w:tc>
        <w:tc>
          <w:tcPr>
            <w:vAlign w:val="center"/>
          </w:tcPr>
          <w:p>
            <w:pPr>
              <w:jc w:val="center"/>
            </w:pPr>
            <w:r>
              <w:rPr>
                <w:color w:val="000000"/>
                <w:sz w:val="24"/>
                <w:szCs w:val="24"/>
              </w:rPr>
              <w:t>000681</w:t>
            </w:r>
          </w:p>
        </w:tc>
        <w:tc>
          <w:tcPr>
            <w:vAlign w:val="center"/>
          </w:tcPr>
          <w:p>
            <w:pPr>
              <w:jc w:val="center"/>
            </w:pPr>
            <w:r>
              <w:rPr>
                <w:color w:val="000000"/>
                <w:sz w:val="24"/>
                <w:szCs w:val="24"/>
              </w:rPr>
              <w:t>视觉中国</w:t>
            </w:r>
          </w:p>
        </w:tc>
        <w:tc>
          <w:tcPr>
            <w:vAlign w:val="center"/>
          </w:tcPr>
          <w:p>
            <w:pPr>
              <w:jc w:val="right"/>
            </w:pPr>
            <w:r>
              <w:rPr>
                <w:color w:val="000000"/>
                <w:sz w:val="24"/>
                <w:szCs w:val="24"/>
              </w:rPr>
              <w:t>6,258,365</w:t>
            </w:r>
          </w:p>
        </w:tc>
        <w:tc>
          <w:tcPr>
            <w:vAlign w:val="center"/>
          </w:tcPr>
          <w:p>
            <w:pPr>
              <w:jc w:val="right"/>
            </w:pPr>
            <w:r>
              <w:rPr>
                <w:color w:val="000000"/>
                <w:sz w:val="24"/>
                <w:szCs w:val="24"/>
              </w:rPr>
              <w:t>168,850,687.70</w:t>
            </w:r>
          </w:p>
        </w:tc>
        <w:tc>
          <w:tcPr>
            <w:vAlign w:val="center"/>
          </w:tcPr>
          <w:p>
            <w:pPr>
              <w:jc w:val="right"/>
            </w:pPr>
            <w:r>
              <w:rPr>
                <w:color w:val="000000"/>
                <w:sz w:val="24"/>
                <w:szCs w:val="24"/>
              </w:rPr>
              <w:t>5.50</w:t>
            </w:r>
          </w:p>
        </w:tc>
      </w:tr>
      <w:tr>
        <w:tc>
          <w:tcPr>
            <w:vAlign w:val="center"/>
          </w:tcPr>
          <w:p>
            <w:pPr>
              <w:jc w:val="center"/>
            </w:pPr>
            <w:r>
              <w:rPr>
                <w:color w:val="000000"/>
                <w:sz w:val="24"/>
                <w:szCs w:val="24"/>
              </w:rPr>
              <w:t>5</w:t>
            </w:r>
          </w:p>
        </w:tc>
        <w:tc>
          <w:tcPr>
            <w:vAlign w:val="center"/>
          </w:tcPr>
          <w:p>
            <w:pPr>
              <w:jc w:val="center"/>
            </w:pPr>
            <w:r>
              <w:rPr>
                <w:color w:val="000000"/>
                <w:sz w:val="24"/>
                <w:szCs w:val="24"/>
              </w:rPr>
              <w:t>601009</w:t>
            </w:r>
          </w:p>
        </w:tc>
        <w:tc>
          <w:tcPr>
            <w:vAlign w:val="center"/>
          </w:tcPr>
          <w:p>
            <w:pPr>
              <w:jc w:val="center"/>
            </w:pPr>
            <w:r>
              <w:rPr>
                <w:color w:val="000000"/>
                <w:sz w:val="24"/>
                <w:szCs w:val="24"/>
              </w:rPr>
              <w:t>南京银行</w:t>
            </w:r>
          </w:p>
        </w:tc>
        <w:tc>
          <w:tcPr>
            <w:vAlign w:val="center"/>
          </w:tcPr>
          <w:p>
            <w:pPr>
              <w:jc w:val="right"/>
            </w:pPr>
            <w:r>
              <w:rPr>
                <w:color w:val="000000"/>
                <w:sz w:val="24"/>
                <w:szCs w:val="24"/>
              </w:rPr>
              <w:t>21,555,196</w:t>
            </w:r>
          </w:p>
        </w:tc>
        <w:tc>
          <w:tcPr>
            <w:vAlign w:val="center"/>
          </w:tcPr>
          <w:p>
            <w:pPr>
              <w:jc w:val="right"/>
            </w:pPr>
            <w:r>
              <w:rPr>
                <w:color w:val="000000"/>
                <w:sz w:val="24"/>
                <w:szCs w:val="24"/>
              </w:rPr>
              <w:t>164,897,249.40</w:t>
            </w:r>
          </w:p>
        </w:tc>
        <w:tc>
          <w:tcPr>
            <w:vAlign w:val="center"/>
          </w:tcPr>
          <w:p>
            <w:pPr>
              <w:jc w:val="right"/>
            </w:pPr>
            <w:r>
              <w:rPr>
                <w:color w:val="000000"/>
                <w:sz w:val="24"/>
                <w:szCs w:val="24"/>
              </w:rPr>
              <w:t>5.37</w:t>
            </w:r>
          </w:p>
        </w:tc>
      </w:tr>
      <w:tr>
        <w:tc>
          <w:tcPr>
            <w:vAlign w:val="center"/>
          </w:tcPr>
          <w:p>
            <w:pPr>
              <w:jc w:val="center"/>
            </w:pPr>
            <w:r>
              <w:rPr>
                <w:color w:val="000000"/>
                <w:sz w:val="24"/>
                <w:szCs w:val="24"/>
              </w:rPr>
              <w:t>6</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2,860,891</w:t>
            </w:r>
          </w:p>
        </w:tc>
        <w:tc>
          <w:tcPr>
            <w:vAlign w:val="center"/>
          </w:tcPr>
          <w:p>
            <w:pPr>
              <w:jc w:val="right"/>
            </w:pPr>
            <w:r>
              <w:rPr>
                <w:color w:val="000000"/>
                <w:sz w:val="24"/>
                <w:szCs w:val="24"/>
              </w:rPr>
              <w:t>153,687,064.52</w:t>
            </w:r>
          </w:p>
        </w:tc>
        <w:tc>
          <w:tcPr>
            <w:vAlign w:val="center"/>
          </w:tcPr>
          <w:p>
            <w:pPr>
              <w:jc w:val="right"/>
            </w:pPr>
            <w:r>
              <w:rPr>
                <w:color w:val="000000"/>
                <w:sz w:val="24"/>
                <w:szCs w:val="24"/>
              </w:rPr>
              <w:t>5.01</w:t>
            </w:r>
          </w:p>
        </w:tc>
      </w:tr>
      <w:tr>
        <w:tc>
          <w:tcPr>
            <w:vAlign w:val="center"/>
          </w:tcPr>
          <w:p>
            <w:pPr>
              <w:jc w:val="center"/>
            </w:pPr>
            <w:r>
              <w:rPr>
                <w:color w:val="000000"/>
                <w:sz w:val="24"/>
                <w:szCs w:val="24"/>
              </w:rPr>
              <w:t>7</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5,496,242</w:t>
            </w:r>
          </w:p>
        </w:tc>
        <w:tc>
          <w:tcPr>
            <w:vAlign w:val="center"/>
          </w:tcPr>
          <w:p>
            <w:pPr>
              <w:jc w:val="right"/>
            </w:pPr>
            <w:r>
              <w:rPr>
                <w:color w:val="000000"/>
                <w:sz w:val="24"/>
                <w:szCs w:val="24"/>
              </w:rPr>
              <w:t>143,946,577.98</w:t>
            </w:r>
          </w:p>
        </w:tc>
        <w:tc>
          <w:tcPr>
            <w:vAlign w:val="center"/>
          </w:tcPr>
          <w:p>
            <w:pPr>
              <w:jc w:val="right"/>
            </w:pPr>
            <w:r>
              <w:rPr>
                <w:color w:val="000000"/>
                <w:sz w:val="24"/>
                <w:szCs w:val="24"/>
              </w:rPr>
              <w:t>4.69</w:t>
            </w:r>
          </w:p>
        </w:tc>
      </w:tr>
      <w:tr>
        <w:tc>
          <w:tcPr>
            <w:vAlign w:val="center"/>
          </w:tcPr>
          <w:p>
            <w:pPr>
              <w:jc w:val="center"/>
            </w:pPr>
            <w:r>
              <w:rPr>
                <w:color w:val="000000"/>
                <w:sz w:val="24"/>
                <w:szCs w:val="24"/>
              </w:rPr>
              <w:t>8</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23,671,704</w:t>
            </w:r>
          </w:p>
        </w:tc>
        <w:tc>
          <w:tcPr>
            <w:vAlign w:val="center"/>
          </w:tcPr>
          <w:p>
            <w:pPr>
              <w:jc w:val="right"/>
            </w:pPr>
            <w:r>
              <w:rPr>
                <w:color w:val="000000"/>
                <w:sz w:val="24"/>
                <w:szCs w:val="24"/>
              </w:rPr>
              <w:t>138,242,751.36</w:t>
            </w:r>
          </w:p>
        </w:tc>
        <w:tc>
          <w:tcPr>
            <w:vAlign w:val="center"/>
          </w:tcPr>
          <w:p>
            <w:pPr>
              <w:jc w:val="right"/>
            </w:pPr>
            <w:r>
              <w:rPr>
                <w:color w:val="000000"/>
                <w:sz w:val="24"/>
                <w:szCs w:val="24"/>
              </w:rPr>
              <w:t>4.50</w:t>
            </w:r>
          </w:p>
        </w:tc>
      </w:tr>
      <w:tr>
        <w:tc>
          <w:tcPr>
            <w:vAlign w:val="center"/>
          </w:tcPr>
          <w:p>
            <w:pPr>
              <w:jc w:val="center"/>
            </w:pPr>
            <w:r>
              <w:rPr>
                <w:color w:val="000000"/>
                <w:sz w:val="24"/>
                <w:szCs w:val="24"/>
              </w:rPr>
              <w:t>9</w:t>
            </w:r>
          </w:p>
        </w:tc>
        <w:tc>
          <w:tcPr>
            <w:vAlign w:val="center"/>
          </w:tcPr>
          <w:p>
            <w:pPr>
              <w:jc w:val="center"/>
            </w:pPr>
            <w:r>
              <w:rPr>
                <w:color w:val="000000"/>
                <w:sz w:val="24"/>
                <w:szCs w:val="24"/>
              </w:rPr>
              <w:t>002456</w:t>
            </w:r>
          </w:p>
        </w:tc>
        <w:tc>
          <w:tcPr>
            <w:vAlign w:val="center"/>
          </w:tcPr>
          <w:p>
            <w:pPr>
              <w:jc w:val="center"/>
            </w:pPr>
            <w:r>
              <w:rPr>
                <w:color w:val="000000"/>
                <w:sz w:val="24"/>
                <w:szCs w:val="24"/>
              </w:rPr>
              <w:t>欧菲科技</w:t>
            </w:r>
          </w:p>
        </w:tc>
        <w:tc>
          <w:tcPr>
            <w:vAlign w:val="center"/>
          </w:tcPr>
          <w:p>
            <w:pPr>
              <w:jc w:val="right"/>
            </w:pPr>
            <w:r>
              <w:rPr>
                <w:color w:val="000000"/>
                <w:sz w:val="24"/>
                <w:szCs w:val="24"/>
              </w:rPr>
              <w:t>8,521,902</w:t>
            </w:r>
          </w:p>
        </w:tc>
        <w:tc>
          <w:tcPr>
            <w:vAlign w:val="center"/>
          </w:tcPr>
          <w:p>
            <w:pPr>
              <w:jc w:val="right"/>
            </w:pPr>
            <w:r>
              <w:rPr>
                <w:color w:val="000000"/>
                <w:sz w:val="24"/>
                <w:szCs w:val="24"/>
              </w:rPr>
              <w:t>114,960,457.98</w:t>
            </w:r>
          </w:p>
        </w:tc>
        <w:tc>
          <w:tcPr>
            <w:vAlign w:val="center"/>
          </w:tcPr>
          <w:p>
            <w:pPr>
              <w:jc w:val="right"/>
            </w:pPr>
            <w:r>
              <w:rPr>
                <w:color w:val="000000"/>
                <w:sz w:val="24"/>
                <w:szCs w:val="24"/>
              </w:rPr>
              <w:t>3.75</w:t>
            </w:r>
          </w:p>
        </w:tc>
      </w:tr>
      <w:tr>
        <w:tc>
          <w:tcPr>
            <w:vAlign w:val="center"/>
          </w:tcPr>
          <w:p>
            <w:pPr>
              <w:jc w:val="center"/>
            </w:pPr>
            <w:r>
              <w:rPr>
                <w:color w:val="000000"/>
                <w:sz w:val="24"/>
                <w:szCs w:val="24"/>
              </w:rPr>
              <w:t>10</w:t>
            </w:r>
          </w:p>
        </w:tc>
        <w:tc>
          <w:tcPr>
            <w:vAlign w:val="center"/>
          </w:tcPr>
          <w:p>
            <w:pPr>
              <w:jc w:val="center"/>
            </w:pPr>
            <w:r>
              <w:rPr>
                <w:color w:val="000000"/>
                <w:sz w:val="24"/>
                <w:szCs w:val="24"/>
              </w:rPr>
              <w:t>002027</w:t>
            </w:r>
          </w:p>
        </w:tc>
        <w:tc>
          <w:tcPr>
            <w:vAlign w:val="center"/>
          </w:tcPr>
          <w:p>
            <w:pPr>
              <w:jc w:val="center"/>
            </w:pPr>
            <w:r>
              <w:rPr>
                <w:color w:val="000000"/>
                <w:sz w:val="24"/>
                <w:szCs w:val="24"/>
              </w:rPr>
              <w:t>分众传媒</w:t>
            </w:r>
          </w:p>
        </w:tc>
        <w:tc>
          <w:tcPr>
            <w:vAlign w:val="center"/>
          </w:tcPr>
          <w:p>
            <w:pPr>
              <w:jc w:val="right"/>
            </w:pPr>
            <w:r>
              <w:rPr>
                <w:color w:val="000000"/>
                <w:sz w:val="24"/>
                <w:szCs w:val="24"/>
              </w:rPr>
              <w:t>13,329,761</w:t>
            </w:r>
          </w:p>
        </w:tc>
        <w:tc>
          <w:tcPr>
            <w:vAlign w:val="center"/>
          </w:tcPr>
          <w:p>
            <w:pPr>
              <w:jc w:val="right"/>
            </w:pPr>
            <w:r>
              <w:rPr>
                <w:color w:val="000000"/>
                <w:sz w:val="24"/>
                <w:szCs w:val="24"/>
              </w:rPr>
              <w:t>113,436,266.11</w:t>
            </w:r>
          </w:p>
        </w:tc>
        <w:tc>
          <w:tcPr>
            <w:vAlign w:val="center"/>
          </w:tcPr>
          <w:p>
            <w:pPr>
              <w:jc w:val="right"/>
            </w:pPr>
            <w:r>
              <w:rPr>
                <w:color w:val="000000"/>
                <w:sz w:val="24"/>
                <w:szCs w:val="24"/>
              </w:rPr>
              <w:t>3.70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151,224,800.00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151,224,800.00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4.93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189937</w:t>
            </w:r>
          </w:p>
        </w:tc>
        <w:tc>
          <w:tcPr>
            <w:vAlign w:val="center"/>
          </w:tcPr>
          <w:p>
            <w:pPr>
              <w:jc w:val="center"/>
            </w:pPr>
            <w:r>
              <w:rPr>
                <w:color w:val="000000"/>
                <w:sz w:val="24"/>
                <w:szCs w:val="24"/>
              </w:rPr>
              <w:t>18贴现国债37</w:t>
            </w:r>
          </w:p>
        </w:tc>
        <w:tc>
          <w:tcPr>
            <w:vAlign w:val="center"/>
          </w:tcPr>
          <w:p>
            <w:pPr>
              <w:jc w:val="right"/>
            </w:pPr>
            <w:r>
              <w:rPr>
                <w:color w:val="000000"/>
                <w:sz w:val="24"/>
                <w:szCs w:val="24"/>
              </w:rPr>
              <w:t>1,520,000</w:t>
            </w:r>
          </w:p>
        </w:tc>
        <w:tc>
          <w:tcPr>
            <w:vAlign w:val="center"/>
          </w:tcPr>
          <w:p>
            <w:pPr>
              <w:jc w:val="right"/>
            </w:pPr>
            <w:r>
              <w:rPr>
                <w:color w:val="000000"/>
                <w:sz w:val="24"/>
                <w:szCs w:val="24"/>
              </w:rPr>
              <w:t>151,224,800.00</w:t>
            </w:r>
          </w:p>
        </w:tc>
        <w:tc>
          <w:tcPr>
            <w:vAlign w:val="center"/>
          </w:tcPr>
          <w:p>
            <w:pPr>
              <w:jc w:val="right"/>
            </w:pPr>
            <w:r>
              <w:rPr>
                <w:color w:val="000000"/>
                <w:sz w:val="24"/>
                <w:szCs w:val="24"/>
              </w:rPr>
              <w:t>4.93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5.11.1报告期内本基金投资的前十名证券的发行主体除南京银行（证券代码：601009）外，未出现被监管部门立案调查，或在报告编制日前一年内受到公开谴责、处罚的情形。</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601009）于2018年1月30日公告，公司收到中国银行业监督管理委员会江苏监管局行政处罚决定书（苏银监罚决字【2018】1号,对镇江分行违规办理票据业务违反审慎经营原则的行为罚款3230万元人民币。</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1,165,375.84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56,793,876.68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518,029.81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1,181,100.88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59,658,383.21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1,480,931,366.25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321,593,587.14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176,626,332.44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1,625,898,620.95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1、中国证监会准予交银施罗德新成长股票型证券投资基金募集注册的文件；</w:t>
      </w:r>
    </w:p>
    <w:p>
      <w:pPr>
        <w:spacing w:before="29" w:line="288" w:lineRule="auto"/>
        <w:ind w:firstLine="480" w:firstLineChars="200"/>
        <w:rPr>
          <w:color w:val="000000"/>
          <w:sz w:val="24"/>
          <w:szCs w:val="24"/>
        </w:rPr>
      </w:pPr>
      <w:r>
        <w:rPr>
          <w:color w:val="000000"/>
          <w:sz w:val="24"/>
          <w:szCs w:val="24"/>
        </w:rPr>
        <w:t xml:space="preserve">2、《交银施罗德新成长混合型证券投资基金基金合同》；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3、《交银施罗德新成长混合型证券投资基金招募说明书》； </w:t>
      </w:r>
    </w:p>
    <w:p>
      <w:pPr>
        <w:spacing w:before="29" w:line="288" w:lineRule="auto"/>
        <w:ind w:firstLine="480" w:firstLineChars="200"/>
        <w:rPr>
          <w:color w:val="000000"/>
          <w:sz w:val="24"/>
          <w:szCs w:val="24"/>
        </w:rPr>
      </w:pPr>
      <w:r>
        <w:rPr>
          <w:color w:val="000000"/>
          <w:sz w:val="24"/>
          <w:szCs w:val="24"/>
        </w:rPr>
        <w:t>4、《交银施罗德新成长混合型证券投资基金托管协议》；</w:t>
      </w:r>
    </w:p>
    <w:p>
      <w:pPr>
        <w:spacing w:before="29" w:line="288" w:lineRule="auto"/>
        <w:ind w:firstLine="480" w:firstLineChars="200"/>
        <w:rPr>
          <w:color w:val="000000"/>
          <w:sz w:val="24"/>
          <w:szCs w:val="24"/>
        </w:rPr>
      </w:pPr>
      <w:r>
        <w:rPr>
          <w:color w:val="000000"/>
          <w:sz w:val="24"/>
          <w:szCs w:val="24"/>
        </w:rPr>
        <w:t xml:space="preserve">5、关于申请募集注册交银施罗德新成长股票型证券投资基金的法律意见书； </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8、报告期内交银施罗德新成长混合型证券投资基金在指定报刊上各项公告的原稿。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交银施罗德新成长混合型证券投资基金2018年第3季度报告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