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1AC" w:rsidRPr="00414345" w:rsidRDefault="004061AC"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交银施罗德增强收益债券型证券投资基金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9"/>
          <w:headerReference w:type="default" r:id="rId10"/>
          <w:footerReference w:type="even" r:id="rId11"/>
          <w:footerReference w:type="default" r:id="rId12"/>
          <w:headerReference w:type="first" r:id="rId13"/>
          <w:footerReference w:type="first" r:id="rId14"/>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F1082" w:rsidRDefault="00C11F9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F1082" w:rsidRDefault="00C11F9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F1082" w:rsidRDefault="00C11F9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F1082" w:rsidRDefault="00C11F9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F1082" w:rsidRDefault="00C11F9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交银增强收益债券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30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24,084,441.56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在严格控制投资风险的基础上，力争实现基金资产的长期稳定增值。</w:t>
            </w:r>
            <w:bookmarkStart w:id="0" w:name="_GoBack"/>
            <w:bookmarkEnd w:id="0"/>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90%×</w:t>
            </w:r>
            <w:r w:rsidRPr="00414345">
              <w:rPr>
                <w:color w:val="000000"/>
                <w:kern w:val="0"/>
                <w:sz w:val="24"/>
                <w:szCs w:val="24"/>
              </w:rPr>
              <w:t>中证综合债券指数收益率</w:t>
            </w:r>
            <w:r w:rsidRPr="00414345">
              <w:rPr>
                <w:color w:val="000000"/>
                <w:kern w:val="0"/>
                <w:sz w:val="24"/>
                <w:szCs w:val="24"/>
              </w:rPr>
              <w:t>+10%×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w:t>
            </w:r>
            <w:r w:rsidRPr="00414345">
              <w:rPr>
                <w:color w:val="000000"/>
                <w:kern w:val="0"/>
                <w:sz w:val="24"/>
                <w:szCs w:val="24"/>
              </w:rPr>
              <w:lastRenderedPageBreak/>
              <w:t>益和风险高于货币市场基金，低于混合型基金和股票型基金，属于证券投资基金中中等风险品种。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10F8C" w:rsidRPr="00414345" w:rsidTr="00010F8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10F8C" w:rsidRPr="00414345" w:rsidTr="00010F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153,665.19</w:t>
            </w:r>
          </w:p>
        </w:tc>
      </w:tr>
      <w:tr w:rsidR="00010F8C" w:rsidRPr="00414345" w:rsidTr="00010F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-69,662.20</w:t>
            </w:r>
          </w:p>
        </w:tc>
      </w:tr>
      <w:tr w:rsidR="00010F8C" w:rsidRPr="00414345" w:rsidTr="00010F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-0.0029</w:t>
            </w:r>
          </w:p>
        </w:tc>
      </w:tr>
      <w:tr w:rsidR="00010F8C" w:rsidRPr="00414345" w:rsidTr="00010F8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29,896,621.81</w:t>
            </w:r>
          </w:p>
        </w:tc>
      </w:tr>
      <w:tr w:rsidR="00010F8C" w:rsidRPr="00414345" w:rsidTr="00010F8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1.241</w:t>
            </w:r>
          </w:p>
        </w:tc>
      </w:tr>
    </w:tbl>
    <w:p w:rsidR="002F1082" w:rsidRDefault="00C11F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F1082">
        <w:trPr>
          <w:jc w:val="center"/>
        </w:trPr>
        <w:tc>
          <w:tcPr>
            <w:tcW w:w="1701" w:type="dxa"/>
            <w:vAlign w:val="center"/>
          </w:tcPr>
          <w:p w:rsidR="002F1082" w:rsidRDefault="00C11F92">
            <w:pPr>
              <w:jc w:val="left"/>
            </w:pPr>
            <w:r>
              <w:rPr>
                <w:color w:val="000000"/>
                <w:sz w:val="24"/>
                <w:szCs w:val="24"/>
              </w:rPr>
              <w:t>过去三个月</w:t>
            </w:r>
          </w:p>
        </w:tc>
        <w:tc>
          <w:tcPr>
            <w:tcW w:w="1045" w:type="dxa"/>
            <w:vAlign w:val="center"/>
          </w:tcPr>
          <w:p w:rsidR="002F1082" w:rsidRDefault="00C11F92">
            <w:pPr>
              <w:jc w:val="center"/>
            </w:pPr>
            <w:r>
              <w:rPr>
                <w:color w:val="000000"/>
                <w:sz w:val="24"/>
                <w:szCs w:val="24"/>
              </w:rPr>
              <w:t>-0.32%</w:t>
            </w:r>
          </w:p>
        </w:tc>
        <w:tc>
          <w:tcPr>
            <w:tcW w:w="1344" w:type="dxa"/>
            <w:vAlign w:val="center"/>
          </w:tcPr>
          <w:p w:rsidR="002F1082" w:rsidRDefault="00C11F92">
            <w:pPr>
              <w:jc w:val="center"/>
            </w:pPr>
            <w:r>
              <w:rPr>
                <w:color w:val="000000"/>
                <w:sz w:val="24"/>
                <w:szCs w:val="24"/>
              </w:rPr>
              <w:t>0.27%</w:t>
            </w:r>
          </w:p>
        </w:tc>
        <w:tc>
          <w:tcPr>
            <w:tcW w:w="1194" w:type="dxa"/>
            <w:vAlign w:val="center"/>
          </w:tcPr>
          <w:p w:rsidR="002F1082" w:rsidRDefault="00C11F92">
            <w:pPr>
              <w:jc w:val="center"/>
            </w:pPr>
            <w:r>
              <w:rPr>
                <w:color w:val="000000"/>
                <w:sz w:val="24"/>
                <w:szCs w:val="24"/>
              </w:rPr>
              <w:t>1.03%</w:t>
            </w:r>
          </w:p>
        </w:tc>
        <w:tc>
          <w:tcPr>
            <w:tcW w:w="1492" w:type="dxa"/>
            <w:vAlign w:val="center"/>
          </w:tcPr>
          <w:p w:rsidR="002F1082" w:rsidRDefault="00C11F92">
            <w:pPr>
              <w:jc w:val="center"/>
            </w:pPr>
            <w:r>
              <w:rPr>
                <w:color w:val="000000"/>
                <w:sz w:val="24"/>
                <w:szCs w:val="24"/>
              </w:rPr>
              <w:t>0.13%</w:t>
            </w:r>
          </w:p>
        </w:tc>
        <w:tc>
          <w:tcPr>
            <w:tcW w:w="1194" w:type="dxa"/>
            <w:vAlign w:val="center"/>
          </w:tcPr>
          <w:p w:rsidR="002F1082" w:rsidRDefault="00C11F92">
            <w:pPr>
              <w:jc w:val="center"/>
            </w:pPr>
            <w:r>
              <w:rPr>
                <w:color w:val="000000"/>
                <w:sz w:val="24"/>
                <w:szCs w:val="24"/>
              </w:rPr>
              <w:t>-1.35%</w:t>
            </w:r>
          </w:p>
        </w:tc>
        <w:tc>
          <w:tcPr>
            <w:tcW w:w="898" w:type="dxa"/>
            <w:vAlign w:val="center"/>
          </w:tcPr>
          <w:p w:rsidR="002F1082" w:rsidRDefault="00C11F92">
            <w:pPr>
              <w:jc w:val="center"/>
            </w:pPr>
            <w:r>
              <w:rPr>
                <w:color w:val="000000"/>
                <w:sz w:val="24"/>
                <w:szCs w:val="24"/>
              </w:rPr>
              <w:t>0.14%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交银施罗德增强收益债券型证券投资基金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5"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注：本基金由交银施罗德荣泰保本混合型证券投资基金转型而来。基金转型日为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日。本基金的投资转型期为交银施罗德荣泰保本混合型证券投资基金保本周期到期期间截止日的次日（即</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30</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F1082">
        <w:trPr>
          <w:jc w:val="center"/>
        </w:trPr>
        <w:tc>
          <w:tcPr>
            <w:tcW w:w="846" w:type="dxa"/>
            <w:vAlign w:val="center"/>
          </w:tcPr>
          <w:p w:rsidR="002F1082" w:rsidRDefault="00C11F92">
            <w:pPr>
              <w:jc w:val="center"/>
            </w:pPr>
            <w:r>
              <w:rPr>
                <w:color w:val="000000"/>
                <w:sz w:val="24"/>
                <w:szCs w:val="24"/>
              </w:rPr>
              <w:t>于海颖</w:t>
            </w:r>
          </w:p>
        </w:tc>
        <w:tc>
          <w:tcPr>
            <w:tcW w:w="845" w:type="dxa"/>
            <w:vAlign w:val="center"/>
          </w:tcPr>
          <w:p w:rsidR="002F1082" w:rsidRDefault="00C11F92">
            <w:pPr>
              <w:jc w:val="center"/>
            </w:pPr>
            <w:r>
              <w:rPr>
                <w:color w:val="000000"/>
                <w:sz w:val="24"/>
                <w:szCs w:val="24"/>
              </w:rPr>
              <w:t>交银增利债券、交银纯债债券发起、交银荣祥保本混合、交银定期支付</w:t>
            </w:r>
            <w:r>
              <w:rPr>
                <w:color w:val="000000"/>
                <w:sz w:val="24"/>
                <w:szCs w:val="24"/>
              </w:rPr>
              <w:lastRenderedPageBreak/>
              <w:t>月月丰债券、交银增强收益债券、交银强化回报债券、交银丰盈收益债券、交银荣鑫保本混合、交银增利增强债券、交银丰晟收益债券、交银裕如纯债债券的基金经理，公司固定收益（公募）投资总监</w:t>
            </w:r>
          </w:p>
        </w:tc>
        <w:tc>
          <w:tcPr>
            <w:tcW w:w="1549" w:type="dxa"/>
            <w:vAlign w:val="center"/>
          </w:tcPr>
          <w:p w:rsidR="002F1082" w:rsidRDefault="00C11F92">
            <w:pPr>
              <w:jc w:val="center"/>
            </w:pPr>
            <w:r>
              <w:rPr>
                <w:color w:val="000000"/>
                <w:sz w:val="24"/>
                <w:szCs w:val="24"/>
              </w:rPr>
              <w:lastRenderedPageBreak/>
              <w:t>2017-06-10</w:t>
            </w:r>
          </w:p>
        </w:tc>
        <w:tc>
          <w:tcPr>
            <w:tcW w:w="1548" w:type="dxa"/>
            <w:vAlign w:val="center"/>
          </w:tcPr>
          <w:p w:rsidR="002F1082" w:rsidRDefault="00C11F92">
            <w:pPr>
              <w:jc w:val="center"/>
            </w:pPr>
            <w:r>
              <w:rPr>
                <w:color w:val="000000"/>
                <w:sz w:val="24"/>
                <w:szCs w:val="24"/>
              </w:rPr>
              <w:t>-</w:t>
            </w:r>
          </w:p>
        </w:tc>
        <w:tc>
          <w:tcPr>
            <w:tcW w:w="1407" w:type="dxa"/>
            <w:vAlign w:val="center"/>
          </w:tcPr>
          <w:p w:rsidR="002F1082" w:rsidRDefault="00C11F92">
            <w:pPr>
              <w:jc w:val="center"/>
            </w:pPr>
            <w:r>
              <w:rPr>
                <w:color w:val="000000"/>
                <w:sz w:val="24"/>
                <w:szCs w:val="24"/>
              </w:rPr>
              <w:t>12</w:t>
            </w:r>
            <w:r>
              <w:rPr>
                <w:color w:val="000000"/>
                <w:sz w:val="24"/>
                <w:szCs w:val="24"/>
              </w:rPr>
              <w:t>年</w:t>
            </w:r>
          </w:p>
        </w:tc>
        <w:tc>
          <w:tcPr>
            <w:tcW w:w="2673" w:type="dxa"/>
            <w:vAlign w:val="center"/>
          </w:tcPr>
          <w:p w:rsidR="002F1082" w:rsidRDefault="00C11F92">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w:t>
            </w:r>
            <w:r>
              <w:rPr>
                <w:color w:val="000000"/>
                <w:sz w:val="24"/>
                <w:szCs w:val="24"/>
              </w:rPr>
              <w:lastRenderedPageBreak/>
              <w:t>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p>
        </w:tc>
      </w:tr>
      <w:tr w:rsidR="002F1082">
        <w:trPr>
          <w:jc w:val="center"/>
        </w:trPr>
        <w:tc>
          <w:tcPr>
            <w:tcW w:w="846" w:type="dxa"/>
            <w:vAlign w:val="center"/>
          </w:tcPr>
          <w:p w:rsidR="002F1082" w:rsidRDefault="00C11F92">
            <w:pPr>
              <w:jc w:val="center"/>
            </w:pPr>
            <w:r>
              <w:rPr>
                <w:color w:val="000000"/>
                <w:sz w:val="24"/>
                <w:szCs w:val="24"/>
              </w:rPr>
              <w:lastRenderedPageBreak/>
              <w:t>凌超</w:t>
            </w:r>
          </w:p>
        </w:tc>
        <w:tc>
          <w:tcPr>
            <w:tcW w:w="845" w:type="dxa"/>
            <w:vAlign w:val="center"/>
          </w:tcPr>
          <w:p w:rsidR="002F1082" w:rsidRDefault="00C11F92">
            <w:pPr>
              <w:jc w:val="center"/>
            </w:pPr>
            <w:r>
              <w:rPr>
                <w:color w:val="000000"/>
                <w:sz w:val="24"/>
                <w:szCs w:val="24"/>
              </w:rPr>
              <w:t>交银定期支付月月</w:t>
            </w:r>
            <w:r>
              <w:rPr>
                <w:color w:val="000000"/>
                <w:sz w:val="24"/>
                <w:szCs w:val="24"/>
              </w:rPr>
              <w:lastRenderedPageBreak/>
              <w:t>丰债券、交银增强收益债券、交银强化回报债券、交银增利增强债券的基金经理，公司固定收益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2F1082" w:rsidRDefault="00C11F92">
            <w:pPr>
              <w:jc w:val="center"/>
            </w:pPr>
            <w:r>
              <w:rPr>
                <w:color w:val="000000"/>
                <w:sz w:val="24"/>
                <w:szCs w:val="24"/>
              </w:rPr>
              <w:lastRenderedPageBreak/>
              <w:t>2018-02-13</w:t>
            </w:r>
          </w:p>
        </w:tc>
        <w:tc>
          <w:tcPr>
            <w:tcW w:w="1548" w:type="dxa"/>
            <w:vAlign w:val="center"/>
          </w:tcPr>
          <w:p w:rsidR="002F1082" w:rsidRDefault="00C11F92">
            <w:pPr>
              <w:jc w:val="center"/>
            </w:pPr>
            <w:r>
              <w:rPr>
                <w:color w:val="000000"/>
                <w:sz w:val="24"/>
                <w:szCs w:val="24"/>
              </w:rPr>
              <w:t>-</w:t>
            </w:r>
          </w:p>
        </w:tc>
        <w:tc>
          <w:tcPr>
            <w:tcW w:w="1407" w:type="dxa"/>
            <w:vAlign w:val="center"/>
          </w:tcPr>
          <w:p w:rsidR="002F1082" w:rsidRDefault="00C11F92">
            <w:pPr>
              <w:jc w:val="center"/>
            </w:pPr>
            <w:r>
              <w:rPr>
                <w:color w:val="000000"/>
                <w:sz w:val="24"/>
                <w:szCs w:val="24"/>
              </w:rPr>
              <w:t>12</w:t>
            </w:r>
            <w:r>
              <w:rPr>
                <w:color w:val="000000"/>
                <w:sz w:val="24"/>
                <w:szCs w:val="24"/>
              </w:rPr>
              <w:t>年</w:t>
            </w:r>
          </w:p>
        </w:tc>
        <w:tc>
          <w:tcPr>
            <w:tcW w:w="2673" w:type="dxa"/>
            <w:vAlign w:val="center"/>
          </w:tcPr>
          <w:p w:rsidR="002F1082" w:rsidRDefault="00C11F92">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lastRenderedPageBreak/>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年任天弘基金管理有限公司固定收益部副总经理、基金经理。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日任光大保德信货币市场基金基金经理，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日任海富通一年定期开放债券型证券投资基金基金经理，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日任海富通纯债债券型证券投资基金基金经理，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日任天弘弘利债券型证券投资基金基金经理，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日任天弘裕利灵活配置混合型证券投资基金基金经理，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日任天弘债券型发起式证券投资基金基金经理。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F1082" w:rsidRDefault="00C11F9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F1082" w:rsidRDefault="00C11F9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F1082" w:rsidRDefault="00C11F9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F1082" w:rsidRDefault="00C11F92">
      <w:pPr>
        <w:spacing w:before="29" w:line="288" w:lineRule="auto"/>
        <w:ind w:firstLineChars="200" w:firstLine="480"/>
        <w:rPr>
          <w:color w:val="000000"/>
          <w:sz w:val="24"/>
          <w:szCs w:val="24"/>
        </w:rPr>
      </w:pPr>
      <w:r>
        <w:rPr>
          <w:color w:val="000000"/>
          <w:sz w:val="24"/>
          <w:szCs w:val="24"/>
        </w:rPr>
        <w:t>2018</w:t>
      </w:r>
      <w:r>
        <w:rPr>
          <w:color w:val="000000"/>
          <w:sz w:val="24"/>
          <w:szCs w:val="24"/>
        </w:rPr>
        <w:t>年三季度利率债收益率呈现震荡后上行的趋势，信用债收益率先下后上，曲线期限利差走扩，信用利差收窄。七月中上旬，债券收益率延续了上半年以来的下行趋势，</w:t>
      </w:r>
      <w:r>
        <w:rPr>
          <w:color w:val="000000"/>
          <w:sz w:val="24"/>
          <w:szCs w:val="24"/>
        </w:rPr>
        <w:t>10</w:t>
      </w:r>
      <w:r>
        <w:rPr>
          <w:color w:val="000000"/>
          <w:sz w:val="24"/>
          <w:szCs w:val="24"/>
        </w:rPr>
        <w:t>年国开收益率最低下行至</w:t>
      </w:r>
      <w:r>
        <w:rPr>
          <w:color w:val="000000"/>
          <w:sz w:val="24"/>
          <w:szCs w:val="24"/>
        </w:rPr>
        <w:t>4.08%</w:t>
      </w:r>
      <w:r>
        <w:rPr>
          <w:color w:val="000000"/>
          <w:sz w:val="24"/>
          <w:szCs w:val="24"/>
        </w:rPr>
        <w:t>，</w:t>
      </w:r>
      <w:r>
        <w:rPr>
          <w:color w:val="000000"/>
          <w:sz w:val="24"/>
          <w:szCs w:val="24"/>
        </w:rPr>
        <w:t>10</w:t>
      </w:r>
      <w:r>
        <w:rPr>
          <w:color w:val="000000"/>
          <w:sz w:val="24"/>
          <w:szCs w:val="24"/>
        </w:rPr>
        <w:t>年国债收益率最低下行至</w:t>
      </w:r>
      <w:r>
        <w:rPr>
          <w:color w:val="000000"/>
          <w:sz w:val="24"/>
          <w:szCs w:val="24"/>
        </w:rPr>
        <w:t>3.44%</w:t>
      </w:r>
      <w:r>
        <w:rPr>
          <w:color w:val="000000"/>
          <w:sz w:val="24"/>
          <w:szCs w:val="24"/>
        </w:rPr>
        <w:t>。七月中下旬以来密集出台了一系列旨在稳增长的政策，随着这一系列政策文件的陆续出台，债市关注的主逻辑从</w:t>
      </w:r>
      <w:r>
        <w:rPr>
          <w:color w:val="000000"/>
          <w:sz w:val="24"/>
          <w:szCs w:val="24"/>
        </w:rPr>
        <w:t>“</w:t>
      </w:r>
      <w:r>
        <w:rPr>
          <w:color w:val="000000"/>
          <w:sz w:val="24"/>
          <w:szCs w:val="24"/>
        </w:rPr>
        <w:t>宽货币紧信用</w:t>
      </w:r>
      <w:r>
        <w:rPr>
          <w:color w:val="000000"/>
          <w:sz w:val="24"/>
          <w:szCs w:val="24"/>
        </w:rPr>
        <w:t>”</w:t>
      </w:r>
      <w:r>
        <w:rPr>
          <w:color w:val="000000"/>
          <w:sz w:val="24"/>
          <w:szCs w:val="24"/>
        </w:rPr>
        <w:t>向</w:t>
      </w:r>
      <w:r>
        <w:rPr>
          <w:color w:val="000000"/>
          <w:sz w:val="24"/>
          <w:szCs w:val="24"/>
        </w:rPr>
        <w:t>“</w:t>
      </w:r>
      <w:r>
        <w:rPr>
          <w:color w:val="000000"/>
          <w:sz w:val="24"/>
          <w:szCs w:val="24"/>
        </w:rPr>
        <w:t>宽货币宽信用</w:t>
      </w:r>
      <w:r>
        <w:rPr>
          <w:color w:val="000000"/>
          <w:sz w:val="24"/>
          <w:szCs w:val="24"/>
        </w:rPr>
        <w:t>”</w:t>
      </w:r>
      <w:r>
        <w:rPr>
          <w:color w:val="000000"/>
          <w:sz w:val="24"/>
          <w:szCs w:val="24"/>
        </w:rPr>
        <w:t>转变，利率债收益率震荡上行，而信用债收益率明显下行，特别是在资金价格宽松的背景下，八月初市场收益率水平到了年内最低水平。而进入九月后，由于非洲猪瘟、房租上涨等一系列因素的影响，市场对</w:t>
      </w:r>
      <w:r>
        <w:rPr>
          <w:color w:val="000000"/>
          <w:sz w:val="24"/>
          <w:szCs w:val="24"/>
        </w:rPr>
        <w:lastRenderedPageBreak/>
        <w:t>于通胀的预期逐渐抬升，经济类滞胀的逻辑不断演绎，同时加上地方债供给放量、央行连续多日暂停公开市场操作等因素的叠加，引起了市场对货币政策收紧以应对美联储加息的担忧，利率债和信用债收益率均继续上行。</w:t>
      </w:r>
    </w:p>
    <w:p w:rsidR="002F1082" w:rsidRDefault="00C11F92">
      <w:pPr>
        <w:spacing w:before="29" w:line="288" w:lineRule="auto"/>
        <w:ind w:firstLineChars="200" w:firstLine="480"/>
        <w:rPr>
          <w:color w:val="000000"/>
          <w:sz w:val="24"/>
          <w:szCs w:val="24"/>
        </w:rPr>
      </w:pPr>
      <w:r>
        <w:rPr>
          <w:color w:val="000000"/>
          <w:sz w:val="24"/>
          <w:szCs w:val="24"/>
        </w:rPr>
        <w:t>权益市场方面，在避险情绪及经济走弱预期影响下，三季度市场表现低迷，上证综指下跌</w:t>
      </w:r>
      <w:r>
        <w:rPr>
          <w:color w:val="000000"/>
          <w:sz w:val="24"/>
          <w:szCs w:val="24"/>
        </w:rPr>
        <w:t>0.92%</w:t>
      </w:r>
      <w:r>
        <w:rPr>
          <w:color w:val="000000"/>
          <w:sz w:val="24"/>
          <w:szCs w:val="24"/>
        </w:rPr>
        <w:t>，创业板指下跌</w:t>
      </w:r>
      <w:r>
        <w:rPr>
          <w:color w:val="000000"/>
          <w:sz w:val="24"/>
          <w:szCs w:val="24"/>
        </w:rPr>
        <w:t>12.16%</w:t>
      </w:r>
      <w:r>
        <w:rPr>
          <w:color w:val="000000"/>
          <w:sz w:val="24"/>
          <w:szCs w:val="24"/>
        </w:rPr>
        <w:t>。行业层面，银行保险作为防御性板块，有较好的相对收益和绝对收益，石化板块受油价景气度影响，表现也较为突出，建筑、军工、钢铁阶段性有较好表现，消费板块受景气影响表现较弱。</w:t>
      </w:r>
    </w:p>
    <w:p w:rsidR="002F1082" w:rsidRDefault="00C11F92">
      <w:pPr>
        <w:spacing w:before="29" w:line="288" w:lineRule="auto"/>
        <w:ind w:firstLineChars="200" w:firstLine="480"/>
        <w:rPr>
          <w:color w:val="000000"/>
          <w:sz w:val="24"/>
          <w:szCs w:val="24"/>
        </w:rPr>
      </w:pPr>
      <w:r>
        <w:rPr>
          <w:color w:val="000000"/>
          <w:sz w:val="24"/>
          <w:szCs w:val="24"/>
        </w:rPr>
        <w:t>本报告期内，基于债券市场震荡判断，组合在债券方面主要通过交易所利率债波段操作增厚收益。股票方面，由于对市场持谨慎观望态度，组合维持低仓位，并择机参与高景气行业的波段机会。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前期社融总额增速的下滑影响已经逐步在中观消费数据得以体现，随着地产销售的走低，叠加中美贸易争端对净出口的负面影响，总需求弱势格局延续。我们维持对债市谨慎乐观的观点，不过也需关注社融表外数据的改善情况，以及油价和食品价格上行对明年通胀的可能冲击。权益市场方面，在未明确市场主线前，以观望为主，谨慎参与市场反弹。</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本基金本报告期内连续六十个工作日以上出现基金资产净值低于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836F6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152,500.00</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0.51</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836F6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152,500.00</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0.51</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836F66">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836F6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24,674,347.20</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81.92</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836F6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24,674,347.20</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81.92</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824" w:type="dxa"/>
            <w:vAlign w:val="center"/>
          </w:tcPr>
          <w:p w:rsidR="00BF0019" w:rsidRPr="007B5F21" w:rsidRDefault="00BF0019" w:rsidP="00836F66">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836F6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836F6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3,500,000.00</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11.62</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836F6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836F66">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722,751.27</w:t>
            </w:r>
          </w:p>
        </w:tc>
        <w:tc>
          <w:tcPr>
            <w:tcW w:w="2801" w:type="dxa"/>
            <w:vAlign w:val="center"/>
          </w:tcPr>
          <w:p w:rsidR="00BF0019" w:rsidRPr="007B5F21" w:rsidRDefault="00BF0019" w:rsidP="00836F66">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2.40</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836F66">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836F6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1,069,113.99</w:t>
            </w:r>
          </w:p>
        </w:tc>
        <w:tc>
          <w:tcPr>
            <w:tcW w:w="2801" w:type="dxa"/>
            <w:vAlign w:val="center"/>
          </w:tcPr>
          <w:p w:rsidR="00BF0019" w:rsidRPr="007B5F21" w:rsidRDefault="00BF0019" w:rsidP="00836F6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3.55</w:t>
            </w:r>
          </w:p>
        </w:tc>
      </w:tr>
      <w:tr w:rsidR="00BF0019" w:rsidRPr="007B5F21" w:rsidTr="00836F66">
        <w:tc>
          <w:tcPr>
            <w:tcW w:w="720" w:type="dxa"/>
            <w:vAlign w:val="center"/>
          </w:tcPr>
          <w:p w:rsidR="00BF0019" w:rsidRPr="007B5F21" w:rsidRDefault="00BF0019" w:rsidP="00836F66">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836F66">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836F6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30,118,712.46</w:t>
            </w:r>
          </w:p>
        </w:tc>
        <w:tc>
          <w:tcPr>
            <w:tcW w:w="2801" w:type="dxa"/>
            <w:vAlign w:val="center"/>
          </w:tcPr>
          <w:p w:rsidR="00BF0019" w:rsidRPr="007B5F21" w:rsidRDefault="00BF0019" w:rsidP="00836F66">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0.51</w:t>
            </w:r>
          </w:p>
        </w:tc>
      </w:tr>
    </w:tbl>
    <w:p w:rsidR="00010F8C" w:rsidRDefault="00010F8C"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F1082">
        <w:trPr>
          <w:jc w:val="center"/>
        </w:trPr>
        <w:tc>
          <w:tcPr>
            <w:tcW w:w="855" w:type="dxa"/>
            <w:vAlign w:val="center"/>
          </w:tcPr>
          <w:p w:rsidR="002F1082" w:rsidRDefault="00C11F92">
            <w:pPr>
              <w:jc w:val="center"/>
            </w:pPr>
            <w:r>
              <w:rPr>
                <w:color w:val="000000"/>
                <w:sz w:val="24"/>
                <w:szCs w:val="24"/>
              </w:rPr>
              <w:t>1</w:t>
            </w:r>
          </w:p>
        </w:tc>
        <w:tc>
          <w:tcPr>
            <w:tcW w:w="1334" w:type="dxa"/>
            <w:vAlign w:val="center"/>
          </w:tcPr>
          <w:p w:rsidR="002F1082" w:rsidRDefault="00C11F92">
            <w:pPr>
              <w:jc w:val="center"/>
            </w:pPr>
            <w:r>
              <w:rPr>
                <w:color w:val="000000"/>
                <w:sz w:val="24"/>
                <w:szCs w:val="24"/>
              </w:rPr>
              <w:t>601229</w:t>
            </w:r>
          </w:p>
        </w:tc>
        <w:tc>
          <w:tcPr>
            <w:tcW w:w="1777" w:type="dxa"/>
            <w:vAlign w:val="center"/>
          </w:tcPr>
          <w:p w:rsidR="002F1082" w:rsidRDefault="00C11F92">
            <w:pPr>
              <w:jc w:val="center"/>
            </w:pPr>
            <w:r>
              <w:rPr>
                <w:color w:val="000000"/>
                <w:sz w:val="24"/>
                <w:szCs w:val="24"/>
              </w:rPr>
              <w:t>上海银行</w:t>
            </w:r>
          </w:p>
        </w:tc>
        <w:tc>
          <w:tcPr>
            <w:tcW w:w="1334" w:type="dxa"/>
            <w:vAlign w:val="center"/>
          </w:tcPr>
          <w:p w:rsidR="002F1082" w:rsidRDefault="00C11F92">
            <w:pPr>
              <w:jc w:val="right"/>
            </w:pPr>
            <w:r>
              <w:rPr>
                <w:color w:val="000000"/>
                <w:sz w:val="24"/>
                <w:szCs w:val="24"/>
              </w:rPr>
              <w:t>12,500</w:t>
            </w:r>
          </w:p>
        </w:tc>
        <w:tc>
          <w:tcPr>
            <w:tcW w:w="1924" w:type="dxa"/>
            <w:vAlign w:val="center"/>
          </w:tcPr>
          <w:p w:rsidR="002F1082" w:rsidRDefault="00C11F92">
            <w:pPr>
              <w:jc w:val="right"/>
            </w:pPr>
            <w:r>
              <w:rPr>
                <w:color w:val="000000"/>
                <w:sz w:val="24"/>
                <w:szCs w:val="24"/>
              </w:rPr>
              <w:t>152,500.00</w:t>
            </w:r>
          </w:p>
        </w:tc>
        <w:tc>
          <w:tcPr>
            <w:tcW w:w="1644" w:type="dxa"/>
            <w:vAlign w:val="center"/>
          </w:tcPr>
          <w:p w:rsidR="002F1082" w:rsidRDefault="00C11F92">
            <w:pPr>
              <w:jc w:val="right"/>
            </w:pPr>
            <w:r>
              <w:rPr>
                <w:color w:val="000000"/>
                <w:sz w:val="24"/>
                <w:szCs w:val="24"/>
              </w:rPr>
              <w:t>0.51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24,674,347.20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82.53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24,674,347.20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82.53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836F66">
        <w:trPr>
          <w:jc w:val="center"/>
        </w:trPr>
        <w:tc>
          <w:tcPr>
            <w:tcW w:w="828" w:type="dxa"/>
            <w:vAlign w:val="center"/>
          </w:tcPr>
          <w:p w:rsidR="00F323FF" w:rsidRPr="007A70C2" w:rsidRDefault="00F323FF" w:rsidP="00836F66">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836F66">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836F66">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836F66">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24,674,347.20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82.53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w:t>
            </w:r>
            <w:r w:rsidRPr="00414345">
              <w:rPr>
                <w:color w:val="000000"/>
                <w:sz w:val="24"/>
                <w:szCs w:val="24"/>
              </w:rPr>
              <w:lastRenderedPageBreak/>
              <w:t>产净值比例</w:t>
            </w:r>
            <w:r w:rsidR="003B3494" w:rsidRPr="00414345">
              <w:rPr>
                <w:color w:val="000000"/>
                <w:sz w:val="24"/>
              </w:rPr>
              <w:t>（％）</w:t>
            </w:r>
          </w:p>
        </w:tc>
      </w:tr>
      <w:tr w:rsidR="002F1082">
        <w:trPr>
          <w:jc w:val="center"/>
        </w:trPr>
        <w:tc>
          <w:tcPr>
            <w:tcW w:w="850" w:type="dxa"/>
            <w:vAlign w:val="center"/>
          </w:tcPr>
          <w:p w:rsidR="002F1082" w:rsidRDefault="00C11F92">
            <w:pPr>
              <w:jc w:val="center"/>
            </w:pPr>
            <w:r>
              <w:rPr>
                <w:color w:val="000000"/>
                <w:sz w:val="24"/>
                <w:szCs w:val="24"/>
              </w:rPr>
              <w:lastRenderedPageBreak/>
              <w:t>1</w:t>
            </w:r>
          </w:p>
        </w:tc>
        <w:tc>
          <w:tcPr>
            <w:tcW w:w="1475" w:type="dxa"/>
            <w:vAlign w:val="center"/>
          </w:tcPr>
          <w:p w:rsidR="002F1082" w:rsidRDefault="00C11F92">
            <w:pPr>
              <w:jc w:val="center"/>
            </w:pPr>
            <w:r>
              <w:rPr>
                <w:color w:val="000000"/>
                <w:sz w:val="24"/>
                <w:szCs w:val="24"/>
              </w:rPr>
              <w:t>018005</w:t>
            </w:r>
          </w:p>
        </w:tc>
        <w:tc>
          <w:tcPr>
            <w:tcW w:w="1769" w:type="dxa"/>
            <w:vAlign w:val="center"/>
          </w:tcPr>
          <w:p w:rsidR="002F1082" w:rsidRDefault="00C11F92">
            <w:pPr>
              <w:jc w:val="center"/>
            </w:pPr>
            <w:r>
              <w:rPr>
                <w:color w:val="000000"/>
                <w:sz w:val="24"/>
                <w:szCs w:val="24"/>
              </w:rPr>
              <w:t>国开</w:t>
            </w:r>
            <w:r>
              <w:rPr>
                <w:color w:val="000000"/>
                <w:sz w:val="24"/>
                <w:szCs w:val="24"/>
              </w:rPr>
              <w:t>1701</w:t>
            </w:r>
          </w:p>
        </w:tc>
        <w:tc>
          <w:tcPr>
            <w:tcW w:w="1387" w:type="dxa"/>
            <w:vAlign w:val="center"/>
          </w:tcPr>
          <w:p w:rsidR="002F1082" w:rsidRDefault="00C11F92">
            <w:pPr>
              <w:jc w:val="right"/>
            </w:pPr>
            <w:r>
              <w:rPr>
                <w:color w:val="000000"/>
                <w:sz w:val="24"/>
                <w:szCs w:val="24"/>
              </w:rPr>
              <w:t>134,460</w:t>
            </w:r>
          </w:p>
        </w:tc>
        <w:tc>
          <w:tcPr>
            <w:tcW w:w="2150" w:type="dxa"/>
            <w:vAlign w:val="center"/>
          </w:tcPr>
          <w:p w:rsidR="002F1082" w:rsidRDefault="00C11F92">
            <w:pPr>
              <w:jc w:val="right"/>
            </w:pPr>
            <w:r>
              <w:rPr>
                <w:color w:val="000000"/>
                <w:sz w:val="24"/>
                <w:szCs w:val="24"/>
              </w:rPr>
              <w:t>13,526,676.00</w:t>
            </w:r>
          </w:p>
        </w:tc>
        <w:tc>
          <w:tcPr>
            <w:tcW w:w="1237" w:type="dxa"/>
            <w:vAlign w:val="center"/>
          </w:tcPr>
          <w:p w:rsidR="002F1082" w:rsidRDefault="00C11F92">
            <w:pPr>
              <w:jc w:val="right"/>
            </w:pPr>
            <w:r>
              <w:rPr>
                <w:color w:val="000000"/>
                <w:sz w:val="24"/>
                <w:szCs w:val="24"/>
              </w:rPr>
              <w:t>45.24</w:t>
            </w:r>
          </w:p>
        </w:tc>
      </w:tr>
      <w:tr w:rsidR="002F1082">
        <w:trPr>
          <w:jc w:val="center"/>
        </w:trPr>
        <w:tc>
          <w:tcPr>
            <w:tcW w:w="850" w:type="dxa"/>
            <w:vAlign w:val="center"/>
          </w:tcPr>
          <w:p w:rsidR="002F1082" w:rsidRDefault="00C11F92">
            <w:pPr>
              <w:jc w:val="center"/>
            </w:pPr>
            <w:r>
              <w:rPr>
                <w:color w:val="000000"/>
                <w:sz w:val="24"/>
                <w:szCs w:val="24"/>
              </w:rPr>
              <w:t>2</w:t>
            </w:r>
          </w:p>
        </w:tc>
        <w:tc>
          <w:tcPr>
            <w:tcW w:w="1475" w:type="dxa"/>
            <w:vAlign w:val="center"/>
          </w:tcPr>
          <w:p w:rsidR="002F1082" w:rsidRDefault="00C11F92">
            <w:pPr>
              <w:jc w:val="center"/>
            </w:pPr>
            <w:r>
              <w:rPr>
                <w:color w:val="000000"/>
                <w:sz w:val="24"/>
                <w:szCs w:val="24"/>
              </w:rPr>
              <w:t>018006</w:t>
            </w:r>
          </w:p>
        </w:tc>
        <w:tc>
          <w:tcPr>
            <w:tcW w:w="1769" w:type="dxa"/>
            <w:vAlign w:val="center"/>
          </w:tcPr>
          <w:p w:rsidR="002F1082" w:rsidRDefault="00C11F92">
            <w:pPr>
              <w:jc w:val="center"/>
            </w:pPr>
            <w:r>
              <w:rPr>
                <w:color w:val="000000"/>
                <w:sz w:val="24"/>
                <w:szCs w:val="24"/>
              </w:rPr>
              <w:t>国开</w:t>
            </w:r>
            <w:r>
              <w:rPr>
                <w:color w:val="000000"/>
                <w:sz w:val="24"/>
                <w:szCs w:val="24"/>
              </w:rPr>
              <w:t>1702</w:t>
            </w:r>
          </w:p>
        </w:tc>
        <w:tc>
          <w:tcPr>
            <w:tcW w:w="1387" w:type="dxa"/>
            <w:vAlign w:val="center"/>
          </w:tcPr>
          <w:p w:rsidR="002F1082" w:rsidRDefault="00C11F92">
            <w:pPr>
              <w:jc w:val="right"/>
            </w:pPr>
            <w:r>
              <w:rPr>
                <w:color w:val="000000"/>
                <w:sz w:val="24"/>
                <w:szCs w:val="24"/>
              </w:rPr>
              <w:t>61,120</w:t>
            </w:r>
          </w:p>
        </w:tc>
        <w:tc>
          <w:tcPr>
            <w:tcW w:w="2150" w:type="dxa"/>
            <w:vAlign w:val="center"/>
          </w:tcPr>
          <w:p w:rsidR="002F1082" w:rsidRDefault="00C11F92">
            <w:pPr>
              <w:jc w:val="right"/>
            </w:pPr>
            <w:r>
              <w:rPr>
                <w:color w:val="000000"/>
                <w:sz w:val="24"/>
                <w:szCs w:val="24"/>
              </w:rPr>
              <w:t>6,143,171.20</w:t>
            </w:r>
          </w:p>
        </w:tc>
        <w:tc>
          <w:tcPr>
            <w:tcW w:w="1237" w:type="dxa"/>
            <w:vAlign w:val="center"/>
          </w:tcPr>
          <w:p w:rsidR="002F1082" w:rsidRDefault="00C11F92">
            <w:pPr>
              <w:jc w:val="right"/>
            </w:pPr>
            <w:r>
              <w:rPr>
                <w:color w:val="000000"/>
                <w:sz w:val="24"/>
                <w:szCs w:val="24"/>
              </w:rPr>
              <w:t>20.55</w:t>
            </w:r>
          </w:p>
        </w:tc>
      </w:tr>
      <w:tr w:rsidR="002F1082">
        <w:trPr>
          <w:jc w:val="center"/>
        </w:trPr>
        <w:tc>
          <w:tcPr>
            <w:tcW w:w="850" w:type="dxa"/>
            <w:vAlign w:val="center"/>
          </w:tcPr>
          <w:p w:rsidR="002F1082" w:rsidRDefault="00C11F92">
            <w:pPr>
              <w:jc w:val="center"/>
            </w:pPr>
            <w:r>
              <w:rPr>
                <w:color w:val="000000"/>
                <w:sz w:val="24"/>
                <w:szCs w:val="24"/>
              </w:rPr>
              <w:t>3</w:t>
            </w:r>
          </w:p>
        </w:tc>
        <w:tc>
          <w:tcPr>
            <w:tcW w:w="1475" w:type="dxa"/>
            <w:vAlign w:val="center"/>
          </w:tcPr>
          <w:p w:rsidR="002F1082" w:rsidRDefault="00C11F92">
            <w:pPr>
              <w:jc w:val="center"/>
            </w:pPr>
            <w:r>
              <w:rPr>
                <w:color w:val="000000"/>
                <w:sz w:val="24"/>
                <w:szCs w:val="24"/>
              </w:rPr>
              <w:t>170311</w:t>
            </w:r>
          </w:p>
        </w:tc>
        <w:tc>
          <w:tcPr>
            <w:tcW w:w="1769" w:type="dxa"/>
            <w:vAlign w:val="center"/>
          </w:tcPr>
          <w:p w:rsidR="002F1082" w:rsidRDefault="00C11F92">
            <w:pPr>
              <w:jc w:val="center"/>
            </w:pPr>
            <w:r>
              <w:rPr>
                <w:color w:val="000000"/>
                <w:sz w:val="24"/>
                <w:szCs w:val="24"/>
              </w:rPr>
              <w:t>17</w:t>
            </w:r>
            <w:r>
              <w:rPr>
                <w:color w:val="000000"/>
                <w:sz w:val="24"/>
                <w:szCs w:val="24"/>
              </w:rPr>
              <w:t>进出</w:t>
            </w:r>
            <w:r>
              <w:rPr>
                <w:color w:val="000000"/>
                <w:sz w:val="24"/>
                <w:szCs w:val="24"/>
              </w:rPr>
              <w:t>11</w:t>
            </w:r>
          </w:p>
        </w:tc>
        <w:tc>
          <w:tcPr>
            <w:tcW w:w="1387" w:type="dxa"/>
            <w:vAlign w:val="center"/>
          </w:tcPr>
          <w:p w:rsidR="002F1082" w:rsidRDefault="00C11F92">
            <w:pPr>
              <w:jc w:val="right"/>
            </w:pPr>
            <w:r>
              <w:rPr>
                <w:color w:val="000000"/>
                <w:sz w:val="24"/>
                <w:szCs w:val="24"/>
              </w:rPr>
              <w:t>50,000</w:t>
            </w:r>
          </w:p>
        </w:tc>
        <w:tc>
          <w:tcPr>
            <w:tcW w:w="2150" w:type="dxa"/>
            <w:vAlign w:val="center"/>
          </w:tcPr>
          <w:p w:rsidR="002F1082" w:rsidRDefault="00C11F92">
            <w:pPr>
              <w:jc w:val="right"/>
            </w:pPr>
            <w:r>
              <w:rPr>
                <w:color w:val="000000"/>
                <w:sz w:val="24"/>
                <w:szCs w:val="24"/>
              </w:rPr>
              <w:t>5,004,500.00</w:t>
            </w:r>
          </w:p>
        </w:tc>
        <w:tc>
          <w:tcPr>
            <w:tcW w:w="1237" w:type="dxa"/>
            <w:vAlign w:val="center"/>
          </w:tcPr>
          <w:p w:rsidR="002F1082" w:rsidRDefault="00C11F92">
            <w:pPr>
              <w:jc w:val="right"/>
            </w:pPr>
            <w:r>
              <w:rPr>
                <w:color w:val="000000"/>
                <w:sz w:val="24"/>
                <w:szCs w:val="24"/>
              </w:rPr>
              <w:t>16.74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26,552.88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504,278.08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538,283.03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1,069,113.99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836F66">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24,577,506.43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13,453.58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506,518.45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24,084,441.56</w:t>
            </w:r>
          </w:p>
        </w:tc>
      </w:tr>
    </w:tbl>
    <w:p w:rsidR="002F1082" w:rsidRDefault="00C11F9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836F66">
        <w:tc>
          <w:tcPr>
            <w:tcW w:w="993" w:type="dxa"/>
            <w:vMerge w:val="restart"/>
            <w:vAlign w:val="center"/>
          </w:tcPr>
          <w:p w:rsidR="003C50AD" w:rsidRPr="004F4D27" w:rsidRDefault="003C50AD" w:rsidP="00836F66">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836F66">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836F66">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836F66">
        <w:tc>
          <w:tcPr>
            <w:tcW w:w="993" w:type="dxa"/>
            <w:vMerge/>
            <w:vAlign w:val="center"/>
          </w:tcPr>
          <w:p w:rsidR="003C50AD" w:rsidRPr="004F4D27" w:rsidRDefault="003C50AD" w:rsidP="00836F66">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836F66">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836F66">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836F66">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836F66">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836F66">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836F66">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836F66">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2F1082">
        <w:tc>
          <w:tcPr>
            <w:tcW w:w="993" w:type="dxa"/>
            <w:vMerge w:val="restart"/>
          </w:tcPr>
          <w:p w:rsidR="002F1082" w:rsidRDefault="002F1082"/>
          <w:p w:rsidR="002F1082" w:rsidRDefault="00C11F92">
            <w:r>
              <w:rPr>
                <w:rFonts w:ascii="宋体" w:hAnsi="宋体" w:hint="eastAsia"/>
                <w:bCs/>
                <w:color w:val="000000"/>
                <w:kern w:val="0"/>
              </w:rPr>
              <w:t>个人</w:t>
            </w:r>
          </w:p>
        </w:tc>
        <w:tc>
          <w:tcPr>
            <w:tcW w:w="992" w:type="dxa"/>
            <w:vAlign w:val="center"/>
          </w:tcPr>
          <w:p w:rsidR="002F1082" w:rsidRDefault="00C11F92">
            <w:pPr>
              <w:jc w:val="center"/>
            </w:pPr>
            <w:r>
              <w:rPr>
                <w:rFonts w:ascii="宋体" w:hAnsi="宋体"/>
                <w:kern w:val="0"/>
              </w:rPr>
              <w:t>1</w:t>
            </w:r>
          </w:p>
        </w:tc>
        <w:tc>
          <w:tcPr>
            <w:tcW w:w="1843" w:type="dxa"/>
            <w:vAlign w:val="center"/>
          </w:tcPr>
          <w:p w:rsidR="002F1082" w:rsidRDefault="00C11F92">
            <w:pPr>
              <w:jc w:val="center"/>
            </w:pPr>
            <w:r>
              <w:rPr>
                <w:rFonts w:ascii="宋体" w:hAnsi="宋体"/>
                <w:kern w:val="0"/>
              </w:rPr>
              <w:t>2018/7/1-2018/9/30</w:t>
            </w:r>
          </w:p>
        </w:tc>
        <w:tc>
          <w:tcPr>
            <w:tcW w:w="851" w:type="dxa"/>
            <w:vAlign w:val="center"/>
          </w:tcPr>
          <w:p w:rsidR="002F1082" w:rsidRDefault="00C11F92">
            <w:pPr>
              <w:jc w:val="center"/>
            </w:pPr>
            <w:r>
              <w:rPr>
                <w:rFonts w:ascii="宋体" w:hAnsi="宋体"/>
                <w:kern w:val="0"/>
              </w:rPr>
              <w:t>5,000,575.00</w:t>
            </w:r>
          </w:p>
        </w:tc>
        <w:tc>
          <w:tcPr>
            <w:tcW w:w="850" w:type="dxa"/>
            <w:vAlign w:val="center"/>
          </w:tcPr>
          <w:p w:rsidR="002F1082" w:rsidRDefault="00C11F92">
            <w:pPr>
              <w:jc w:val="center"/>
            </w:pPr>
            <w:r>
              <w:rPr>
                <w:rFonts w:ascii="宋体" w:hAnsi="宋体"/>
                <w:kern w:val="0"/>
              </w:rPr>
              <w:t>-</w:t>
            </w:r>
          </w:p>
        </w:tc>
        <w:tc>
          <w:tcPr>
            <w:tcW w:w="1134" w:type="dxa"/>
            <w:vAlign w:val="center"/>
          </w:tcPr>
          <w:p w:rsidR="002F1082" w:rsidRDefault="00C11F92">
            <w:pPr>
              <w:jc w:val="center"/>
            </w:pPr>
            <w:r>
              <w:rPr>
                <w:rFonts w:ascii="宋体" w:hAnsi="宋体"/>
                <w:kern w:val="0"/>
              </w:rPr>
              <w:t>-</w:t>
            </w:r>
          </w:p>
        </w:tc>
        <w:tc>
          <w:tcPr>
            <w:tcW w:w="1419" w:type="dxa"/>
            <w:vAlign w:val="center"/>
          </w:tcPr>
          <w:p w:rsidR="002F1082" w:rsidRDefault="00C11F92">
            <w:pPr>
              <w:jc w:val="center"/>
            </w:pPr>
            <w:r>
              <w:rPr>
                <w:rFonts w:ascii="宋体" w:hAnsi="宋体"/>
                <w:kern w:val="0"/>
              </w:rPr>
              <w:t>5,000,575.00</w:t>
            </w:r>
          </w:p>
        </w:tc>
        <w:tc>
          <w:tcPr>
            <w:tcW w:w="1130" w:type="dxa"/>
            <w:vAlign w:val="center"/>
          </w:tcPr>
          <w:p w:rsidR="002F1082" w:rsidRDefault="00C11F92">
            <w:pPr>
              <w:jc w:val="center"/>
            </w:pPr>
            <w:r>
              <w:rPr>
                <w:rFonts w:ascii="宋体" w:hAnsi="宋体"/>
                <w:kern w:val="0"/>
              </w:rPr>
              <w:t>20.76%</w:t>
            </w:r>
          </w:p>
        </w:tc>
      </w:tr>
      <w:tr w:rsidR="003C50AD" w:rsidRPr="004F4D27" w:rsidTr="00836F66">
        <w:tc>
          <w:tcPr>
            <w:tcW w:w="9212" w:type="dxa"/>
            <w:gridSpan w:val="8"/>
            <w:vAlign w:val="center"/>
          </w:tcPr>
          <w:p w:rsidR="003C50AD" w:rsidRPr="004F4D27" w:rsidRDefault="003C50AD" w:rsidP="00836F66">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836F66">
        <w:tc>
          <w:tcPr>
            <w:tcW w:w="9212" w:type="dxa"/>
            <w:gridSpan w:val="8"/>
            <w:vAlign w:val="center"/>
          </w:tcPr>
          <w:p w:rsidR="003C50AD" w:rsidRPr="004F4D27" w:rsidRDefault="003C50AD" w:rsidP="00836F66">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F1082" w:rsidRDefault="00C11F9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2F1082" w:rsidRDefault="00C11F9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、《交银施罗德增强收益债券型证券投资基金基金合同》；</w:t>
      </w:r>
    </w:p>
    <w:p w:rsidR="002F1082" w:rsidRDefault="00C11F9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、《交银施罗德增强收益债券型证券投资基金招募说明书》；</w:t>
      </w:r>
    </w:p>
    <w:p w:rsidR="002F1082" w:rsidRDefault="00C11F9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、《交银施罗德增强收益债券型证券投资基金托管协议》；</w:t>
      </w:r>
    </w:p>
    <w:p w:rsidR="002F1082" w:rsidRDefault="00C11F92">
      <w:pPr>
        <w:spacing w:before="29" w:line="288" w:lineRule="auto"/>
        <w:ind w:firstLineChars="200" w:firstLine="480"/>
        <w:rPr>
          <w:color w:val="000000"/>
          <w:sz w:val="24"/>
          <w:szCs w:val="24"/>
        </w:rPr>
      </w:pPr>
      <w:r>
        <w:rPr>
          <w:color w:val="000000"/>
          <w:sz w:val="24"/>
          <w:szCs w:val="24"/>
        </w:rPr>
        <w:t>5</w:t>
      </w:r>
      <w:r>
        <w:rPr>
          <w:color w:val="000000"/>
          <w:sz w:val="24"/>
          <w:szCs w:val="24"/>
        </w:rPr>
        <w:t>、《交银施罗德荣泰保本混合型证券投资基金基金合同》；</w:t>
      </w:r>
    </w:p>
    <w:p w:rsidR="002F1082" w:rsidRDefault="00C11F92">
      <w:pPr>
        <w:spacing w:before="29" w:line="288" w:lineRule="auto"/>
        <w:ind w:firstLineChars="200" w:firstLine="480"/>
        <w:rPr>
          <w:color w:val="000000"/>
          <w:sz w:val="24"/>
          <w:szCs w:val="24"/>
        </w:rPr>
      </w:pPr>
      <w:r>
        <w:rPr>
          <w:color w:val="000000"/>
          <w:sz w:val="24"/>
          <w:szCs w:val="24"/>
        </w:rPr>
        <w:t>6</w:t>
      </w:r>
      <w:r>
        <w:rPr>
          <w:color w:val="000000"/>
          <w:sz w:val="24"/>
          <w:szCs w:val="24"/>
        </w:rPr>
        <w:t>、《交银施罗德荣泰保本混合型证券投资基金招募说明书》；</w:t>
      </w:r>
    </w:p>
    <w:p w:rsidR="002F1082" w:rsidRDefault="00C11F92">
      <w:pPr>
        <w:spacing w:before="29" w:line="288" w:lineRule="auto"/>
        <w:ind w:firstLineChars="200" w:firstLine="480"/>
        <w:rPr>
          <w:color w:val="000000"/>
          <w:sz w:val="24"/>
          <w:szCs w:val="24"/>
        </w:rPr>
      </w:pPr>
      <w:r>
        <w:rPr>
          <w:color w:val="000000"/>
          <w:sz w:val="24"/>
          <w:szCs w:val="24"/>
        </w:rPr>
        <w:t>7</w:t>
      </w:r>
      <w:r>
        <w:rPr>
          <w:color w:val="000000"/>
          <w:sz w:val="24"/>
          <w:szCs w:val="24"/>
        </w:rPr>
        <w:t>、《交银施罗德荣泰保本混合型证券投资基金托管协议》；</w:t>
      </w:r>
    </w:p>
    <w:p w:rsidR="002F1082" w:rsidRDefault="00C11F92">
      <w:pPr>
        <w:spacing w:before="29" w:line="288" w:lineRule="auto"/>
        <w:ind w:firstLineChars="200" w:firstLine="480"/>
        <w:rPr>
          <w:color w:val="000000"/>
          <w:sz w:val="24"/>
          <w:szCs w:val="24"/>
        </w:rPr>
      </w:pPr>
      <w:r>
        <w:rPr>
          <w:color w:val="000000"/>
          <w:sz w:val="24"/>
          <w:szCs w:val="24"/>
        </w:rPr>
        <w:lastRenderedPageBreak/>
        <w:t>8</w:t>
      </w:r>
      <w:r>
        <w:rPr>
          <w:color w:val="000000"/>
          <w:sz w:val="24"/>
          <w:szCs w:val="24"/>
        </w:rPr>
        <w:t>、《交银施罗德荣泰保本混合型证券投资基金保证合同》；</w:t>
      </w:r>
      <w:r>
        <w:rPr>
          <w:color w:val="000000"/>
          <w:sz w:val="24"/>
          <w:szCs w:val="24"/>
        </w:rPr>
        <w:t xml:space="preserve"> </w:t>
      </w:r>
    </w:p>
    <w:p w:rsidR="002F1082" w:rsidRDefault="00C11F92">
      <w:pPr>
        <w:spacing w:before="29" w:line="288" w:lineRule="auto"/>
        <w:ind w:firstLineChars="200" w:firstLine="480"/>
        <w:rPr>
          <w:color w:val="000000"/>
          <w:sz w:val="24"/>
          <w:szCs w:val="24"/>
        </w:rPr>
      </w:pPr>
      <w:r>
        <w:rPr>
          <w:color w:val="000000"/>
          <w:sz w:val="24"/>
          <w:szCs w:val="24"/>
        </w:rPr>
        <w:t>9</w:t>
      </w:r>
      <w:r>
        <w:rPr>
          <w:color w:val="000000"/>
          <w:sz w:val="24"/>
          <w:szCs w:val="24"/>
        </w:rPr>
        <w:t>、基金管理人业务资格批件、营业执照；</w:t>
      </w:r>
    </w:p>
    <w:p w:rsidR="002F1082" w:rsidRDefault="00C11F92">
      <w:pPr>
        <w:spacing w:before="29" w:line="288" w:lineRule="auto"/>
        <w:ind w:firstLineChars="200" w:firstLine="480"/>
        <w:rPr>
          <w:color w:val="000000"/>
          <w:sz w:val="24"/>
          <w:szCs w:val="24"/>
        </w:rPr>
      </w:pPr>
      <w:r>
        <w:rPr>
          <w:color w:val="000000"/>
          <w:sz w:val="24"/>
          <w:szCs w:val="24"/>
        </w:rPr>
        <w:t>10</w:t>
      </w:r>
      <w:r>
        <w:rPr>
          <w:color w:val="000000"/>
          <w:sz w:val="24"/>
          <w:szCs w:val="24"/>
        </w:rPr>
        <w:t>、基金托管人业务资格批件、营业执照；</w:t>
      </w:r>
    </w:p>
    <w:p w:rsidR="002F1082" w:rsidRDefault="00C11F92">
      <w:pPr>
        <w:spacing w:before="29" w:line="288" w:lineRule="auto"/>
        <w:ind w:firstLineChars="200" w:firstLine="480"/>
        <w:rPr>
          <w:color w:val="000000"/>
          <w:sz w:val="24"/>
          <w:szCs w:val="24"/>
        </w:rPr>
      </w:pPr>
      <w:r>
        <w:rPr>
          <w:color w:val="000000"/>
          <w:sz w:val="24"/>
          <w:szCs w:val="24"/>
        </w:rPr>
        <w:t>11</w:t>
      </w:r>
      <w:r>
        <w:rPr>
          <w:color w:val="000000"/>
          <w:sz w:val="24"/>
          <w:szCs w:val="24"/>
        </w:rPr>
        <w:t>、关于申请募集交银施罗德荣泰保本混合型证券投资基金之法律意见书；</w:t>
      </w:r>
    </w:p>
    <w:p w:rsidR="002F1082" w:rsidRDefault="00C11F92">
      <w:pPr>
        <w:spacing w:before="29" w:line="288" w:lineRule="auto"/>
        <w:ind w:firstLineChars="200" w:firstLine="480"/>
        <w:rPr>
          <w:color w:val="000000"/>
          <w:sz w:val="24"/>
          <w:szCs w:val="24"/>
        </w:rPr>
      </w:pPr>
      <w:r>
        <w:rPr>
          <w:color w:val="000000"/>
          <w:sz w:val="24"/>
          <w:szCs w:val="24"/>
        </w:rPr>
        <w:t>12</w:t>
      </w:r>
      <w:r>
        <w:rPr>
          <w:color w:val="000000"/>
          <w:sz w:val="24"/>
          <w:szCs w:val="24"/>
        </w:rPr>
        <w:t>、关于交银施罗德荣泰保本混合型证券投资基金保本周期到期转型及基金合同修改的法律意见；</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、报告期内交银施罗德增强收益债券型证券投资基金、交银施罗德荣泰保本混合型证券投资基金在指定报刊上各项公告的原稿。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F1082" w:rsidRDefault="00C11F9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1D9" w:rsidRDefault="008711D9" w:rsidP="00876D65">
      <w:r>
        <w:separator/>
      </w:r>
    </w:p>
  </w:endnote>
  <w:endnote w:type="continuationSeparator" w:id="0">
    <w:p w:rsidR="008711D9" w:rsidRDefault="008711D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66" w:rsidRDefault="00836F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66" w:rsidRPr="001D0DB0" w:rsidRDefault="00836F66"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900A4">
      <w:rPr>
        <w:noProof/>
        <w:kern w:val="0"/>
        <w:szCs w:val="21"/>
      </w:rPr>
      <w:t>11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A900A4">
      <w:rPr>
        <w:noProof/>
        <w:kern w:val="0"/>
        <w:szCs w:val="21"/>
      </w:rPr>
      <w:t>14</w:t>
    </w:r>
    <w:r>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66" w:rsidRDefault="00836F6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1D9" w:rsidRDefault="008711D9" w:rsidP="00876D65">
      <w:r>
        <w:separator/>
      </w:r>
    </w:p>
  </w:footnote>
  <w:footnote w:type="continuationSeparator" w:id="0">
    <w:p w:rsidR="008711D9" w:rsidRDefault="008711D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66" w:rsidRDefault="00836F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66" w:rsidRPr="00DC456F" w:rsidRDefault="00836F66" w:rsidP="00090A26">
    <w:pPr>
      <w:pStyle w:val="a9"/>
      <w:pBdr>
        <w:bottom w:val="single" w:sz="6" w:space="0" w:color="auto"/>
      </w:pBdr>
      <w:jc w:val="right"/>
      <w:rPr>
        <w:sz w:val="24"/>
        <w:szCs w:val="24"/>
      </w:rPr>
    </w:pPr>
    <w:r w:rsidRPr="003E676C">
      <w:rPr>
        <w:sz w:val="24"/>
        <w:szCs w:val="24"/>
      </w:rPr>
      <w:t>交银施罗德增强收益债券型证券投资基金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F66" w:rsidRDefault="00836F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0F8C"/>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2F1082"/>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6F66"/>
    <w:rsid w:val="00837845"/>
    <w:rsid w:val="00843513"/>
    <w:rsid w:val="008442C4"/>
    <w:rsid w:val="00844DB2"/>
    <w:rsid w:val="00846739"/>
    <w:rsid w:val="00853140"/>
    <w:rsid w:val="00854537"/>
    <w:rsid w:val="00855F31"/>
    <w:rsid w:val="008606B6"/>
    <w:rsid w:val="00861E6D"/>
    <w:rsid w:val="008700EC"/>
    <w:rsid w:val="008711D9"/>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00A4"/>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1F92"/>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4E53A-E846-45F2-8B2D-3FF374378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1838</TotalTime>
  <Pages>1</Pages>
  <Words>1245</Words>
  <Characters>7099</Characters>
  <Application>Microsoft Office Word</Application>
  <DocSecurity>0</DocSecurity>
  <Lines>59</Lines>
  <Paragraphs>16</Paragraphs>
  <ScaleCrop>false</ScaleCrop>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581</cp:revision>
  <dcterms:created xsi:type="dcterms:W3CDTF">2012-10-16T06:07:00Z</dcterms:created>
  <dcterms:modified xsi:type="dcterms:W3CDTF">2018-10-20T11:28:00Z</dcterms:modified>
</cp:coreProperties>
</file>