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交银施罗德定期支付双息平衡混合型证券投资基金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二〇一八年十月二十六日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86B0D" w:rsidRDefault="000F03E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86B0D" w:rsidRDefault="000F03E0">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2018</w:t>
      </w:r>
      <w:r>
        <w:rPr>
          <w:color w:val="000000"/>
          <w:sz w:val="24"/>
          <w:szCs w:val="24"/>
        </w:rPr>
        <w:t>年</w:t>
      </w:r>
      <w:r>
        <w:rPr>
          <w:color w:val="000000"/>
          <w:sz w:val="24"/>
          <w:szCs w:val="24"/>
        </w:rPr>
        <w:t>10</w:t>
      </w:r>
      <w:r>
        <w:rPr>
          <w:color w:val="000000"/>
          <w:sz w:val="24"/>
          <w:szCs w:val="24"/>
        </w:rPr>
        <w:t>月</w:t>
      </w:r>
      <w:r>
        <w:rPr>
          <w:color w:val="000000"/>
          <w:sz w:val="24"/>
          <w:szCs w:val="24"/>
        </w:rPr>
        <w:t>25</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86B0D" w:rsidRDefault="000F03E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w:t>
      </w:r>
      <w:r>
        <w:rPr>
          <w:color w:val="000000"/>
          <w:sz w:val="24"/>
          <w:szCs w:val="24"/>
        </w:rPr>
        <w:t xml:space="preserve"> </w:t>
      </w:r>
    </w:p>
    <w:p w:rsidR="00986B0D" w:rsidRDefault="000F03E0">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986B0D" w:rsidRDefault="000F03E0">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交银定期支付双息平衡混合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519732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625,877,310.53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本基金精选具有长期增长潜力和较好分红能力的股票，以及具有较高息票率的债券，力争实现基金资产的长期增值。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中证红利指数收益率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本基金是一只混合型基金，在证券投资基金中属于较高风险的品种，其长期平均风险和预期收益高于货币</w:t>
            </w:r>
            <w:r w:rsidRPr="00414345">
              <w:rPr>
                <w:color w:val="000000"/>
                <w:kern w:val="0"/>
                <w:sz w:val="24"/>
                <w:szCs w:val="24"/>
              </w:rPr>
              <w:lastRenderedPageBreak/>
              <w:t>市场基金和债券型基金，低于股票型基金。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2763A" w:rsidRPr="00414345" w:rsidTr="0072763A">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72763A" w:rsidRPr="00414345" w:rsidTr="0072763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-97,294,557.14</w:t>
            </w:r>
          </w:p>
        </w:tc>
      </w:tr>
      <w:tr w:rsidR="0072763A" w:rsidRPr="00414345" w:rsidTr="0072763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-95,426,288.60</w:t>
            </w:r>
          </w:p>
        </w:tc>
      </w:tr>
      <w:tr w:rsidR="0072763A" w:rsidRPr="00414345" w:rsidTr="0072763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-0.1712</w:t>
            </w:r>
          </w:p>
        </w:tc>
      </w:tr>
      <w:tr w:rsidR="0072763A" w:rsidRPr="00414345" w:rsidTr="0072763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1,743,217,534.77</w:t>
            </w:r>
          </w:p>
        </w:tc>
      </w:tr>
      <w:tr w:rsidR="0072763A" w:rsidRPr="00414345" w:rsidTr="0072763A">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2.785</w:t>
            </w:r>
          </w:p>
        </w:tc>
      </w:tr>
    </w:tbl>
    <w:p w:rsidR="00986B0D" w:rsidRDefault="000F03E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86B0D">
        <w:trPr>
          <w:jc w:val="center"/>
        </w:trPr>
        <w:tc>
          <w:tcPr>
            <w:tcW w:w="1701" w:type="dxa"/>
            <w:vAlign w:val="center"/>
          </w:tcPr>
          <w:p w:rsidR="00986B0D" w:rsidRDefault="000F03E0">
            <w:pPr>
              <w:jc w:val="left"/>
            </w:pPr>
            <w:r>
              <w:rPr>
                <w:color w:val="000000"/>
                <w:sz w:val="24"/>
                <w:szCs w:val="24"/>
              </w:rPr>
              <w:t>过去三个月</w:t>
            </w:r>
          </w:p>
        </w:tc>
        <w:tc>
          <w:tcPr>
            <w:tcW w:w="1045" w:type="dxa"/>
            <w:vAlign w:val="center"/>
          </w:tcPr>
          <w:p w:rsidR="00986B0D" w:rsidRDefault="000F03E0">
            <w:pPr>
              <w:jc w:val="center"/>
            </w:pPr>
            <w:r>
              <w:rPr>
                <w:color w:val="000000"/>
                <w:sz w:val="24"/>
                <w:szCs w:val="24"/>
              </w:rPr>
              <w:t>-5.66%</w:t>
            </w:r>
          </w:p>
        </w:tc>
        <w:tc>
          <w:tcPr>
            <w:tcW w:w="1344" w:type="dxa"/>
            <w:vAlign w:val="center"/>
          </w:tcPr>
          <w:p w:rsidR="00986B0D" w:rsidRDefault="000F03E0">
            <w:pPr>
              <w:jc w:val="center"/>
            </w:pPr>
            <w:r>
              <w:rPr>
                <w:color w:val="000000"/>
                <w:sz w:val="24"/>
                <w:szCs w:val="24"/>
              </w:rPr>
              <w:t>1.07%</w:t>
            </w:r>
          </w:p>
        </w:tc>
        <w:tc>
          <w:tcPr>
            <w:tcW w:w="1194" w:type="dxa"/>
            <w:vAlign w:val="center"/>
          </w:tcPr>
          <w:p w:rsidR="00986B0D" w:rsidRDefault="000F03E0">
            <w:pPr>
              <w:jc w:val="center"/>
            </w:pPr>
            <w:r>
              <w:rPr>
                <w:color w:val="000000"/>
                <w:sz w:val="24"/>
                <w:szCs w:val="24"/>
              </w:rPr>
              <w:t>-0.55%</w:t>
            </w:r>
          </w:p>
        </w:tc>
        <w:tc>
          <w:tcPr>
            <w:tcW w:w="1492" w:type="dxa"/>
            <w:vAlign w:val="center"/>
          </w:tcPr>
          <w:p w:rsidR="00986B0D" w:rsidRDefault="000F03E0">
            <w:pPr>
              <w:jc w:val="center"/>
            </w:pPr>
            <w:r>
              <w:rPr>
                <w:color w:val="000000"/>
                <w:sz w:val="24"/>
                <w:szCs w:val="24"/>
              </w:rPr>
              <w:t>0.57%</w:t>
            </w:r>
          </w:p>
        </w:tc>
        <w:tc>
          <w:tcPr>
            <w:tcW w:w="1194" w:type="dxa"/>
            <w:vAlign w:val="center"/>
          </w:tcPr>
          <w:p w:rsidR="00986B0D" w:rsidRDefault="000F03E0">
            <w:pPr>
              <w:jc w:val="center"/>
            </w:pPr>
            <w:r>
              <w:rPr>
                <w:color w:val="000000"/>
                <w:sz w:val="24"/>
                <w:szCs w:val="24"/>
              </w:rPr>
              <w:t>-5.11%</w:t>
            </w:r>
          </w:p>
        </w:tc>
        <w:tc>
          <w:tcPr>
            <w:tcW w:w="898" w:type="dxa"/>
            <w:vAlign w:val="center"/>
          </w:tcPr>
          <w:p w:rsidR="00986B0D" w:rsidRDefault="000F03E0">
            <w:pPr>
              <w:jc w:val="center"/>
            </w:pPr>
            <w:r>
              <w:rPr>
                <w:color w:val="000000"/>
                <w:sz w:val="24"/>
                <w:szCs w:val="24"/>
              </w:rPr>
              <w:t>0.50%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交银施罗德定期支付双息平衡混合型证券投资基金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86B0D">
        <w:trPr>
          <w:jc w:val="center"/>
        </w:trPr>
        <w:tc>
          <w:tcPr>
            <w:tcW w:w="846" w:type="dxa"/>
            <w:vAlign w:val="center"/>
          </w:tcPr>
          <w:p w:rsidR="00986B0D" w:rsidRDefault="000F03E0">
            <w:pPr>
              <w:jc w:val="center"/>
            </w:pPr>
            <w:r>
              <w:rPr>
                <w:color w:val="000000"/>
                <w:sz w:val="24"/>
                <w:szCs w:val="24"/>
              </w:rPr>
              <w:t>杨浩</w:t>
            </w:r>
          </w:p>
        </w:tc>
        <w:tc>
          <w:tcPr>
            <w:tcW w:w="845" w:type="dxa"/>
            <w:vAlign w:val="center"/>
          </w:tcPr>
          <w:p w:rsidR="00986B0D" w:rsidRDefault="000F03E0">
            <w:pPr>
              <w:jc w:val="center"/>
            </w:pPr>
            <w:r>
              <w:rPr>
                <w:color w:val="000000"/>
                <w:sz w:val="24"/>
                <w:szCs w:val="24"/>
              </w:rPr>
              <w:t>交银定期支付双息平衡混合、交银新生活力灵活配置混合的基金经理</w:t>
            </w:r>
          </w:p>
        </w:tc>
        <w:tc>
          <w:tcPr>
            <w:tcW w:w="1549" w:type="dxa"/>
            <w:vAlign w:val="center"/>
          </w:tcPr>
          <w:p w:rsidR="00986B0D" w:rsidRDefault="000F03E0">
            <w:pPr>
              <w:jc w:val="center"/>
            </w:pPr>
            <w:r>
              <w:rPr>
                <w:color w:val="000000"/>
                <w:sz w:val="24"/>
                <w:szCs w:val="24"/>
              </w:rPr>
              <w:t>2015-08-15</w:t>
            </w:r>
          </w:p>
        </w:tc>
        <w:tc>
          <w:tcPr>
            <w:tcW w:w="1548" w:type="dxa"/>
            <w:vAlign w:val="center"/>
          </w:tcPr>
          <w:p w:rsidR="00986B0D" w:rsidRDefault="000F03E0">
            <w:pPr>
              <w:jc w:val="center"/>
            </w:pPr>
            <w:r>
              <w:rPr>
                <w:color w:val="000000"/>
                <w:sz w:val="24"/>
                <w:szCs w:val="24"/>
              </w:rPr>
              <w:t>-</w:t>
            </w:r>
          </w:p>
        </w:tc>
        <w:tc>
          <w:tcPr>
            <w:tcW w:w="1407" w:type="dxa"/>
            <w:vAlign w:val="center"/>
          </w:tcPr>
          <w:p w:rsidR="00986B0D" w:rsidRDefault="000F03E0">
            <w:pPr>
              <w:jc w:val="center"/>
            </w:pPr>
            <w:r>
              <w:rPr>
                <w:color w:val="000000"/>
                <w:sz w:val="24"/>
                <w:szCs w:val="24"/>
              </w:rPr>
              <w:t>8</w:t>
            </w:r>
            <w:r>
              <w:rPr>
                <w:color w:val="000000"/>
                <w:sz w:val="24"/>
                <w:szCs w:val="24"/>
              </w:rPr>
              <w:t>年</w:t>
            </w:r>
          </w:p>
        </w:tc>
        <w:tc>
          <w:tcPr>
            <w:tcW w:w="2673" w:type="dxa"/>
            <w:vAlign w:val="center"/>
          </w:tcPr>
          <w:p w:rsidR="00986B0D" w:rsidRDefault="000F03E0">
            <w:r>
              <w:rPr>
                <w:color w:val="000000"/>
                <w:sz w:val="24"/>
                <w:szCs w:val="24"/>
              </w:rPr>
              <w:t>杨浩先生，北京邮电大学通信与信息系统专业硕士。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86B0D" w:rsidRDefault="000F03E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w:t>
      </w:r>
      <w:r>
        <w:rPr>
          <w:color w:val="000000"/>
          <w:sz w:val="24"/>
          <w:szCs w:val="24"/>
        </w:rPr>
        <w:t>的所有资产组合，包括证券投资基金和特定客户资产管理专户均严格遵循制度进行公平交易。</w:t>
      </w:r>
    </w:p>
    <w:p w:rsidR="00986B0D" w:rsidRDefault="000F03E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986B0D" w:rsidRDefault="000F03E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86B0D" w:rsidRDefault="000F03E0">
      <w:pPr>
        <w:spacing w:before="29" w:line="288" w:lineRule="auto"/>
        <w:ind w:firstLineChars="200" w:firstLine="480"/>
        <w:rPr>
          <w:color w:val="000000"/>
          <w:sz w:val="24"/>
          <w:szCs w:val="24"/>
        </w:rPr>
      </w:pPr>
      <w:r>
        <w:rPr>
          <w:color w:val="000000"/>
          <w:sz w:val="24"/>
          <w:szCs w:val="24"/>
        </w:rPr>
        <w:t>2018</w:t>
      </w:r>
      <w:r>
        <w:rPr>
          <w:color w:val="000000"/>
          <w:sz w:val="24"/>
          <w:szCs w:val="24"/>
        </w:rPr>
        <w:t>年第三季度，宏观基本面更为复杂。中美贸易战激化，全球化倒退，美国经济强势兑现加息，油价和十年期美债持续上行，同时国内在经济政策层面上开始有所积极，改革在摸索中前行。对二级市场而言，呈现出低估值权重板块（金融、能源、材料）等领域表现相对强势，而科技成长消费行业整体受到估值压制，本季度几乎没有表现较</w:t>
      </w:r>
      <w:r>
        <w:rPr>
          <w:color w:val="000000"/>
          <w:sz w:val="24"/>
          <w:szCs w:val="24"/>
        </w:rPr>
        <w:lastRenderedPageBreak/>
        <w:t>好的细分成长行业。本季度，上证</w:t>
      </w:r>
      <w:r>
        <w:rPr>
          <w:color w:val="000000"/>
          <w:sz w:val="24"/>
          <w:szCs w:val="24"/>
        </w:rPr>
        <w:t>50</w:t>
      </w:r>
      <w:r>
        <w:rPr>
          <w:color w:val="000000"/>
          <w:sz w:val="24"/>
          <w:szCs w:val="24"/>
        </w:rPr>
        <w:t>指数表现最佳，上涨</w:t>
      </w:r>
      <w:r>
        <w:rPr>
          <w:color w:val="000000"/>
          <w:sz w:val="24"/>
          <w:szCs w:val="24"/>
        </w:rPr>
        <w:t>5.11%</w:t>
      </w:r>
      <w:r>
        <w:rPr>
          <w:color w:val="000000"/>
          <w:sz w:val="24"/>
          <w:szCs w:val="24"/>
        </w:rPr>
        <w:t>，而创业板指数表现持续低迷，下跌</w:t>
      </w:r>
      <w:r>
        <w:rPr>
          <w:color w:val="000000"/>
          <w:sz w:val="24"/>
          <w:szCs w:val="24"/>
        </w:rPr>
        <w:t>12.16%</w:t>
      </w:r>
      <w:r>
        <w:rPr>
          <w:color w:val="000000"/>
          <w:sz w:val="24"/>
          <w:szCs w:val="24"/>
        </w:rPr>
        <w:t>。</w:t>
      </w:r>
    </w:p>
    <w:p w:rsidR="00986B0D" w:rsidRDefault="000F03E0">
      <w:pPr>
        <w:spacing w:before="29" w:line="288" w:lineRule="auto"/>
        <w:ind w:firstLineChars="200" w:firstLine="480"/>
        <w:rPr>
          <w:color w:val="000000"/>
          <w:sz w:val="24"/>
          <w:szCs w:val="24"/>
        </w:rPr>
      </w:pPr>
      <w:r>
        <w:rPr>
          <w:color w:val="000000"/>
          <w:sz w:val="24"/>
          <w:szCs w:val="24"/>
        </w:rPr>
        <w:t>本基金在本季度小幅跑输指数，主要源于配置成长性风格占比较多，本季度宏观基本面对高估值板块不利，且上</w:t>
      </w:r>
      <w:r>
        <w:rPr>
          <w:color w:val="000000"/>
          <w:sz w:val="24"/>
          <w:szCs w:val="24"/>
        </w:rPr>
        <w:t>半年有较大超额收益，持有品种普遍回撤。第三季度略降低仓位。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我们认为复杂的内外部环境将激励国家更加有力的改革，预期第四季度往后政策会出现更多的积极因素，同时经过三个季度的下跌，市场估值水平处于极低位置。长期来看，代表经济新方向有望在第四季度迎来较好的买点，我们拟伺机增加优质成长股仓位。</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975,056,957.14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54.41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975,056,957.14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54.41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74,617,500.00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4.16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74,617,500.00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4.16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495,000,942.50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27.62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w:t>
            </w:r>
            <w:r w:rsidRPr="007B5F21">
              <w:rPr>
                <w:rFonts w:eastAsiaTheme="minorEastAsia"/>
                <w:color w:val="000000" w:themeColor="text1"/>
                <w:sz w:val="24"/>
                <w:szCs w:val="24"/>
              </w:rPr>
              <w:lastRenderedPageBreak/>
              <w:t>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lastRenderedPageBreak/>
              <w:t>231,822,506.18</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12.93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15,719,354.78</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0.88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1,792,217,260.60</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53,898,491.50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282,403,062.69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73,267,698.86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268,870,062.27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196,510.86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98,273,622.09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22,009,885.44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41,280,434.43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134,857,189.00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975,056,957.14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55.93</w:t>
            </w:r>
          </w:p>
        </w:tc>
      </w:tr>
    </w:tbl>
    <w:p w:rsidR="0072763A" w:rsidRDefault="0072763A"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bookmarkStart w:id="0" w:name="_GoBack"/>
      <w:bookmarkEnd w:id="0"/>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lastRenderedPageBreak/>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986B0D">
        <w:trPr>
          <w:jc w:val="center"/>
        </w:trPr>
        <w:tc>
          <w:tcPr>
            <w:tcW w:w="855" w:type="dxa"/>
            <w:vAlign w:val="center"/>
          </w:tcPr>
          <w:p w:rsidR="00986B0D" w:rsidRDefault="000F03E0">
            <w:pPr>
              <w:jc w:val="center"/>
            </w:pPr>
            <w:r>
              <w:rPr>
                <w:color w:val="000000"/>
                <w:sz w:val="24"/>
                <w:szCs w:val="24"/>
              </w:rPr>
              <w:t>1</w:t>
            </w:r>
          </w:p>
        </w:tc>
        <w:tc>
          <w:tcPr>
            <w:tcW w:w="1334" w:type="dxa"/>
            <w:vAlign w:val="center"/>
          </w:tcPr>
          <w:p w:rsidR="00986B0D" w:rsidRDefault="000F03E0">
            <w:pPr>
              <w:jc w:val="center"/>
            </w:pPr>
            <w:r>
              <w:rPr>
                <w:color w:val="000000"/>
                <w:sz w:val="24"/>
                <w:szCs w:val="24"/>
              </w:rPr>
              <w:t>000681</w:t>
            </w:r>
          </w:p>
        </w:tc>
        <w:tc>
          <w:tcPr>
            <w:tcW w:w="1777" w:type="dxa"/>
            <w:vAlign w:val="center"/>
          </w:tcPr>
          <w:p w:rsidR="00986B0D" w:rsidRDefault="000F03E0">
            <w:pPr>
              <w:jc w:val="center"/>
            </w:pPr>
            <w:r>
              <w:rPr>
                <w:color w:val="000000"/>
                <w:sz w:val="24"/>
                <w:szCs w:val="24"/>
              </w:rPr>
              <w:t>视觉中国</w:t>
            </w:r>
          </w:p>
        </w:tc>
        <w:tc>
          <w:tcPr>
            <w:tcW w:w="1334" w:type="dxa"/>
            <w:vAlign w:val="center"/>
          </w:tcPr>
          <w:p w:rsidR="00986B0D" w:rsidRDefault="000F03E0">
            <w:pPr>
              <w:jc w:val="right"/>
            </w:pPr>
            <w:r>
              <w:rPr>
                <w:color w:val="000000"/>
                <w:sz w:val="24"/>
                <w:szCs w:val="24"/>
              </w:rPr>
              <w:t>4,735,195</w:t>
            </w:r>
          </w:p>
        </w:tc>
        <w:tc>
          <w:tcPr>
            <w:tcW w:w="1924" w:type="dxa"/>
            <w:vAlign w:val="center"/>
          </w:tcPr>
          <w:p w:rsidR="00986B0D" w:rsidRDefault="000F03E0">
            <w:pPr>
              <w:jc w:val="right"/>
            </w:pPr>
            <w:r>
              <w:rPr>
                <w:color w:val="000000"/>
                <w:sz w:val="24"/>
                <w:szCs w:val="24"/>
              </w:rPr>
              <w:t>127,755,561.10</w:t>
            </w:r>
          </w:p>
        </w:tc>
        <w:tc>
          <w:tcPr>
            <w:tcW w:w="1644" w:type="dxa"/>
            <w:vAlign w:val="center"/>
          </w:tcPr>
          <w:p w:rsidR="00986B0D" w:rsidRDefault="000F03E0">
            <w:pPr>
              <w:jc w:val="right"/>
            </w:pPr>
            <w:r>
              <w:rPr>
                <w:color w:val="000000"/>
                <w:sz w:val="24"/>
                <w:szCs w:val="24"/>
              </w:rPr>
              <w:t>7.33</w:t>
            </w:r>
          </w:p>
        </w:tc>
      </w:tr>
      <w:tr w:rsidR="00986B0D">
        <w:trPr>
          <w:jc w:val="center"/>
        </w:trPr>
        <w:tc>
          <w:tcPr>
            <w:tcW w:w="855" w:type="dxa"/>
            <w:vAlign w:val="center"/>
          </w:tcPr>
          <w:p w:rsidR="00986B0D" w:rsidRDefault="000F03E0">
            <w:pPr>
              <w:jc w:val="center"/>
            </w:pPr>
            <w:r>
              <w:rPr>
                <w:color w:val="000000"/>
                <w:sz w:val="24"/>
                <w:szCs w:val="24"/>
              </w:rPr>
              <w:t>2</w:t>
            </w:r>
          </w:p>
        </w:tc>
        <w:tc>
          <w:tcPr>
            <w:tcW w:w="1334" w:type="dxa"/>
            <w:vAlign w:val="center"/>
          </w:tcPr>
          <w:p w:rsidR="00986B0D" w:rsidRDefault="000F03E0">
            <w:pPr>
              <w:jc w:val="center"/>
            </w:pPr>
            <w:r>
              <w:rPr>
                <w:color w:val="000000"/>
                <w:sz w:val="24"/>
                <w:szCs w:val="24"/>
              </w:rPr>
              <w:t>300188</w:t>
            </w:r>
          </w:p>
        </w:tc>
        <w:tc>
          <w:tcPr>
            <w:tcW w:w="1777" w:type="dxa"/>
            <w:vAlign w:val="center"/>
          </w:tcPr>
          <w:p w:rsidR="00986B0D" w:rsidRDefault="000F03E0">
            <w:pPr>
              <w:jc w:val="center"/>
            </w:pPr>
            <w:r>
              <w:rPr>
                <w:color w:val="000000"/>
                <w:sz w:val="24"/>
                <w:szCs w:val="24"/>
              </w:rPr>
              <w:t>美亚柏科</w:t>
            </w:r>
          </w:p>
        </w:tc>
        <w:tc>
          <w:tcPr>
            <w:tcW w:w="1334" w:type="dxa"/>
            <w:vAlign w:val="center"/>
          </w:tcPr>
          <w:p w:rsidR="00986B0D" w:rsidRDefault="000F03E0">
            <w:pPr>
              <w:jc w:val="right"/>
            </w:pPr>
            <w:r>
              <w:rPr>
                <w:color w:val="000000"/>
                <w:sz w:val="24"/>
                <w:szCs w:val="24"/>
              </w:rPr>
              <w:t>4,948,099</w:t>
            </w:r>
          </w:p>
        </w:tc>
        <w:tc>
          <w:tcPr>
            <w:tcW w:w="1924" w:type="dxa"/>
            <w:vAlign w:val="center"/>
          </w:tcPr>
          <w:p w:rsidR="00986B0D" w:rsidRDefault="000F03E0">
            <w:pPr>
              <w:jc w:val="right"/>
            </w:pPr>
            <w:r>
              <w:rPr>
                <w:color w:val="000000"/>
                <w:sz w:val="24"/>
                <w:szCs w:val="24"/>
              </w:rPr>
              <w:t>77,844,393.11</w:t>
            </w:r>
          </w:p>
        </w:tc>
        <w:tc>
          <w:tcPr>
            <w:tcW w:w="1644" w:type="dxa"/>
            <w:vAlign w:val="center"/>
          </w:tcPr>
          <w:p w:rsidR="00986B0D" w:rsidRDefault="000F03E0">
            <w:pPr>
              <w:jc w:val="right"/>
            </w:pPr>
            <w:r>
              <w:rPr>
                <w:color w:val="000000"/>
                <w:sz w:val="24"/>
                <w:szCs w:val="24"/>
              </w:rPr>
              <w:t>4.47</w:t>
            </w:r>
          </w:p>
        </w:tc>
      </w:tr>
      <w:tr w:rsidR="00986B0D">
        <w:trPr>
          <w:jc w:val="center"/>
        </w:trPr>
        <w:tc>
          <w:tcPr>
            <w:tcW w:w="855" w:type="dxa"/>
            <w:vAlign w:val="center"/>
          </w:tcPr>
          <w:p w:rsidR="00986B0D" w:rsidRDefault="000F03E0">
            <w:pPr>
              <w:jc w:val="center"/>
            </w:pPr>
            <w:r>
              <w:rPr>
                <w:color w:val="000000"/>
                <w:sz w:val="24"/>
                <w:szCs w:val="24"/>
              </w:rPr>
              <w:t>3</w:t>
            </w:r>
          </w:p>
        </w:tc>
        <w:tc>
          <w:tcPr>
            <w:tcW w:w="1334" w:type="dxa"/>
            <w:vAlign w:val="center"/>
          </w:tcPr>
          <w:p w:rsidR="00986B0D" w:rsidRDefault="000F03E0">
            <w:pPr>
              <w:jc w:val="center"/>
            </w:pPr>
            <w:r>
              <w:rPr>
                <w:color w:val="000000"/>
                <w:sz w:val="24"/>
                <w:szCs w:val="24"/>
              </w:rPr>
              <w:t>300413</w:t>
            </w:r>
          </w:p>
        </w:tc>
        <w:tc>
          <w:tcPr>
            <w:tcW w:w="1777" w:type="dxa"/>
            <w:vAlign w:val="center"/>
          </w:tcPr>
          <w:p w:rsidR="00986B0D" w:rsidRDefault="000F03E0">
            <w:pPr>
              <w:jc w:val="center"/>
            </w:pPr>
            <w:r>
              <w:rPr>
                <w:color w:val="000000"/>
                <w:sz w:val="24"/>
                <w:szCs w:val="24"/>
              </w:rPr>
              <w:t>芒果超媒</w:t>
            </w:r>
          </w:p>
        </w:tc>
        <w:tc>
          <w:tcPr>
            <w:tcW w:w="1334" w:type="dxa"/>
            <w:vAlign w:val="center"/>
          </w:tcPr>
          <w:p w:rsidR="00986B0D" w:rsidRDefault="000F03E0">
            <w:pPr>
              <w:jc w:val="right"/>
            </w:pPr>
            <w:r>
              <w:rPr>
                <w:color w:val="000000"/>
                <w:sz w:val="24"/>
                <w:szCs w:val="24"/>
              </w:rPr>
              <w:t>2,172,182</w:t>
            </w:r>
          </w:p>
        </w:tc>
        <w:tc>
          <w:tcPr>
            <w:tcW w:w="1924" w:type="dxa"/>
            <w:vAlign w:val="center"/>
          </w:tcPr>
          <w:p w:rsidR="00986B0D" w:rsidRDefault="000F03E0">
            <w:pPr>
              <w:jc w:val="right"/>
            </w:pPr>
            <w:r>
              <w:rPr>
                <w:color w:val="000000"/>
                <w:sz w:val="24"/>
                <w:szCs w:val="24"/>
              </w:rPr>
              <w:t>73,267,698.86</w:t>
            </w:r>
          </w:p>
        </w:tc>
        <w:tc>
          <w:tcPr>
            <w:tcW w:w="1644" w:type="dxa"/>
            <w:vAlign w:val="center"/>
          </w:tcPr>
          <w:p w:rsidR="00986B0D" w:rsidRDefault="000F03E0">
            <w:pPr>
              <w:jc w:val="right"/>
            </w:pPr>
            <w:r>
              <w:rPr>
                <w:color w:val="000000"/>
                <w:sz w:val="24"/>
                <w:szCs w:val="24"/>
              </w:rPr>
              <w:t>4.20</w:t>
            </w:r>
          </w:p>
        </w:tc>
      </w:tr>
      <w:tr w:rsidR="00986B0D">
        <w:trPr>
          <w:jc w:val="center"/>
        </w:trPr>
        <w:tc>
          <w:tcPr>
            <w:tcW w:w="855" w:type="dxa"/>
            <w:vAlign w:val="center"/>
          </w:tcPr>
          <w:p w:rsidR="00986B0D" w:rsidRDefault="000F03E0">
            <w:pPr>
              <w:jc w:val="center"/>
            </w:pPr>
            <w:r>
              <w:rPr>
                <w:color w:val="000000"/>
                <w:sz w:val="24"/>
                <w:szCs w:val="24"/>
              </w:rPr>
              <w:t>4</w:t>
            </w:r>
          </w:p>
        </w:tc>
        <w:tc>
          <w:tcPr>
            <w:tcW w:w="1334" w:type="dxa"/>
            <w:vAlign w:val="center"/>
          </w:tcPr>
          <w:p w:rsidR="00986B0D" w:rsidRDefault="000F03E0">
            <w:pPr>
              <w:jc w:val="center"/>
            </w:pPr>
            <w:r>
              <w:rPr>
                <w:color w:val="000000"/>
                <w:sz w:val="24"/>
                <w:szCs w:val="24"/>
              </w:rPr>
              <w:t>600048</w:t>
            </w:r>
          </w:p>
        </w:tc>
        <w:tc>
          <w:tcPr>
            <w:tcW w:w="1777" w:type="dxa"/>
            <w:vAlign w:val="center"/>
          </w:tcPr>
          <w:p w:rsidR="00986B0D" w:rsidRDefault="000F03E0">
            <w:pPr>
              <w:jc w:val="center"/>
            </w:pPr>
            <w:r>
              <w:rPr>
                <w:color w:val="000000"/>
                <w:sz w:val="24"/>
                <w:szCs w:val="24"/>
              </w:rPr>
              <w:t>保利地产</w:t>
            </w:r>
          </w:p>
        </w:tc>
        <w:tc>
          <w:tcPr>
            <w:tcW w:w="1334" w:type="dxa"/>
            <w:vAlign w:val="center"/>
          </w:tcPr>
          <w:p w:rsidR="00986B0D" w:rsidRDefault="000F03E0">
            <w:pPr>
              <w:jc w:val="right"/>
            </w:pPr>
            <w:r>
              <w:rPr>
                <w:color w:val="000000"/>
                <w:sz w:val="24"/>
                <w:szCs w:val="24"/>
              </w:rPr>
              <w:t>4,973,577</w:t>
            </w:r>
          </w:p>
        </w:tc>
        <w:tc>
          <w:tcPr>
            <w:tcW w:w="1924" w:type="dxa"/>
            <w:vAlign w:val="center"/>
          </w:tcPr>
          <w:p w:rsidR="00986B0D" w:rsidRDefault="000F03E0">
            <w:pPr>
              <w:jc w:val="right"/>
            </w:pPr>
            <w:r>
              <w:rPr>
                <w:color w:val="000000"/>
                <w:sz w:val="24"/>
                <w:szCs w:val="24"/>
              </w:rPr>
              <w:t>60,528,432.09</w:t>
            </w:r>
          </w:p>
        </w:tc>
        <w:tc>
          <w:tcPr>
            <w:tcW w:w="1644" w:type="dxa"/>
            <w:vAlign w:val="center"/>
          </w:tcPr>
          <w:p w:rsidR="00986B0D" w:rsidRDefault="000F03E0">
            <w:pPr>
              <w:jc w:val="right"/>
            </w:pPr>
            <w:r>
              <w:rPr>
                <w:color w:val="000000"/>
                <w:sz w:val="24"/>
                <w:szCs w:val="24"/>
              </w:rPr>
              <w:t>3.47</w:t>
            </w:r>
          </w:p>
        </w:tc>
      </w:tr>
      <w:tr w:rsidR="00986B0D">
        <w:trPr>
          <w:jc w:val="center"/>
        </w:trPr>
        <w:tc>
          <w:tcPr>
            <w:tcW w:w="855" w:type="dxa"/>
            <w:vAlign w:val="center"/>
          </w:tcPr>
          <w:p w:rsidR="00986B0D" w:rsidRDefault="000F03E0">
            <w:pPr>
              <w:jc w:val="center"/>
            </w:pPr>
            <w:r>
              <w:rPr>
                <w:color w:val="000000"/>
                <w:sz w:val="24"/>
                <w:szCs w:val="24"/>
              </w:rPr>
              <w:t>5</w:t>
            </w:r>
          </w:p>
        </w:tc>
        <w:tc>
          <w:tcPr>
            <w:tcW w:w="1334" w:type="dxa"/>
            <w:vAlign w:val="center"/>
          </w:tcPr>
          <w:p w:rsidR="00986B0D" w:rsidRDefault="000F03E0">
            <w:pPr>
              <w:jc w:val="center"/>
            </w:pPr>
            <w:r>
              <w:rPr>
                <w:color w:val="000000"/>
                <w:sz w:val="24"/>
                <w:szCs w:val="24"/>
              </w:rPr>
              <w:t>600256</w:t>
            </w:r>
          </w:p>
        </w:tc>
        <w:tc>
          <w:tcPr>
            <w:tcW w:w="1777" w:type="dxa"/>
            <w:vAlign w:val="center"/>
          </w:tcPr>
          <w:p w:rsidR="00986B0D" w:rsidRDefault="000F03E0">
            <w:pPr>
              <w:jc w:val="center"/>
            </w:pPr>
            <w:r>
              <w:rPr>
                <w:color w:val="000000"/>
                <w:sz w:val="24"/>
                <w:szCs w:val="24"/>
              </w:rPr>
              <w:t>广汇能源</w:t>
            </w:r>
          </w:p>
        </w:tc>
        <w:tc>
          <w:tcPr>
            <w:tcW w:w="1334" w:type="dxa"/>
            <w:vAlign w:val="center"/>
          </w:tcPr>
          <w:p w:rsidR="00986B0D" w:rsidRDefault="000F03E0">
            <w:pPr>
              <w:jc w:val="right"/>
            </w:pPr>
            <w:r>
              <w:rPr>
                <w:color w:val="000000"/>
                <w:sz w:val="24"/>
                <w:szCs w:val="24"/>
              </w:rPr>
              <w:t>10,547,650</w:t>
            </w:r>
          </w:p>
        </w:tc>
        <w:tc>
          <w:tcPr>
            <w:tcW w:w="1924" w:type="dxa"/>
            <w:vAlign w:val="center"/>
          </w:tcPr>
          <w:p w:rsidR="00986B0D" w:rsidRDefault="000F03E0">
            <w:pPr>
              <w:jc w:val="right"/>
            </w:pPr>
            <w:r>
              <w:rPr>
                <w:color w:val="000000"/>
                <w:sz w:val="24"/>
                <w:szCs w:val="24"/>
              </w:rPr>
              <w:t>53,898,491.50</w:t>
            </w:r>
          </w:p>
        </w:tc>
        <w:tc>
          <w:tcPr>
            <w:tcW w:w="1644" w:type="dxa"/>
            <w:vAlign w:val="center"/>
          </w:tcPr>
          <w:p w:rsidR="00986B0D" w:rsidRDefault="000F03E0">
            <w:pPr>
              <w:jc w:val="right"/>
            </w:pPr>
            <w:r>
              <w:rPr>
                <w:color w:val="000000"/>
                <w:sz w:val="24"/>
                <w:szCs w:val="24"/>
              </w:rPr>
              <w:t>3.09</w:t>
            </w:r>
          </w:p>
        </w:tc>
      </w:tr>
      <w:tr w:rsidR="00986B0D">
        <w:trPr>
          <w:jc w:val="center"/>
        </w:trPr>
        <w:tc>
          <w:tcPr>
            <w:tcW w:w="855" w:type="dxa"/>
            <w:vAlign w:val="center"/>
          </w:tcPr>
          <w:p w:rsidR="00986B0D" w:rsidRDefault="000F03E0">
            <w:pPr>
              <w:jc w:val="center"/>
            </w:pPr>
            <w:r>
              <w:rPr>
                <w:color w:val="000000"/>
                <w:sz w:val="24"/>
                <w:szCs w:val="24"/>
              </w:rPr>
              <w:t>6</w:t>
            </w:r>
          </w:p>
        </w:tc>
        <w:tc>
          <w:tcPr>
            <w:tcW w:w="1334" w:type="dxa"/>
            <w:vAlign w:val="center"/>
          </w:tcPr>
          <w:p w:rsidR="00986B0D" w:rsidRDefault="000F03E0">
            <w:pPr>
              <w:jc w:val="center"/>
            </w:pPr>
            <w:r>
              <w:rPr>
                <w:color w:val="000000"/>
                <w:sz w:val="24"/>
                <w:szCs w:val="24"/>
              </w:rPr>
              <w:t>601100</w:t>
            </w:r>
          </w:p>
        </w:tc>
        <w:tc>
          <w:tcPr>
            <w:tcW w:w="1777" w:type="dxa"/>
            <w:vAlign w:val="center"/>
          </w:tcPr>
          <w:p w:rsidR="00986B0D" w:rsidRDefault="000F03E0">
            <w:pPr>
              <w:jc w:val="center"/>
            </w:pPr>
            <w:r>
              <w:rPr>
                <w:color w:val="000000"/>
                <w:sz w:val="24"/>
                <w:szCs w:val="24"/>
              </w:rPr>
              <w:t>恒立液压</w:t>
            </w:r>
          </w:p>
        </w:tc>
        <w:tc>
          <w:tcPr>
            <w:tcW w:w="1334" w:type="dxa"/>
            <w:vAlign w:val="center"/>
          </w:tcPr>
          <w:p w:rsidR="00986B0D" w:rsidRDefault="000F03E0">
            <w:pPr>
              <w:jc w:val="right"/>
            </w:pPr>
            <w:r>
              <w:rPr>
                <w:color w:val="000000"/>
                <w:sz w:val="24"/>
                <w:szCs w:val="24"/>
              </w:rPr>
              <w:t>2,403,957</w:t>
            </w:r>
          </w:p>
        </w:tc>
        <w:tc>
          <w:tcPr>
            <w:tcW w:w="1924" w:type="dxa"/>
            <w:vAlign w:val="center"/>
          </w:tcPr>
          <w:p w:rsidR="00986B0D" w:rsidRDefault="000F03E0">
            <w:pPr>
              <w:jc w:val="right"/>
            </w:pPr>
            <w:r>
              <w:rPr>
                <w:color w:val="000000"/>
                <w:sz w:val="24"/>
                <w:szCs w:val="24"/>
              </w:rPr>
              <w:t>53,680,359.81</w:t>
            </w:r>
          </w:p>
        </w:tc>
        <w:tc>
          <w:tcPr>
            <w:tcW w:w="1644" w:type="dxa"/>
            <w:vAlign w:val="center"/>
          </w:tcPr>
          <w:p w:rsidR="00986B0D" w:rsidRDefault="000F03E0">
            <w:pPr>
              <w:jc w:val="right"/>
            </w:pPr>
            <w:r>
              <w:rPr>
                <w:color w:val="000000"/>
                <w:sz w:val="24"/>
                <w:szCs w:val="24"/>
              </w:rPr>
              <w:t>3.08</w:t>
            </w:r>
          </w:p>
        </w:tc>
      </w:tr>
      <w:tr w:rsidR="00986B0D">
        <w:trPr>
          <w:jc w:val="center"/>
        </w:trPr>
        <w:tc>
          <w:tcPr>
            <w:tcW w:w="855" w:type="dxa"/>
            <w:vAlign w:val="center"/>
          </w:tcPr>
          <w:p w:rsidR="00986B0D" w:rsidRDefault="000F03E0">
            <w:pPr>
              <w:jc w:val="center"/>
            </w:pPr>
            <w:r>
              <w:rPr>
                <w:color w:val="000000"/>
                <w:sz w:val="24"/>
                <w:szCs w:val="24"/>
              </w:rPr>
              <w:t>7</w:t>
            </w:r>
          </w:p>
        </w:tc>
        <w:tc>
          <w:tcPr>
            <w:tcW w:w="1334" w:type="dxa"/>
            <w:vAlign w:val="center"/>
          </w:tcPr>
          <w:p w:rsidR="00986B0D" w:rsidRDefault="000F03E0">
            <w:pPr>
              <w:jc w:val="center"/>
            </w:pPr>
            <w:r>
              <w:rPr>
                <w:color w:val="000000"/>
                <w:sz w:val="24"/>
                <w:szCs w:val="24"/>
              </w:rPr>
              <w:t>002410</w:t>
            </w:r>
          </w:p>
        </w:tc>
        <w:tc>
          <w:tcPr>
            <w:tcW w:w="1777" w:type="dxa"/>
            <w:vAlign w:val="center"/>
          </w:tcPr>
          <w:p w:rsidR="00986B0D" w:rsidRDefault="000F03E0">
            <w:pPr>
              <w:jc w:val="center"/>
            </w:pPr>
            <w:r>
              <w:rPr>
                <w:color w:val="000000"/>
                <w:sz w:val="24"/>
                <w:szCs w:val="24"/>
              </w:rPr>
              <w:t>广联达</w:t>
            </w:r>
          </w:p>
        </w:tc>
        <w:tc>
          <w:tcPr>
            <w:tcW w:w="1334" w:type="dxa"/>
            <w:vAlign w:val="center"/>
          </w:tcPr>
          <w:p w:rsidR="00986B0D" w:rsidRDefault="000F03E0">
            <w:pPr>
              <w:jc w:val="right"/>
            </w:pPr>
            <w:r>
              <w:rPr>
                <w:color w:val="000000"/>
                <w:sz w:val="24"/>
                <w:szCs w:val="24"/>
              </w:rPr>
              <w:t>1,886,477</w:t>
            </w:r>
          </w:p>
        </w:tc>
        <w:tc>
          <w:tcPr>
            <w:tcW w:w="1924" w:type="dxa"/>
            <w:vAlign w:val="center"/>
          </w:tcPr>
          <w:p w:rsidR="00986B0D" w:rsidRDefault="000F03E0">
            <w:pPr>
              <w:jc w:val="right"/>
            </w:pPr>
            <w:r>
              <w:rPr>
                <w:color w:val="000000"/>
                <w:sz w:val="24"/>
                <w:szCs w:val="24"/>
              </w:rPr>
              <w:t>49,671,854.06</w:t>
            </w:r>
          </w:p>
        </w:tc>
        <w:tc>
          <w:tcPr>
            <w:tcW w:w="1644" w:type="dxa"/>
            <w:vAlign w:val="center"/>
          </w:tcPr>
          <w:p w:rsidR="00986B0D" w:rsidRDefault="000F03E0">
            <w:pPr>
              <w:jc w:val="right"/>
            </w:pPr>
            <w:r>
              <w:rPr>
                <w:color w:val="000000"/>
                <w:sz w:val="24"/>
                <w:szCs w:val="24"/>
              </w:rPr>
              <w:t>2.85</w:t>
            </w:r>
          </w:p>
        </w:tc>
      </w:tr>
      <w:tr w:rsidR="00986B0D">
        <w:trPr>
          <w:jc w:val="center"/>
        </w:trPr>
        <w:tc>
          <w:tcPr>
            <w:tcW w:w="855" w:type="dxa"/>
            <w:vAlign w:val="center"/>
          </w:tcPr>
          <w:p w:rsidR="00986B0D" w:rsidRDefault="000F03E0">
            <w:pPr>
              <w:jc w:val="center"/>
            </w:pPr>
            <w:r>
              <w:rPr>
                <w:color w:val="000000"/>
                <w:sz w:val="24"/>
                <w:szCs w:val="24"/>
              </w:rPr>
              <w:t>8</w:t>
            </w:r>
          </w:p>
        </w:tc>
        <w:tc>
          <w:tcPr>
            <w:tcW w:w="1334" w:type="dxa"/>
            <w:vAlign w:val="center"/>
          </w:tcPr>
          <w:p w:rsidR="00986B0D" w:rsidRDefault="000F03E0">
            <w:pPr>
              <w:jc w:val="center"/>
            </w:pPr>
            <w:r>
              <w:rPr>
                <w:color w:val="000000"/>
                <w:sz w:val="24"/>
                <w:szCs w:val="24"/>
              </w:rPr>
              <w:t>600271</w:t>
            </w:r>
          </w:p>
        </w:tc>
        <w:tc>
          <w:tcPr>
            <w:tcW w:w="1777" w:type="dxa"/>
            <w:vAlign w:val="center"/>
          </w:tcPr>
          <w:p w:rsidR="00986B0D" w:rsidRDefault="000F03E0">
            <w:pPr>
              <w:jc w:val="center"/>
            </w:pPr>
            <w:r>
              <w:rPr>
                <w:color w:val="000000"/>
                <w:sz w:val="24"/>
                <w:szCs w:val="24"/>
              </w:rPr>
              <w:t>航天信息</w:t>
            </w:r>
          </w:p>
        </w:tc>
        <w:tc>
          <w:tcPr>
            <w:tcW w:w="1334" w:type="dxa"/>
            <w:vAlign w:val="center"/>
          </w:tcPr>
          <w:p w:rsidR="00986B0D" w:rsidRDefault="000F03E0">
            <w:pPr>
              <w:jc w:val="right"/>
            </w:pPr>
            <w:r>
              <w:rPr>
                <w:color w:val="000000"/>
                <w:sz w:val="24"/>
                <w:szCs w:val="24"/>
              </w:rPr>
              <w:t>1,684,212</w:t>
            </w:r>
          </w:p>
        </w:tc>
        <w:tc>
          <w:tcPr>
            <w:tcW w:w="1924" w:type="dxa"/>
            <w:vAlign w:val="center"/>
          </w:tcPr>
          <w:p w:rsidR="00986B0D" w:rsidRDefault="000F03E0">
            <w:pPr>
              <w:jc w:val="right"/>
            </w:pPr>
            <w:r>
              <w:rPr>
                <w:color w:val="000000"/>
                <w:sz w:val="24"/>
                <w:szCs w:val="24"/>
              </w:rPr>
              <w:t>46,871,619.96</w:t>
            </w:r>
          </w:p>
        </w:tc>
        <w:tc>
          <w:tcPr>
            <w:tcW w:w="1644" w:type="dxa"/>
            <w:vAlign w:val="center"/>
          </w:tcPr>
          <w:p w:rsidR="00986B0D" w:rsidRDefault="000F03E0">
            <w:pPr>
              <w:jc w:val="right"/>
            </w:pPr>
            <w:r>
              <w:rPr>
                <w:color w:val="000000"/>
                <w:sz w:val="24"/>
                <w:szCs w:val="24"/>
              </w:rPr>
              <w:t>2.69</w:t>
            </w:r>
          </w:p>
        </w:tc>
      </w:tr>
      <w:tr w:rsidR="00986B0D">
        <w:trPr>
          <w:jc w:val="center"/>
        </w:trPr>
        <w:tc>
          <w:tcPr>
            <w:tcW w:w="855" w:type="dxa"/>
            <w:vAlign w:val="center"/>
          </w:tcPr>
          <w:p w:rsidR="00986B0D" w:rsidRDefault="000F03E0">
            <w:pPr>
              <w:jc w:val="center"/>
            </w:pPr>
            <w:r>
              <w:rPr>
                <w:color w:val="000000"/>
                <w:sz w:val="24"/>
                <w:szCs w:val="24"/>
              </w:rPr>
              <w:t>9</w:t>
            </w:r>
          </w:p>
        </w:tc>
        <w:tc>
          <w:tcPr>
            <w:tcW w:w="1334" w:type="dxa"/>
            <w:vAlign w:val="center"/>
          </w:tcPr>
          <w:p w:rsidR="00986B0D" w:rsidRDefault="000F03E0">
            <w:pPr>
              <w:jc w:val="center"/>
            </w:pPr>
            <w:r>
              <w:rPr>
                <w:color w:val="000000"/>
                <w:sz w:val="24"/>
                <w:szCs w:val="24"/>
              </w:rPr>
              <w:t>603039</w:t>
            </w:r>
          </w:p>
        </w:tc>
        <w:tc>
          <w:tcPr>
            <w:tcW w:w="1777" w:type="dxa"/>
            <w:vAlign w:val="center"/>
          </w:tcPr>
          <w:p w:rsidR="00986B0D" w:rsidRDefault="000F03E0">
            <w:pPr>
              <w:jc w:val="center"/>
            </w:pPr>
            <w:r>
              <w:rPr>
                <w:color w:val="000000"/>
                <w:sz w:val="24"/>
                <w:szCs w:val="24"/>
              </w:rPr>
              <w:t>泛微网络</w:t>
            </w:r>
          </w:p>
        </w:tc>
        <w:tc>
          <w:tcPr>
            <w:tcW w:w="1334" w:type="dxa"/>
            <w:vAlign w:val="center"/>
          </w:tcPr>
          <w:p w:rsidR="00986B0D" w:rsidRDefault="000F03E0">
            <w:pPr>
              <w:jc w:val="right"/>
            </w:pPr>
            <w:r>
              <w:rPr>
                <w:color w:val="000000"/>
                <w:sz w:val="24"/>
                <w:szCs w:val="24"/>
              </w:rPr>
              <w:t>523,302</w:t>
            </w:r>
          </w:p>
        </w:tc>
        <w:tc>
          <w:tcPr>
            <w:tcW w:w="1924" w:type="dxa"/>
            <w:vAlign w:val="center"/>
          </w:tcPr>
          <w:p w:rsidR="00986B0D" w:rsidRDefault="000F03E0">
            <w:pPr>
              <w:jc w:val="right"/>
            </w:pPr>
            <w:r>
              <w:rPr>
                <w:color w:val="000000"/>
                <w:sz w:val="24"/>
                <w:szCs w:val="24"/>
              </w:rPr>
              <w:t>46,066,275.06</w:t>
            </w:r>
          </w:p>
        </w:tc>
        <w:tc>
          <w:tcPr>
            <w:tcW w:w="1644" w:type="dxa"/>
            <w:vAlign w:val="center"/>
          </w:tcPr>
          <w:p w:rsidR="00986B0D" w:rsidRDefault="000F03E0">
            <w:pPr>
              <w:jc w:val="right"/>
            </w:pPr>
            <w:r>
              <w:rPr>
                <w:color w:val="000000"/>
                <w:sz w:val="24"/>
                <w:szCs w:val="24"/>
              </w:rPr>
              <w:t>2.64</w:t>
            </w:r>
          </w:p>
        </w:tc>
      </w:tr>
      <w:tr w:rsidR="00986B0D">
        <w:trPr>
          <w:jc w:val="center"/>
        </w:trPr>
        <w:tc>
          <w:tcPr>
            <w:tcW w:w="855" w:type="dxa"/>
            <w:vAlign w:val="center"/>
          </w:tcPr>
          <w:p w:rsidR="00986B0D" w:rsidRDefault="000F03E0">
            <w:pPr>
              <w:jc w:val="center"/>
            </w:pPr>
            <w:r>
              <w:rPr>
                <w:color w:val="000000"/>
                <w:sz w:val="24"/>
                <w:szCs w:val="24"/>
              </w:rPr>
              <w:t>10</w:t>
            </w:r>
          </w:p>
        </w:tc>
        <w:tc>
          <w:tcPr>
            <w:tcW w:w="1334" w:type="dxa"/>
            <w:vAlign w:val="center"/>
          </w:tcPr>
          <w:p w:rsidR="00986B0D" w:rsidRDefault="000F03E0">
            <w:pPr>
              <w:jc w:val="center"/>
            </w:pPr>
            <w:r>
              <w:rPr>
                <w:color w:val="000000"/>
                <w:sz w:val="24"/>
                <w:szCs w:val="24"/>
              </w:rPr>
              <w:t>000661</w:t>
            </w:r>
          </w:p>
        </w:tc>
        <w:tc>
          <w:tcPr>
            <w:tcW w:w="1777" w:type="dxa"/>
            <w:vAlign w:val="center"/>
          </w:tcPr>
          <w:p w:rsidR="00986B0D" w:rsidRDefault="000F03E0">
            <w:pPr>
              <w:jc w:val="center"/>
            </w:pPr>
            <w:r>
              <w:rPr>
                <w:color w:val="000000"/>
                <w:sz w:val="24"/>
                <w:szCs w:val="24"/>
              </w:rPr>
              <w:t>长春高新</w:t>
            </w:r>
          </w:p>
        </w:tc>
        <w:tc>
          <w:tcPr>
            <w:tcW w:w="1334" w:type="dxa"/>
            <w:vAlign w:val="center"/>
          </w:tcPr>
          <w:p w:rsidR="00986B0D" w:rsidRDefault="000F03E0">
            <w:pPr>
              <w:jc w:val="right"/>
            </w:pPr>
            <w:r>
              <w:rPr>
                <w:color w:val="000000"/>
                <w:sz w:val="24"/>
                <w:szCs w:val="24"/>
              </w:rPr>
              <w:t>191,372</w:t>
            </w:r>
          </w:p>
        </w:tc>
        <w:tc>
          <w:tcPr>
            <w:tcW w:w="1924" w:type="dxa"/>
            <w:vAlign w:val="center"/>
          </w:tcPr>
          <w:p w:rsidR="00986B0D" w:rsidRDefault="000F03E0">
            <w:pPr>
              <w:jc w:val="right"/>
            </w:pPr>
            <w:r>
              <w:rPr>
                <w:color w:val="000000"/>
                <w:sz w:val="24"/>
                <w:szCs w:val="24"/>
              </w:rPr>
              <w:t>45,355,164.00</w:t>
            </w:r>
          </w:p>
        </w:tc>
        <w:tc>
          <w:tcPr>
            <w:tcW w:w="1644" w:type="dxa"/>
            <w:vAlign w:val="center"/>
          </w:tcPr>
          <w:p w:rsidR="00986B0D" w:rsidRDefault="000F03E0">
            <w:pPr>
              <w:jc w:val="right"/>
            </w:pPr>
            <w:r>
              <w:rPr>
                <w:color w:val="000000"/>
                <w:sz w:val="24"/>
                <w:szCs w:val="24"/>
              </w:rPr>
              <w:t>2.60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74,617,500.00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4.28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74,617,500.00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4.28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986B0D">
        <w:trPr>
          <w:jc w:val="center"/>
        </w:trPr>
        <w:tc>
          <w:tcPr>
            <w:tcW w:w="850" w:type="dxa"/>
            <w:vAlign w:val="center"/>
          </w:tcPr>
          <w:p w:rsidR="00986B0D" w:rsidRDefault="000F03E0">
            <w:pPr>
              <w:jc w:val="center"/>
            </w:pPr>
            <w:r>
              <w:rPr>
                <w:color w:val="000000"/>
                <w:sz w:val="24"/>
                <w:szCs w:val="24"/>
              </w:rPr>
              <w:t>1</w:t>
            </w:r>
          </w:p>
        </w:tc>
        <w:tc>
          <w:tcPr>
            <w:tcW w:w="1475" w:type="dxa"/>
            <w:vAlign w:val="center"/>
          </w:tcPr>
          <w:p w:rsidR="00986B0D" w:rsidRDefault="000F03E0">
            <w:pPr>
              <w:jc w:val="center"/>
            </w:pPr>
            <w:r>
              <w:rPr>
                <w:color w:val="000000"/>
                <w:sz w:val="24"/>
                <w:szCs w:val="24"/>
              </w:rPr>
              <w:t>189937</w:t>
            </w:r>
          </w:p>
        </w:tc>
        <w:tc>
          <w:tcPr>
            <w:tcW w:w="1769" w:type="dxa"/>
            <w:vAlign w:val="center"/>
          </w:tcPr>
          <w:p w:rsidR="00986B0D" w:rsidRDefault="000F03E0">
            <w:pPr>
              <w:jc w:val="center"/>
            </w:pPr>
            <w:r>
              <w:rPr>
                <w:color w:val="000000"/>
                <w:sz w:val="24"/>
                <w:szCs w:val="24"/>
              </w:rPr>
              <w:t>18</w:t>
            </w:r>
            <w:r>
              <w:rPr>
                <w:color w:val="000000"/>
                <w:sz w:val="24"/>
                <w:szCs w:val="24"/>
              </w:rPr>
              <w:t>贴现国债</w:t>
            </w:r>
            <w:r>
              <w:rPr>
                <w:color w:val="000000"/>
                <w:sz w:val="24"/>
                <w:szCs w:val="24"/>
              </w:rPr>
              <w:t>37</w:t>
            </w:r>
          </w:p>
        </w:tc>
        <w:tc>
          <w:tcPr>
            <w:tcW w:w="1387" w:type="dxa"/>
            <w:vAlign w:val="center"/>
          </w:tcPr>
          <w:p w:rsidR="00986B0D" w:rsidRDefault="000F03E0">
            <w:pPr>
              <w:jc w:val="right"/>
            </w:pPr>
            <w:r>
              <w:rPr>
                <w:color w:val="000000"/>
                <w:sz w:val="24"/>
                <w:szCs w:val="24"/>
              </w:rPr>
              <w:t>750,000</w:t>
            </w:r>
          </w:p>
        </w:tc>
        <w:tc>
          <w:tcPr>
            <w:tcW w:w="2150" w:type="dxa"/>
            <w:vAlign w:val="center"/>
          </w:tcPr>
          <w:p w:rsidR="00986B0D" w:rsidRDefault="000F03E0">
            <w:pPr>
              <w:jc w:val="right"/>
            </w:pPr>
            <w:r>
              <w:rPr>
                <w:color w:val="000000"/>
                <w:sz w:val="24"/>
                <w:szCs w:val="24"/>
              </w:rPr>
              <w:t>74,617,500.00</w:t>
            </w:r>
          </w:p>
        </w:tc>
        <w:tc>
          <w:tcPr>
            <w:tcW w:w="1237" w:type="dxa"/>
            <w:vAlign w:val="center"/>
          </w:tcPr>
          <w:p w:rsidR="00986B0D" w:rsidRDefault="000F03E0">
            <w:pPr>
              <w:jc w:val="right"/>
            </w:pPr>
            <w:r>
              <w:rPr>
                <w:color w:val="000000"/>
                <w:sz w:val="24"/>
                <w:szCs w:val="24"/>
              </w:rPr>
              <w:t>4.28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543,343.22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481,669.95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14,694,341.61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15,719,354.78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986B0D">
        <w:trPr>
          <w:jc w:val="center"/>
        </w:trPr>
        <w:tc>
          <w:tcPr>
            <w:tcW w:w="1129" w:type="dxa"/>
            <w:vAlign w:val="center"/>
          </w:tcPr>
          <w:p w:rsidR="00986B0D" w:rsidRDefault="000F03E0">
            <w:pPr>
              <w:jc w:val="center"/>
            </w:pPr>
            <w:r>
              <w:rPr>
                <w:color w:val="000000"/>
                <w:sz w:val="24"/>
                <w:szCs w:val="24"/>
              </w:rPr>
              <w:t>1</w:t>
            </w:r>
          </w:p>
        </w:tc>
        <w:tc>
          <w:tcPr>
            <w:tcW w:w="1356" w:type="dxa"/>
            <w:vAlign w:val="center"/>
          </w:tcPr>
          <w:p w:rsidR="00986B0D" w:rsidRDefault="000F03E0">
            <w:pPr>
              <w:jc w:val="center"/>
            </w:pPr>
            <w:r>
              <w:rPr>
                <w:color w:val="000000"/>
                <w:sz w:val="24"/>
                <w:szCs w:val="24"/>
              </w:rPr>
              <w:t>300188</w:t>
            </w:r>
          </w:p>
        </w:tc>
        <w:tc>
          <w:tcPr>
            <w:tcW w:w="1355" w:type="dxa"/>
            <w:vAlign w:val="center"/>
          </w:tcPr>
          <w:p w:rsidR="00986B0D" w:rsidRDefault="000F03E0">
            <w:pPr>
              <w:jc w:val="center"/>
            </w:pPr>
            <w:r>
              <w:rPr>
                <w:color w:val="000000"/>
                <w:sz w:val="24"/>
                <w:szCs w:val="24"/>
              </w:rPr>
              <w:t>美亚柏科</w:t>
            </w:r>
          </w:p>
        </w:tc>
        <w:tc>
          <w:tcPr>
            <w:tcW w:w="1880" w:type="dxa"/>
            <w:vAlign w:val="center"/>
          </w:tcPr>
          <w:p w:rsidR="00986B0D" w:rsidRDefault="000F03E0">
            <w:pPr>
              <w:jc w:val="right"/>
            </w:pPr>
            <w:r>
              <w:rPr>
                <w:color w:val="000000"/>
                <w:sz w:val="24"/>
                <w:szCs w:val="24"/>
              </w:rPr>
              <w:t>8,276,400.00</w:t>
            </w:r>
          </w:p>
        </w:tc>
        <w:tc>
          <w:tcPr>
            <w:tcW w:w="1724" w:type="dxa"/>
            <w:vAlign w:val="center"/>
          </w:tcPr>
          <w:p w:rsidR="00986B0D" w:rsidRDefault="000F03E0">
            <w:pPr>
              <w:jc w:val="right"/>
            </w:pPr>
            <w:r>
              <w:rPr>
                <w:color w:val="000000"/>
                <w:sz w:val="24"/>
                <w:szCs w:val="24"/>
              </w:rPr>
              <w:t>0.47</w:t>
            </w:r>
          </w:p>
        </w:tc>
        <w:tc>
          <w:tcPr>
            <w:tcW w:w="1424" w:type="dxa"/>
            <w:vAlign w:val="center"/>
          </w:tcPr>
          <w:p w:rsidR="00986B0D" w:rsidRDefault="000F03E0">
            <w:pPr>
              <w:jc w:val="right"/>
            </w:pPr>
            <w:r>
              <w:rPr>
                <w:color w:val="000000"/>
                <w:sz w:val="24"/>
                <w:szCs w:val="24"/>
              </w:rPr>
              <w:t>限售股</w:t>
            </w:r>
          </w:p>
        </w:tc>
      </w:tr>
      <w:tr w:rsidR="00986B0D">
        <w:trPr>
          <w:jc w:val="center"/>
        </w:trPr>
        <w:tc>
          <w:tcPr>
            <w:tcW w:w="1129" w:type="dxa"/>
            <w:vAlign w:val="center"/>
          </w:tcPr>
          <w:p w:rsidR="00986B0D" w:rsidRDefault="000F03E0">
            <w:pPr>
              <w:jc w:val="center"/>
            </w:pPr>
            <w:r>
              <w:rPr>
                <w:color w:val="000000"/>
                <w:sz w:val="24"/>
                <w:szCs w:val="24"/>
              </w:rPr>
              <w:t>2</w:t>
            </w:r>
          </w:p>
        </w:tc>
        <w:tc>
          <w:tcPr>
            <w:tcW w:w="1356" w:type="dxa"/>
            <w:vAlign w:val="center"/>
          </w:tcPr>
          <w:p w:rsidR="00986B0D" w:rsidRDefault="000F03E0">
            <w:pPr>
              <w:jc w:val="center"/>
            </w:pPr>
            <w:r>
              <w:rPr>
                <w:color w:val="000000"/>
                <w:sz w:val="24"/>
                <w:szCs w:val="24"/>
              </w:rPr>
              <w:t>002410</w:t>
            </w:r>
          </w:p>
        </w:tc>
        <w:tc>
          <w:tcPr>
            <w:tcW w:w="1355" w:type="dxa"/>
            <w:vAlign w:val="center"/>
          </w:tcPr>
          <w:p w:rsidR="00986B0D" w:rsidRDefault="000F03E0">
            <w:pPr>
              <w:jc w:val="center"/>
            </w:pPr>
            <w:r>
              <w:rPr>
                <w:color w:val="000000"/>
                <w:sz w:val="24"/>
                <w:szCs w:val="24"/>
              </w:rPr>
              <w:t>广联达</w:t>
            </w:r>
          </w:p>
        </w:tc>
        <w:tc>
          <w:tcPr>
            <w:tcW w:w="1880" w:type="dxa"/>
            <w:vAlign w:val="center"/>
          </w:tcPr>
          <w:p w:rsidR="00986B0D" w:rsidRDefault="000F03E0">
            <w:pPr>
              <w:jc w:val="right"/>
            </w:pPr>
            <w:r>
              <w:rPr>
                <w:color w:val="000000"/>
                <w:sz w:val="24"/>
                <w:szCs w:val="24"/>
              </w:rPr>
              <w:t>9,864,000.00</w:t>
            </w:r>
          </w:p>
        </w:tc>
        <w:tc>
          <w:tcPr>
            <w:tcW w:w="1724" w:type="dxa"/>
            <w:vAlign w:val="center"/>
          </w:tcPr>
          <w:p w:rsidR="00986B0D" w:rsidRDefault="000F03E0">
            <w:pPr>
              <w:jc w:val="right"/>
            </w:pPr>
            <w:r>
              <w:rPr>
                <w:color w:val="000000"/>
                <w:sz w:val="24"/>
                <w:szCs w:val="24"/>
              </w:rPr>
              <w:t>0.57</w:t>
            </w:r>
          </w:p>
        </w:tc>
        <w:tc>
          <w:tcPr>
            <w:tcW w:w="1424" w:type="dxa"/>
            <w:vAlign w:val="center"/>
          </w:tcPr>
          <w:p w:rsidR="00986B0D" w:rsidRDefault="000F03E0">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489,302,295.58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267,027,021.98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130,452,007.03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625,877,310.53</w:t>
            </w:r>
          </w:p>
        </w:tc>
      </w:tr>
    </w:tbl>
    <w:p w:rsidR="00986B0D" w:rsidRDefault="000F03E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986B0D" w:rsidRDefault="000F03E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、中国证监会批准交银施罗德定期支付双息平衡混合型证券投资基金募集的文件；</w:t>
      </w:r>
      <w:r>
        <w:rPr>
          <w:color w:val="000000"/>
          <w:sz w:val="24"/>
          <w:szCs w:val="24"/>
        </w:rPr>
        <w:t xml:space="preserve"> </w:t>
      </w:r>
    </w:p>
    <w:p w:rsidR="00986B0D" w:rsidRDefault="000F03E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、《交银施罗德定期支付双息平衡混合型证券投资基金基金合同》；</w:t>
      </w:r>
      <w:r>
        <w:rPr>
          <w:color w:val="000000"/>
          <w:sz w:val="24"/>
          <w:szCs w:val="24"/>
        </w:rPr>
        <w:t xml:space="preserve"> </w:t>
      </w:r>
    </w:p>
    <w:p w:rsidR="00986B0D" w:rsidRDefault="000F03E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、《交银施罗德定期支付双息平衡混合型证券投资基金招募说明书》；</w:t>
      </w:r>
      <w:r>
        <w:rPr>
          <w:color w:val="000000"/>
          <w:sz w:val="24"/>
          <w:szCs w:val="24"/>
        </w:rPr>
        <w:t xml:space="preserve"> </w:t>
      </w:r>
    </w:p>
    <w:p w:rsidR="00986B0D" w:rsidRDefault="000F03E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、《交银施罗德定期支付双息平衡混合型证券投资基金托管协议》；</w:t>
      </w:r>
      <w:r>
        <w:rPr>
          <w:color w:val="000000"/>
          <w:sz w:val="24"/>
          <w:szCs w:val="24"/>
        </w:rPr>
        <w:t xml:space="preserve"> </w:t>
      </w:r>
    </w:p>
    <w:p w:rsidR="00986B0D" w:rsidRDefault="000F03E0">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、关于募集交银施罗德定期支付双息平衡混合型证券投资基金之法律意见书；</w:t>
      </w:r>
      <w:r>
        <w:rPr>
          <w:color w:val="000000"/>
          <w:sz w:val="24"/>
          <w:szCs w:val="24"/>
        </w:rPr>
        <w:t xml:space="preserve"> </w:t>
      </w:r>
    </w:p>
    <w:p w:rsidR="00986B0D" w:rsidRDefault="000F03E0">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986B0D" w:rsidRDefault="000F03E0">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、报告期内交银施罗德定期支付双息平衡混合型证券投资基金在指定报刊上各项公告的原稿。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986B0D" w:rsidRDefault="000F03E0">
      <w:pPr>
        <w:spacing w:before="29" w:line="288" w:lineRule="auto"/>
        <w:ind w:firstLineChars="200" w:firstLine="480"/>
        <w:rPr>
          <w:color w:val="000000"/>
          <w:sz w:val="24"/>
          <w:szCs w:val="24"/>
        </w:rPr>
      </w:pPr>
      <w:r>
        <w:rPr>
          <w:color w:val="000000"/>
          <w:sz w:val="24"/>
          <w:szCs w:val="24"/>
        </w:rPr>
        <w:lastRenderedPageBreak/>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3E0" w:rsidRDefault="000F03E0" w:rsidP="00876D65">
      <w:r>
        <w:separator/>
      </w:r>
    </w:p>
  </w:endnote>
  <w:endnote w:type="continuationSeparator" w:id="0">
    <w:p w:rsidR="000F03E0" w:rsidRDefault="000F03E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72763A">
      <w:rPr>
        <w:noProof/>
        <w:kern w:val="0"/>
        <w:szCs w:val="21"/>
      </w:rPr>
      <w:t>12</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72763A">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3E0" w:rsidRDefault="000F03E0" w:rsidP="00876D65">
      <w:r>
        <w:separator/>
      </w:r>
    </w:p>
  </w:footnote>
  <w:footnote w:type="continuationSeparator" w:id="0">
    <w:p w:rsidR="000F03E0" w:rsidRDefault="000F03E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交银施罗德定期支付双息平衡混合型证券投资基金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03E0"/>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63A"/>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86B0D"/>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D4B909-C2A1-4364-AC05-A5AE03A5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DAC81-0C46-43CA-A333-C40310836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12</Pages>
  <Words>1008</Words>
  <Characters>5747</Characters>
  <Application>Microsoft Office Word</Application>
  <DocSecurity>0</DocSecurity>
  <Lines>47</Lines>
  <Paragraphs>13</Paragraphs>
  <ScaleCrop>false</ScaleCrop>
  <Company/>
  <LinksUpToDate>false</LinksUpToDate>
  <CharactersWithSpaces>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579</cp:revision>
  <dcterms:created xsi:type="dcterms:W3CDTF">2012-10-16T06:07:00Z</dcterms:created>
  <dcterms:modified xsi:type="dcterms:W3CDTF">2018-10-22T05:33:00Z</dcterms:modified>
</cp:coreProperties>
</file>