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36,528,417.11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961B2D">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34,743,643.05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1,784,774.06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295,643.45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9,271.24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-93,125.16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-8,045.91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47,315,747.06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2,377,938.06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1.332</w:t>
            </w:r>
          </w:p>
        </w:tc>
      </w:tr>
    </w:tbl>
    <w:p w:rsidR="00460B82" w:rsidRDefault="00961B2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60B82">
        <w:trPr>
          <w:jc w:val="center"/>
        </w:trPr>
        <w:tc>
          <w:tcPr>
            <w:tcW w:w="1266" w:type="dxa"/>
            <w:vAlign w:val="center"/>
          </w:tcPr>
          <w:p w:rsidR="00460B82" w:rsidRDefault="00961B2D">
            <w:pPr>
              <w:jc w:val="left"/>
            </w:pPr>
            <w:r>
              <w:rPr>
                <w:color w:val="000000"/>
                <w:sz w:val="24"/>
              </w:rPr>
              <w:t>过去三个月</w:t>
            </w:r>
          </w:p>
        </w:tc>
        <w:tc>
          <w:tcPr>
            <w:tcW w:w="1267" w:type="dxa"/>
            <w:vAlign w:val="center"/>
          </w:tcPr>
          <w:p w:rsidR="00460B82" w:rsidRDefault="00961B2D">
            <w:pPr>
              <w:jc w:val="center"/>
            </w:pPr>
            <w:r>
              <w:rPr>
                <w:color w:val="000000"/>
                <w:sz w:val="24"/>
              </w:rPr>
              <w:t>-0.22%</w:t>
            </w:r>
          </w:p>
        </w:tc>
        <w:tc>
          <w:tcPr>
            <w:tcW w:w="1267" w:type="dxa"/>
            <w:vAlign w:val="center"/>
          </w:tcPr>
          <w:p w:rsidR="00460B82" w:rsidRDefault="00961B2D">
            <w:pPr>
              <w:jc w:val="center"/>
            </w:pPr>
            <w:r>
              <w:rPr>
                <w:color w:val="000000"/>
                <w:sz w:val="24"/>
              </w:rPr>
              <w:t>0.26%</w:t>
            </w:r>
          </w:p>
        </w:tc>
        <w:tc>
          <w:tcPr>
            <w:tcW w:w="1267" w:type="dxa"/>
            <w:vAlign w:val="center"/>
          </w:tcPr>
          <w:p w:rsidR="00460B82" w:rsidRDefault="00961B2D">
            <w:pPr>
              <w:jc w:val="center"/>
            </w:pPr>
            <w:r>
              <w:rPr>
                <w:color w:val="000000"/>
                <w:sz w:val="24"/>
              </w:rPr>
              <w:t>0.36%</w:t>
            </w:r>
          </w:p>
        </w:tc>
        <w:tc>
          <w:tcPr>
            <w:tcW w:w="1267" w:type="dxa"/>
            <w:vAlign w:val="center"/>
          </w:tcPr>
          <w:p w:rsidR="00460B82" w:rsidRDefault="00961B2D">
            <w:pPr>
              <w:jc w:val="center"/>
            </w:pPr>
            <w:r>
              <w:rPr>
                <w:color w:val="000000"/>
                <w:sz w:val="24"/>
              </w:rPr>
              <w:t>0.14%</w:t>
            </w:r>
          </w:p>
        </w:tc>
        <w:tc>
          <w:tcPr>
            <w:tcW w:w="1267" w:type="dxa"/>
            <w:vAlign w:val="center"/>
          </w:tcPr>
          <w:p w:rsidR="00460B82" w:rsidRDefault="00961B2D">
            <w:pPr>
              <w:jc w:val="center"/>
            </w:pPr>
            <w:r>
              <w:rPr>
                <w:color w:val="000000"/>
                <w:sz w:val="24"/>
              </w:rPr>
              <w:t>-0.58%</w:t>
            </w:r>
          </w:p>
        </w:tc>
        <w:tc>
          <w:tcPr>
            <w:tcW w:w="1267" w:type="dxa"/>
            <w:vAlign w:val="center"/>
          </w:tcPr>
          <w:p w:rsidR="00460B82" w:rsidRDefault="00961B2D">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60B82">
        <w:trPr>
          <w:jc w:val="center"/>
        </w:trPr>
        <w:tc>
          <w:tcPr>
            <w:tcW w:w="1266" w:type="dxa"/>
            <w:vAlign w:val="center"/>
          </w:tcPr>
          <w:p w:rsidR="00460B82" w:rsidRDefault="00961B2D">
            <w:pPr>
              <w:jc w:val="left"/>
            </w:pPr>
            <w:r>
              <w:rPr>
                <w:color w:val="000000"/>
                <w:sz w:val="24"/>
              </w:rPr>
              <w:t>过去三个月</w:t>
            </w:r>
          </w:p>
        </w:tc>
        <w:tc>
          <w:tcPr>
            <w:tcW w:w="1267" w:type="dxa"/>
            <w:vAlign w:val="center"/>
          </w:tcPr>
          <w:p w:rsidR="00460B82" w:rsidRDefault="00961B2D">
            <w:pPr>
              <w:jc w:val="center"/>
            </w:pPr>
            <w:r>
              <w:rPr>
                <w:color w:val="000000"/>
                <w:sz w:val="24"/>
              </w:rPr>
              <w:t>-0.37%</w:t>
            </w:r>
          </w:p>
        </w:tc>
        <w:tc>
          <w:tcPr>
            <w:tcW w:w="1267" w:type="dxa"/>
            <w:vAlign w:val="center"/>
          </w:tcPr>
          <w:p w:rsidR="00460B82" w:rsidRDefault="00961B2D">
            <w:pPr>
              <w:jc w:val="center"/>
            </w:pPr>
            <w:r>
              <w:rPr>
                <w:color w:val="000000"/>
                <w:sz w:val="24"/>
              </w:rPr>
              <w:t>0.27%</w:t>
            </w:r>
          </w:p>
        </w:tc>
        <w:tc>
          <w:tcPr>
            <w:tcW w:w="1267" w:type="dxa"/>
            <w:vAlign w:val="center"/>
          </w:tcPr>
          <w:p w:rsidR="00460B82" w:rsidRDefault="00961B2D">
            <w:pPr>
              <w:jc w:val="center"/>
            </w:pPr>
            <w:r>
              <w:rPr>
                <w:color w:val="000000"/>
                <w:sz w:val="24"/>
              </w:rPr>
              <w:t>0.36%</w:t>
            </w:r>
          </w:p>
        </w:tc>
        <w:tc>
          <w:tcPr>
            <w:tcW w:w="1267" w:type="dxa"/>
            <w:vAlign w:val="center"/>
          </w:tcPr>
          <w:p w:rsidR="00460B82" w:rsidRDefault="00961B2D">
            <w:pPr>
              <w:jc w:val="center"/>
            </w:pPr>
            <w:r>
              <w:rPr>
                <w:color w:val="000000"/>
                <w:sz w:val="24"/>
              </w:rPr>
              <w:t>0.14%</w:t>
            </w:r>
          </w:p>
        </w:tc>
        <w:tc>
          <w:tcPr>
            <w:tcW w:w="1267" w:type="dxa"/>
            <w:vAlign w:val="center"/>
          </w:tcPr>
          <w:p w:rsidR="00460B82" w:rsidRDefault="00961B2D">
            <w:pPr>
              <w:jc w:val="center"/>
            </w:pPr>
            <w:r>
              <w:rPr>
                <w:color w:val="000000"/>
                <w:sz w:val="24"/>
              </w:rPr>
              <w:t>-0.73%</w:t>
            </w:r>
          </w:p>
        </w:tc>
        <w:tc>
          <w:tcPr>
            <w:tcW w:w="1267" w:type="dxa"/>
            <w:vAlign w:val="center"/>
          </w:tcPr>
          <w:p w:rsidR="00460B82" w:rsidRDefault="00961B2D">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60B82">
        <w:trPr>
          <w:jc w:val="center"/>
        </w:trPr>
        <w:tc>
          <w:tcPr>
            <w:tcW w:w="946" w:type="dxa"/>
            <w:vAlign w:val="center"/>
          </w:tcPr>
          <w:p w:rsidR="00460B82" w:rsidRDefault="00961B2D">
            <w:pPr>
              <w:jc w:val="center"/>
            </w:pPr>
            <w:r>
              <w:rPr>
                <w:color w:val="000000"/>
                <w:sz w:val="24"/>
              </w:rPr>
              <w:t>凌超</w:t>
            </w:r>
          </w:p>
        </w:tc>
        <w:tc>
          <w:tcPr>
            <w:tcW w:w="924" w:type="dxa"/>
            <w:vAlign w:val="center"/>
          </w:tcPr>
          <w:p w:rsidR="00460B82" w:rsidRDefault="00961B2D">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460B82" w:rsidRDefault="00961B2D">
            <w:pPr>
              <w:jc w:val="center"/>
            </w:pPr>
            <w:r>
              <w:rPr>
                <w:color w:val="000000"/>
                <w:sz w:val="24"/>
              </w:rPr>
              <w:t>2018-02-13</w:t>
            </w:r>
          </w:p>
        </w:tc>
        <w:tc>
          <w:tcPr>
            <w:tcW w:w="1300" w:type="dxa"/>
            <w:vAlign w:val="center"/>
          </w:tcPr>
          <w:p w:rsidR="00460B82" w:rsidRDefault="00961B2D">
            <w:pPr>
              <w:jc w:val="center"/>
            </w:pPr>
            <w:r>
              <w:rPr>
                <w:color w:val="000000"/>
                <w:sz w:val="24"/>
              </w:rPr>
              <w:t>-</w:t>
            </w:r>
          </w:p>
        </w:tc>
        <w:tc>
          <w:tcPr>
            <w:tcW w:w="1245" w:type="dxa"/>
            <w:vAlign w:val="center"/>
          </w:tcPr>
          <w:p w:rsidR="00460B82" w:rsidRDefault="00961B2D">
            <w:pPr>
              <w:jc w:val="center"/>
            </w:pPr>
            <w:r>
              <w:rPr>
                <w:color w:val="000000"/>
                <w:sz w:val="24"/>
              </w:rPr>
              <w:t>12</w:t>
            </w:r>
            <w:r>
              <w:rPr>
                <w:color w:val="000000"/>
                <w:sz w:val="24"/>
              </w:rPr>
              <w:t>年</w:t>
            </w:r>
          </w:p>
        </w:tc>
        <w:tc>
          <w:tcPr>
            <w:tcW w:w="3251" w:type="dxa"/>
            <w:vAlign w:val="center"/>
          </w:tcPr>
          <w:p w:rsidR="00460B82" w:rsidRDefault="00961B2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460B82">
        <w:trPr>
          <w:jc w:val="center"/>
        </w:trPr>
        <w:tc>
          <w:tcPr>
            <w:tcW w:w="946" w:type="dxa"/>
            <w:vAlign w:val="center"/>
          </w:tcPr>
          <w:p w:rsidR="00460B82" w:rsidRDefault="00961B2D">
            <w:pPr>
              <w:jc w:val="center"/>
            </w:pPr>
            <w:r>
              <w:rPr>
                <w:color w:val="000000"/>
                <w:sz w:val="24"/>
              </w:rPr>
              <w:t>于海颖</w:t>
            </w:r>
          </w:p>
        </w:tc>
        <w:tc>
          <w:tcPr>
            <w:tcW w:w="924" w:type="dxa"/>
            <w:vAlign w:val="center"/>
          </w:tcPr>
          <w:p w:rsidR="00460B82" w:rsidRDefault="00961B2D">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460B82" w:rsidRDefault="00961B2D">
            <w:pPr>
              <w:jc w:val="center"/>
            </w:pPr>
            <w:r>
              <w:rPr>
                <w:color w:val="000000"/>
                <w:sz w:val="24"/>
              </w:rPr>
              <w:t>2017-06-10</w:t>
            </w:r>
          </w:p>
        </w:tc>
        <w:tc>
          <w:tcPr>
            <w:tcW w:w="1300" w:type="dxa"/>
            <w:vAlign w:val="center"/>
          </w:tcPr>
          <w:p w:rsidR="00460B82" w:rsidRDefault="00961B2D">
            <w:pPr>
              <w:jc w:val="center"/>
            </w:pPr>
            <w:r>
              <w:rPr>
                <w:color w:val="000000"/>
                <w:sz w:val="24"/>
              </w:rPr>
              <w:t>-</w:t>
            </w:r>
          </w:p>
        </w:tc>
        <w:tc>
          <w:tcPr>
            <w:tcW w:w="1245" w:type="dxa"/>
            <w:vAlign w:val="center"/>
          </w:tcPr>
          <w:p w:rsidR="00460B82" w:rsidRDefault="00961B2D">
            <w:pPr>
              <w:jc w:val="center"/>
            </w:pPr>
            <w:r>
              <w:rPr>
                <w:color w:val="000000"/>
                <w:sz w:val="24"/>
              </w:rPr>
              <w:t>12</w:t>
            </w:r>
            <w:r>
              <w:rPr>
                <w:color w:val="000000"/>
                <w:sz w:val="24"/>
              </w:rPr>
              <w:t>年</w:t>
            </w:r>
          </w:p>
        </w:tc>
        <w:tc>
          <w:tcPr>
            <w:tcW w:w="3251" w:type="dxa"/>
            <w:vAlign w:val="center"/>
          </w:tcPr>
          <w:p w:rsidR="00460B82" w:rsidRDefault="00961B2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60B82" w:rsidRDefault="00961B2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60B82" w:rsidRDefault="00961B2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0B82" w:rsidRDefault="00961B2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60B82" w:rsidRDefault="00961B2D">
      <w:pPr>
        <w:spacing w:before="29" w:line="288" w:lineRule="auto"/>
        <w:ind w:firstLineChars="200" w:firstLine="480"/>
        <w:rPr>
          <w:color w:val="000000"/>
          <w:sz w:val="24"/>
        </w:rPr>
      </w:pPr>
      <w:r>
        <w:rPr>
          <w:color w:val="000000"/>
          <w:sz w:val="24"/>
        </w:rPr>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w:t>
      </w:r>
      <w:r>
        <w:rPr>
          <w:color w:val="000000"/>
          <w:sz w:val="24"/>
        </w:rPr>
        <w:t>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460B82" w:rsidRDefault="00961B2D">
      <w:pPr>
        <w:spacing w:before="29" w:line="288" w:lineRule="auto"/>
        <w:ind w:firstLineChars="200" w:firstLine="480"/>
        <w:rPr>
          <w:color w:val="000000"/>
          <w:sz w:val="24"/>
        </w:rPr>
      </w:pPr>
      <w:r>
        <w:rPr>
          <w:color w:val="000000"/>
          <w:sz w:val="24"/>
        </w:rPr>
        <w:t>权益市场方面，在避险情绪及经济走弱预期影响下，三季度市场表现低迷，上证综指下跌</w:t>
      </w:r>
      <w:r>
        <w:rPr>
          <w:color w:val="000000"/>
          <w:sz w:val="24"/>
        </w:rPr>
        <w:t>0.92%</w:t>
      </w:r>
      <w:r>
        <w:rPr>
          <w:color w:val="000000"/>
          <w:sz w:val="24"/>
        </w:rPr>
        <w:t>，创业板指下跌</w:t>
      </w:r>
      <w:r>
        <w:rPr>
          <w:color w:val="000000"/>
          <w:sz w:val="24"/>
        </w:rPr>
        <w:t>12.16%</w:t>
      </w:r>
      <w:r>
        <w:rPr>
          <w:color w:val="000000"/>
          <w:sz w:val="24"/>
        </w:rPr>
        <w:t>。行业层面，银行保险作为防御性板块，有较好的相对收益和绝对收益，石化板块受油价景气度影响，表现也较为突出，建筑、军工、钢铁阶段性有较好表现，消费板块受景气影响表现较弱。</w:t>
      </w:r>
    </w:p>
    <w:p w:rsidR="00460B82" w:rsidRDefault="00961B2D">
      <w:pPr>
        <w:spacing w:before="29" w:line="288" w:lineRule="auto"/>
        <w:ind w:firstLineChars="200" w:firstLine="480"/>
        <w:rPr>
          <w:color w:val="000000"/>
          <w:sz w:val="24"/>
        </w:rPr>
      </w:pPr>
      <w:r>
        <w:rPr>
          <w:color w:val="000000"/>
          <w:sz w:val="24"/>
        </w:rPr>
        <w:t>本报告期内，基于债券市场震荡判断，组合在债券方面主要通过交易所利率债波段操作增厚收益。股票方面，由于对市场持谨慎观望态度，组合维持低仓位，并择机参与高景气行业的波段机会。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前期社融总额增速的下滑影响已经逐步在中观消费数据得以体现，随着地产销售的走低，叠加中美贸易争端对净出口的负面影响，总需求弱势格局延续。我们维持对债市谨慎乐观的观点，不过也需关注社融表外数据的改善情况，以及油价和食品价格上行对明年通胀的可能冲击。权益市场方面，在未明确市场主线前，以观望为主，谨慎参与市场反弹。</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254,248.00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254,248.00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41,169,829.70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41,169,829.70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725,699.58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1,320,430.91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49,970,208.19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254,248.00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254,248.00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60B82">
        <w:trPr>
          <w:jc w:val="center"/>
        </w:trPr>
        <w:tc>
          <w:tcPr>
            <w:tcW w:w="850" w:type="dxa"/>
            <w:vAlign w:val="center"/>
          </w:tcPr>
          <w:p w:rsidR="00460B82" w:rsidRDefault="00961B2D">
            <w:pPr>
              <w:jc w:val="center"/>
            </w:pPr>
            <w:r>
              <w:rPr>
                <w:color w:val="000000"/>
                <w:sz w:val="24"/>
              </w:rPr>
              <w:t>1</w:t>
            </w:r>
          </w:p>
        </w:tc>
        <w:tc>
          <w:tcPr>
            <w:tcW w:w="1327" w:type="dxa"/>
            <w:vAlign w:val="center"/>
          </w:tcPr>
          <w:p w:rsidR="00460B82" w:rsidRDefault="00961B2D">
            <w:pPr>
              <w:jc w:val="center"/>
            </w:pPr>
            <w:r>
              <w:rPr>
                <w:color w:val="000000"/>
                <w:sz w:val="24"/>
              </w:rPr>
              <w:t>601229</w:t>
            </w:r>
          </w:p>
        </w:tc>
        <w:tc>
          <w:tcPr>
            <w:tcW w:w="1769" w:type="dxa"/>
            <w:vAlign w:val="center"/>
          </w:tcPr>
          <w:p w:rsidR="00460B82" w:rsidRDefault="00961B2D">
            <w:pPr>
              <w:jc w:val="center"/>
            </w:pPr>
            <w:r>
              <w:rPr>
                <w:color w:val="000000"/>
                <w:sz w:val="24"/>
              </w:rPr>
              <w:t>上海银行</w:t>
            </w:r>
          </w:p>
        </w:tc>
        <w:tc>
          <w:tcPr>
            <w:tcW w:w="1327" w:type="dxa"/>
            <w:vAlign w:val="center"/>
          </w:tcPr>
          <w:p w:rsidR="00460B82" w:rsidRDefault="00961B2D">
            <w:pPr>
              <w:jc w:val="right"/>
            </w:pPr>
            <w:r>
              <w:rPr>
                <w:color w:val="000000"/>
                <w:sz w:val="24"/>
              </w:rPr>
              <w:t>20,840</w:t>
            </w:r>
          </w:p>
        </w:tc>
        <w:tc>
          <w:tcPr>
            <w:tcW w:w="1915" w:type="dxa"/>
            <w:vAlign w:val="center"/>
          </w:tcPr>
          <w:p w:rsidR="00460B82" w:rsidRDefault="00961B2D">
            <w:pPr>
              <w:jc w:val="right"/>
            </w:pPr>
            <w:r>
              <w:rPr>
                <w:color w:val="000000"/>
                <w:sz w:val="24"/>
              </w:rPr>
              <w:t>254,248.00</w:t>
            </w:r>
          </w:p>
        </w:tc>
        <w:tc>
          <w:tcPr>
            <w:tcW w:w="1680" w:type="dxa"/>
            <w:vAlign w:val="center"/>
          </w:tcPr>
          <w:p w:rsidR="00460B82" w:rsidRDefault="00961B2D">
            <w:pPr>
              <w:jc w:val="right"/>
            </w:pPr>
            <w:r>
              <w:rPr>
                <w:color w:val="000000"/>
                <w:sz w:val="24"/>
              </w:rPr>
              <w:t>0.51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41,169,829.70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41,169,829.70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41,169,829.70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60B82">
        <w:trPr>
          <w:jc w:val="center"/>
        </w:trPr>
        <w:tc>
          <w:tcPr>
            <w:tcW w:w="1075" w:type="dxa"/>
            <w:vAlign w:val="center"/>
          </w:tcPr>
          <w:p w:rsidR="00460B82" w:rsidRDefault="00961B2D">
            <w:pPr>
              <w:jc w:val="center"/>
            </w:pPr>
            <w:r>
              <w:rPr>
                <w:color w:val="000000"/>
                <w:sz w:val="24"/>
              </w:rPr>
              <w:t>1</w:t>
            </w:r>
          </w:p>
        </w:tc>
        <w:tc>
          <w:tcPr>
            <w:tcW w:w="1533" w:type="dxa"/>
            <w:vAlign w:val="center"/>
          </w:tcPr>
          <w:p w:rsidR="00460B82" w:rsidRDefault="00961B2D">
            <w:pPr>
              <w:jc w:val="center"/>
            </w:pPr>
            <w:r>
              <w:rPr>
                <w:color w:val="000000"/>
                <w:sz w:val="24"/>
              </w:rPr>
              <w:t>018005</w:t>
            </w:r>
          </w:p>
        </w:tc>
        <w:tc>
          <w:tcPr>
            <w:tcW w:w="1533" w:type="dxa"/>
            <w:vAlign w:val="center"/>
          </w:tcPr>
          <w:p w:rsidR="00460B82" w:rsidRDefault="00961B2D">
            <w:pPr>
              <w:jc w:val="center"/>
            </w:pPr>
            <w:r>
              <w:rPr>
                <w:color w:val="000000"/>
                <w:sz w:val="24"/>
              </w:rPr>
              <w:t>国开</w:t>
            </w:r>
            <w:r>
              <w:rPr>
                <w:color w:val="000000"/>
                <w:sz w:val="24"/>
              </w:rPr>
              <w:t>1701</w:t>
            </w:r>
          </w:p>
        </w:tc>
        <w:tc>
          <w:tcPr>
            <w:tcW w:w="1394" w:type="dxa"/>
            <w:vAlign w:val="center"/>
          </w:tcPr>
          <w:p w:rsidR="00460B82" w:rsidRDefault="00961B2D">
            <w:pPr>
              <w:jc w:val="right"/>
            </w:pPr>
            <w:r>
              <w:rPr>
                <w:color w:val="000000"/>
                <w:sz w:val="24"/>
              </w:rPr>
              <w:t>205,780</w:t>
            </w:r>
          </w:p>
        </w:tc>
        <w:tc>
          <w:tcPr>
            <w:tcW w:w="1944" w:type="dxa"/>
            <w:vAlign w:val="center"/>
          </w:tcPr>
          <w:p w:rsidR="00460B82" w:rsidRDefault="00961B2D">
            <w:pPr>
              <w:jc w:val="right"/>
            </w:pPr>
            <w:r>
              <w:rPr>
                <w:color w:val="000000"/>
                <w:sz w:val="24"/>
              </w:rPr>
              <w:t>20,701,468.00</w:t>
            </w:r>
          </w:p>
        </w:tc>
        <w:tc>
          <w:tcPr>
            <w:tcW w:w="1389" w:type="dxa"/>
            <w:vAlign w:val="center"/>
          </w:tcPr>
          <w:p w:rsidR="00460B82" w:rsidRDefault="00961B2D">
            <w:pPr>
              <w:jc w:val="right"/>
            </w:pPr>
            <w:r>
              <w:rPr>
                <w:color w:val="000000"/>
                <w:sz w:val="24"/>
              </w:rPr>
              <w:t>41.66</w:t>
            </w:r>
          </w:p>
        </w:tc>
      </w:tr>
      <w:tr w:rsidR="00460B82">
        <w:trPr>
          <w:jc w:val="center"/>
        </w:trPr>
        <w:tc>
          <w:tcPr>
            <w:tcW w:w="1075" w:type="dxa"/>
            <w:vAlign w:val="center"/>
          </w:tcPr>
          <w:p w:rsidR="00460B82" w:rsidRDefault="00961B2D">
            <w:pPr>
              <w:jc w:val="center"/>
            </w:pPr>
            <w:r>
              <w:rPr>
                <w:color w:val="000000"/>
                <w:sz w:val="24"/>
              </w:rPr>
              <w:t>2</w:t>
            </w:r>
          </w:p>
        </w:tc>
        <w:tc>
          <w:tcPr>
            <w:tcW w:w="1533" w:type="dxa"/>
            <w:vAlign w:val="center"/>
          </w:tcPr>
          <w:p w:rsidR="00460B82" w:rsidRDefault="00961B2D">
            <w:pPr>
              <w:jc w:val="center"/>
            </w:pPr>
            <w:r>
              <w:rPr>
                <w:color w:val="000000"/>
                <w:sz w:val="24"/>
              </w:rPr>
              <w:t>018006</w:t>
            </w:r>
          </w:p>
        </w:tc>
        <w:tc>
          <w:tcPr>
            <w:tcW w:w="1533" w:type="dxa"/>
            <w:vAlign w:val="center"/>
          </w:tcPr>
          <w:p w:rsidR="00460B82" w:rsidRDefault="00961B2D">
            <w:pPr>
              <w:jc w:val="center"/>
            </w:pPr>
            <w:r>
              <w:rPr>
                <w:color w:val="000000"/>
                <w:sz w:val="24"/>
              </w:rPr>
              <w:t>国开</w:t>
            </w:r>
            <w:r>
              <w:rPr>
                <w:color w:val="000000"/>
                <w:sz w:val="24"/>
              </w:rPr>
              <w:t>1702</w:t>
            </w:r>
          </w:p>
        </w:tc>
        <w:tc>
          <w:tcPr>
            <w:tcW w:w="1394" w:type="dxa"/>
            <w:vAlign w:val="center"/>
          </w:tcPr>
          <w:p w:rsidR="00460B82" w:rsidRDefault="00961B2D">
            <w:pPr>
              <w:jc w:val="right"/>
            </w:pPr>
            <w:r>
              <w:rPr>
                <w:color w:val="000000"/>
                <w:sz w:val="24"/>
              </w:rPr>
              <w:t>102,670</w:t>
            </w:r>
          </w:p>
        </w:tc>
        <w:tc>
          <w:tcPr>
            <w:tcW w:w="1944" w:type="dxa"/>
            <w:vAlign w:val="center"/>
          </w:tcPr>
          <w:p w:rsidR="00460B82" w:rsidRDefault="00961B2D">
            <w:pPr>
              <w:jc w:val="right"/>
            </w:pPr>
            <w:r>
              <w:rPr>
                <w:color w:val="000000"/>
                <w:sz w:val="24"/>
              </w:rPr>
              <w:t>10,319,361.70</w:t>
            </w:r>
          </w:p>
        </w:tc>
        <w:tc>
          <w:tcPr>
            <w:tcW w:w="1389" w:type="dxa"/>
            <w:vAlign w:val="center"/>
          </w:tcPr>
          <w:p w:rsidR="00460B82" w:rsidRDefault="00961B2D">
            <w:pPr>
              <w:jc w:val="right"/>
            </w:pPr>
            <w:r>
              <w:rPr>
                <w:color w:val="000000"/>
                <w:sz w:val="24"/>
              </w:rPr>
              <w:t>20.77</w:t>
            </w:r>
          </w:p>
        </w:tc>
      </w:tr>
      <w:tr w:rsidR="00460B82">
        <w:trPr>
          <w:jc w:val="center"/>
        </w:trPr>
        <w:tc>
          <w:tcPr>
            <w:tcW w:w="1075" w:type="dxa"/>
            <w:vAlign w:val="center"/>
          </w:tcPr>
          <w:p w:rsidR="00460B82" w:rsidRDefault="00961B2D">
            <w:pPr>
              <w:jc w:val="center"/>
            </w:pPr>
            <w:r>
              <w:rPr>
                <w:color w:val="000000"/>
                <w:sz w:val="24"/>
              </w:rPr>
              <w:t>3</w:t>
            </w:r>
          </w:p>
        </w:tc>
        <w:tc>
          <w:tcPr>
            <w:tcW w:w="1533" w:type="dxa"/>
            <w:vAlign w:val="center"/>
          </w:tcPr>
          <w:p w:rsidR="00460B82" w:rsidRDefault="00961B2D">
            <w:pPr>
              <w:jc w:val="center"/>
            </w:pPr>
            <w:r>
              <w:rPr>
                <w:color w:val="000000"/>
                <w:sz w:val="24"/>
              </w:rPr>
              <w:t>180202</w:t>
            </w:r>
          </w:p>
        </w:tc>
        <w:tc>
          <w:tcPr>
            <w:tcW w:w="1533" w:type="dxa"/>
            <w:vAlign w:val="center"/>
          </w:tcPr>
          <w:p w:rsidR="00460B82" w:rsidRDefault="00961B2D">
            <w:pPr>
              <w:jc w:val="center"/>
            </w:pPr>
            <w:r>
              <w:rPr>
                <w:color w:val="000000"/>
                <w:sz w:val="24"/>
              </w:rPr>
              <w:t>18</w:t>
            </w:r>
            <w:r>
              <w:rPr>
                <w:color w:val="000000"/>
                <w:sz w:val="24"/>
              </w:rPr>
              <w:t>国开</w:t>
            </w:r>
            <w:r>
              <w:rPr>
                <w:color w:val="000000"/>
                <w:sz w:val="24"/>
              </w:rPr>
              <w:t>02</w:t>
            </w:r>
          </w:p>
        </w:tc>
        <w:tc>
          <w:tcPr>
            <w:tcW w:w="1394" w:type="dxa"/>
            <w:vAlign w:val="center"/>
          </w:tcPr>
          <w:p w:rsidR="00460B82" w:rsidRDefault="00961B2D">
            <w:pPr>
              <w:jc w:val="right"/>
            </w:pPr>
            <w:r>
              <w:rPr>
                <w:color w:val="000000"/>
                <w:sz w:val="24"/>
              </w:rPr>
              <w:t>100,000</w:t>
            </w:r>
          </w:p>
        </w:tc>
        <w:tc>
          <w:tcPr>
            <w:tcW w:w="1944" w:type="dxa"/>
            <w:vAlign w:val="center"/>
          </w:tcPr>
          <w:p w:rsidR="00460B82" w:rsidRDefault="00961B2D">
            <w:pPr>
              <w:jc w:val="right"/>
            </w:pPr>
            <w:r>
              <w:rPr>
                <w:color w:val="000000"/>
                <w:sz w:val="24"/>
              </w:rPr>
              <w:t>10,149,000.00</w:t>
            </w:r>
          </w:p>
        </w:tc>
        <w:tc>
          <w:tcPr>
            <w:tcW w:w="1389" w:type="dxa"/>
            <w:vAlign w:val="center"/>
          </w:tcPr>
          <w:p w:rsidR="00460B82" w:rsidRDefault="00961B2D">
            <w:pPr>
              <w:jc w:val="right"/>
            </w:pPr>
            <w:r>
              <w:rPr>
                <w:color w:val="000000"/>
                <w:sz w:val="24"/>
              </w:rPr>
              <w:t>20.42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48,913.68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407,444.93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863,078.02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994.28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1,320,430.91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36,868,931.57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1,946,365.37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138,447.30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530,694.01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2,263,735.82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692,285.32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34,743,643.05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1,784,774.06</w:t>
            </w:r>
          </w:p>
        </w:tc>
      </w:tr>
    </w:tbl>
    <w:p w:rsidR="00460B82" w:rsidRDefault="00961B2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17,602,334.00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180,706.72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17,421,627.28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50.14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460B82">
        <w:trPr>
          <w:jc w:val="center"/>
        </w:trPr>
        <w:tc>
          <w:tcPr>
            <w:tcW w:w="1032" w:type="dxa"/>
            <w:vAlign w:val="center"/>
          </w:tcPr>
          <w:p w:rsidR="00460B82" w:rsidRDefault="00961B2D">
            <w:pPr>
              <w:jc w:val="center"/>
            </w:pPr>
            <w:r>
              <w:rPr>
                <w:rFonts w:eastAsiaTheme="minorEastAsia"/>
                <w:color w:val="000000"/>
                <w:sz w:val="24"/>
              </w:rPr>
              <w:t>1</w:t>
            </w:r>
          </w:p>
        </w:tc>
        <w:tc>
          <w:tcPr>
            <w:tcW w:w="1776" w:type="dxa"/>
            <w:vAlign w:val="center"/>
          </w:tcPr>
          <w:p w:rsidR="00460B82" w:rsidRDefault="00961B2D">
            <w:pPr>
              <w:jc w:val="center"/>
            </w:pPr>
            <w:r>
              <w:rPr>
                <w:rFonts w:eastAsiaTheme="minorEastAsia"/>
                <w:color w:val="000000"/>
                <w:sz w:val="24"/>
              </w:rPr>
              <w:t>自动赎回</w:t>
            </w:r>
          </w:p>
        </w:tc>
        <w:tc>
          <w:tcPr>
            <w:tcW w:w="1317" w:type="dxa"/>
            <w:vAlign w:val="center"/>
          </w:tcPr>
          <w:p w:rsidR="00460B82" w:rsidRDefault="00961B2D">
            <w:pPr>
              <w:jc w:val="center"/>
            </w:pPr>
            <w:r>
              <w:rPr>
                <w:rFonts w:eastAsiaTheme="minorEastAsia"/>
                <w:color w:val="000000"/>
                <w:sz w:val="24"/>
              </w:rPr>
              <w:t>2018-07-03</w:t>
            </w:r>
          </w:p>
        </w:tc>
        <w:tc>
          <w:tcPr>
            <w:tcW w:w="1633" w:type="dxa"/>
            <w:vAlign w:val="center"/>
          </w:tcPr>
          <w:p w:rsidR="00460B82" w:rsidRDefault="00961B2D">
            <w:pPr>
              <w:jc w:val="right"/>
            </w:pPr>
            <w:r>
              <w:rPr>
                <w:rFonts w:eastAsiaTheme="minorEastAsia"/>
                <w:color w:val="000000"/>
                <w:sz w:val="24"/>
              </w:rPr>
              <w:t>-59,799.71</w:t>
            </w:r>
          </w:p>
        </w:tc>
        <w:tc>
          <w:tcPr>
            <w:tcW w:w="1767" w:type="dxa"/>
            <w:vAlign w:val="center"/>
          </w:tcPr>
          <w:p w:rsidR="00460B82" w:rsidRDefault="00961B2D">
            <w:pPr>
              <w:jc w:val="right"/>
            </w:pPr>
            <w:r>
              <w:rPr>
                <w:rFonts w:eastAsiaTheme="minorEastAsia"/>
                <w:color w:val="000000"/>
                <w:sz w:val="24"/>
              </w:rPr>
              <w:t>-81,626.60</w:t>
            </w:r>
          </w:p>
        </w:tc>
        <w:tc>
          <w:tcPr>
            <w:tcW w:w="1343" w:type="dxa"/>
            <w:vAlign w:val="center"/>
          </w:tcPr>
          <w:p w:rsidR="00460B82" w:rsidRDefault="00961B2D">
            <w:pPr>
              <w:jc w:val="center"/>
            </w:pPr>
            <w:r>
              <w:rPr>
                <w:rFonts w:eastAsiaTheme="minorEastAsia"/>
                <w:color w:val="000000"/>
                <w:sz w:val="24"/>
              </w:rPr>
              <w:t>-</w:t>
            </w:r>
          </w:p>
        </w:tc>
      </w:tr>
      <w:tr w:rsidR="00460B82">
        <w:trPr>
          <w:jc w:val="center"/>
        </w:trPr>
        <w:tc>
          <w:tcPr>
            <w:tcW w:w="1032" w:type="dxa"/>
            <w:vAlign w:val="center"/>
          </w:tcPr>
          <w:p w:rsidR="00460B82" w:rsidRDefault="00961B2D">
            <w:pPr>
              <w:jc w:val="center"/>
            </w:pPr>
            <w:r>
              <w:rPr>
                <w:rFonts w:eastAsiaTheme="minorEastAsia"/>
                <w:color w:val="000000"/>
                <w:sz w:val="24"/>
              </w:rPr>
              <w:t>2</w:t>
            </w:r>
          </w:p>
        </w:tc>
        <w:tc>
          <w:tcPr>
            <w:tcW w:w="1776" w:type="dxa"/>
            <w:vAlign w:val="center"/>
          </w:tcPr>
          <w:p w:rsidR="00460B82" w:rsidRDefault="00961B2D">
            <w:pPr>
              <w:jc w:val="center"/>
            </w:pPr>
            <w:r>
              <w:rPr>
                <w:rFonts w:eastAsiaTheme="minorEastAsia"/>
                <w:color w:val="000000"/>
                <w:sz w:val="24"/>
              </w:rPr>
              <w:t>自动赎回</w:t>
            </w:r>
          </w:p>
        </w:tc>
        <w:tc>
          <w:tcPr>
            <w:tcW w:w="1317" w:type="dxa"/>
            <w:vAlign w:val="center"/>
          </w:tcPr>
          <w:p w:rsidR="00460B82" w:rsidRDefault="00961B2D">
            <w:pPr>
              <w:jc w:val="center"/>
            </w:pPr>
            <w:r>
              <w:rPr>
                <w:rFonts w:eastAsiaTheme="minorEastAsia"/>
                <w:color w:val="000000"/>
                <w:sz w:val="24"/>
              </w:rPr>
              <w:t>2018-08-02</w:t>
            </w:r>
          </w:p>
        </w:tc>
        <w:tc>
          <w:tcPr>
            <w:tcW w:w="1633" w:type="dxa"/>
            <w:vAlign w:val="center"/>
          </w:tcPr>
          <w:p w:rsidR="00460B82" w:rsidRDefault="00961B2D">
            <w:pPr>
              <w:jc w:val="right"/>
            </w:pPr>
            <w:r>
              <w:rPr>
                <w:rFonts w:eastAsiaTheme="minorEastAsia"/>
                <w:color w:val="000000"/>
                <w:sz w:val="24"/>
              </w:rPr>
              <w:t>-57,674.09</w:t>
            </w:r>
          </w:p>
        </w:tc>
        <w:tc>
          <w:tcPr>
            <w:tcW w:w="1767" w:type="dxa"/>
            <w:vAlign w:val="center"/>
          </w:tcPr>
          <w:p w:rsidR="00460B82" w:rsidRDefault="00961B2D">
            <w:pPr>
              <w:jc w:val="right"/>
            </w:pPr>
            <w:r>
              <w:rPr>
                <w:rFonts w:eastAsiaTheme="minorEastAsia"/>
                <w:color w:val="000000"/>
                <w:sz w:val="24"/>
              </w:rPr>
              <w:t>-79,993.96</w:t>
            </w:r>
          </w:p>
        </w:tc>
        <w:tc>
          <w:tcPr>
            <w:tcW w:w="1343" w:type="dxa"/>
            <w:vAlign w:val="center"/>
          </w:tcPr>
          <w:p w:rsidR="00460B82" w:rsidRDefault="00961B2D">
            <w:pPr>
              <w:jc w:val="center"/>
            </w:pPr>
            <w:r>
              <w:rPr>
                <w:rFonts w:eastAsiaTheme="minorEastAsia"/>
                <w:color w:val="000000"/>
                <w:sz w:val="24"/>
              </w:rPr>
              <w:t>-</w:t>
            </w:r>
          </w:p>
        </w:tc>
      </w:tr>
      <w:tr w:rsidR="00460B82">
        <w:trPr>
          <w:jc w:val="center"/>
        </w:trPr>
        <w:tc>
          <w:tcPr>
            <w:tcW w:w="1032" w:type="dxa"/>
            <w:vAlign w:val="center"/>
          </w:tcPr>
          <w:p w:rsidR="00460B82" w:rsidRDefault="00961B2D">
            <w:pPr>
              <w:jc w:val="center"/>
            </w:pPr>
            <w:r>
              <w:rPr>
                <w:rFonts w:eastAsiaTheme="minorEastAsia"/>
                <w:color w:val="000000"/>
                <w:sz w:val="24"/>
              </w:rPr>
              <w:t>3</w:t>
            </w:r>
          </w:p>
        </w:tc>
        <w:tc>
          <w:tcPr>
            <w:tcW w:w="1776" w:type="dxa"/>
            <w:vAlign w:val="center"/>
          </w:tcPr>
          <w:p w:rsidR="00460B82" w:rsidRDefault="00961B2D">
            <w:pPr>
              <w:jc w:val="center"/>
            </w:pPr>
            <w:r>
              <w:rPr>
                <w:rFonts w:eastAsiaTheme="minorEastAsia"/>
                <w:color w:val="000000"/>
                <w:sz w:val="24"/>
              </w:rPr>
              <w:t>自动赎回</w:t>
            </w:r>
          </w:p>
        </w:tc>
        <w:tc>
          <w:tcPr>
            <w:tcW w:w="1317" w:type="dxa"/>
            <w:vAlign w:val="center"/>
          </w:tcPr>
          <w:p w:rsidR="00460B82" w:rsidRDefault="00961B2D">
            <w:pPr>
              <w:jc w:val="center"/>
            </w:pPr>
            <w:r>
              <w:rPr>
                <w:rFonts w:eastAsiaTheme="minorEastAsia"/>
                <w:color w:val="000000"/>
                <w:sz w:val="24"/>
              </w:rPr>
              <w:t>2018-09-04</w:t>
            </w:r>
          </w:p>
        </w:tc>
        <w:tc>
          <w:tcPr>
            <w:tcW w:w="1633" w:type="dxa"/>
            <w:vAlign w:val="center"/>
          </w:tcPr>
          <w:p w:rsidR="00460B82" w:rsidRDefault="00961B2D">
            <w:pPr>
              <w:jc w:val="right"/>
            </w:pPr>
            <w:r>
              <w:rPr>
                <w:rFonts w:eastAsiaTheme="minorEastAsia"/>
                <w:color w:val="000000"/>
                <w:sz w:val="24"/>
              </w:rPr>
              <w:t>-63,232.92</w:t>
            </w:r>
          </w:p>
        </w:tc>
        <w:tc>
          <w:tcPr>
            <w:tcW w:w="1767" w:type="dxa"/>
            <w:vAlign w:val="center"/>
          </w:tcPr>
          <w:p w:rsidR="00460B82" w:rsidRDefault="00961B2D">
            <w:pPr>
              <w:jc w:val="right"/>
            </w:pPr>
            <w:r>
              <w:rPr>
                <w:rFonts w:eastAsiaTheme="minorEastAsia"/>
                <w:color w:val="000000"/>
                <w:sz w:val="24"/>
              </w:rPr>
              <w:t>-86,882.03</w:t>
            </w:r>
          </w:p>
        </w:tc>
        <w:tc>
          <w:tcPr>
            <w:tcW w:w="1343" w:type="dxa"/>
            <w:vAlign w:val="center"/>
          </w:tcPr>
          <w:p w:rsidR="00460B82" w:rsidRDefault="00961B2D">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-180,706.72</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-248,502.59</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60B82">
        <w:tc>
          <w:tcPr>
            <w:tcW w:w="992" w:type="dxa"/>
            <w:vMerge w:val="restart"/>
          </w:tcPr>
          <w:p w:rsidR="00460B82" w:rsidRDefault="00460B82"/>
          <w:p w:rsidR="00460B82" w:rsidRDefault="00961B2D">
            <w:r>
              <w:rPr>
                <w:rFonts w:ascii="宋体" w:hAnsi="宋体" w:hint="eastAsia"/>
                <w:bCs/>
                <w:color w:val="000000"/>
                <w:kern w:val="0"/>
                <w:szCs w:val="21"/>
              </w:rPr>
              <w:t>机构</w:t>
            </w:r>
          </w:p>
        </w:tc>
        <w:tc>
          <w:tcPr>
            <w:tcW w:w="991" w:type="dxa"/>
            <w:vAlign w:val="center"/>
          </w:tcPr>
          <w:p w:rsidR="00460B82" w:rsidRDefault="00961B2D">
            <w:pPr>
              <w:jc w:val="center"/>
            </w:pPr>
            <w:r>
              <w:rPr>
                <w:rFonts w:ascii="宋体" w:hAnsi="宋体" w:hint="eastAsia"/>
                <w:color w:val="000000"/>
                <w:kern w:val="0"/>
                <w:szCs w:val="21"/>
              </w:rPr>
              <w:t>1</w:t>
            </w:r>
          </w:p>
        </w:tc>
        <w:tc>
          <w:tcPr>
            <w:tcW w:w="1843" w:type="dxa"/>
            <w:vAlign w:val="center"/>
          </w:tcPr>
          <w:p w:rsidR="00460B82" w:rsidRDefault="00961B2D">
            <w:pPr>
              <w:jc w:val="center"/>
            </w:pPr>
            <w:r>
              <w:rPr>
                <w:rFonts w:ascii="宋体" w:hAnsi="宋体" w:hint="eastAsia"/>
                <w:color w:val="000000"/>
                <w:kern w:val="0"/>
                <w:szCs w:val="21"/>
              </w:rPr>
              <w:t>2018/7/1-2018/9/30</w:t>
            </w:r>
          </w:p>
        </w:tc>
        <w:tc>
          <w:tcPr>
            <w:tcW w:w="851" w:type="dxa"/>
            <w:vAlign w:val="center"/>
          </w:tcPr>
          <w:p w:rsidR="00460B82" w:rsidRDefault="00961B2D">
            <w:pPr>
              <w:jc w:val="center"/>
            </w:pPr>
            <w:r>
              <w:rPr>
                <w:rFonts w:ascii="宋体" w:hAnsi="宋体" w:hint="eastAsia"/>
                <w:color w:val="000000"/>
                <w:kern w:val="0"/>
                <w:szCs w:val="21"/>
              </w:rPr>
              <w:t>17,602,334.00</w:t>
            </w:r>
          </w:p>
        </w:tc>
        <w:tc>
          <w:tcPr>
            <w:tcW w:w="850" w:type="dxa"/>
            <w:vAlign w:val="center"/>
          </w:tcPr>
          <w:p w:rsidR="00460B82" w:rsidRDefault="00961B2D">
            <w:pPr>
              <w:jc w:val="center"/>
            </w:pPr>
            <w:r>
              <w:rPr>
                <w:rFonts w:ascii="宋体" w:hAnsi="宋体" w:hint="eastAsia"/>
                <w:color w:val="000000"/>
                <w:kern w:val="0"/>
                <w:szCs w:val="21"/>
              </w:rPr>
              <w:t>-</w:t>
            </w:r>
          </w:p>
        </w:tc>
        <w:tc>
          <w:tcPr>
            <w:tcW w:w="1134" w:type="dxa"/>
            <w:vAlign w:val="center"/>
          </w:tcPr>
          <w:p w:rsidR="00460B82" w:rsidRDefault="00961B2D">
            <w:pPr>
              <w:jc w:val="center"/>
            </w:pPr>
            <w:r>
              <w:rPr>
                <w:rFonts w:ascii="宋体" w:hAnsi="宋体" w:hint="eastAsia"/>
                <w:color w:val="000000"/>
                <w:kern w:val="0"/>
                <w:szCs w:val="21"/>
              </w:rPr>
              <w:t>180,706.72</w:t>
            </w:r>
          </w:p>
        </w:tc>
        <w:tc>
          <w:tcPr>
            <w:tcW w:w="1419" w:type="dxa"/>
            <w:vAlign w:val="center"/>
          </w:tcPr>
          <w:p w:rsidR="00460B82" w:rsidRDefault="00961B2D">
            <w:pPr>
              <w:jc w:val="center"/>
            </w:pPr>
            <w:r>
              <w:rPr>
                <w:rFonts w:ascii="宋体" w:hAnsi="宋体" w:hint="eastAsia"/>
                <w:color w:val="000000"/>
                <w:kern w:val="0"/>
                <w:szCs w:val="21"/>
              </w:rPr>
              <w:t>17,421,627.28</w:t>
            </w:r>
          </w:p>
        </w:tc>
        <w:tc>
          <w:tcPr>
            <w:tcW w:w="1130" w:type="dxa"/>
            <w:vAlign w:val="center"/>
          </w:tcPr>
          <w:p w:rsidR="00460B82" w:rsidRDefault="00961B2D">
            <w:pPr>
              <w:jc w:val="center"/>
            </w:pPr>
            <w:r>
              <w:rPr>
                <w:rFonts w:ascii="宋体" w:hAnsi="宋体" w:hint="eastAsia"/>
                <w:color w:val="000000"/>
                <w:kern w:val="0"/>
                <w:szCs w:val="21"/>
              </w:rPr>
              <w:t>47.69%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60B82" w:rsidRDefault="00961B2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61B2D">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61B2D">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0B82"/>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1B2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6193BDC9-8377-441C-AF14-4396905A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21A7-5B58-4A0E-9250-C68827B8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16</Pages>
  <Words>1374</Words>
  <Characters>7834</Characters>
  <Application>Microsoft Office Word</Application>
  <DocSecurity>0</DocSecurity>
  <Lines>65</Lines>
  <Paragraphs>18</Paragraphs>
  <ScaleCrop>false</ScaleCrop>
  <Company>TRT. Ltd. Co.</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378</cp:revision>
  <cp:lastPrinted>2007-07-19T00:46:00Z</cp:lastPrinted>
  <dcterms:created xsi:type="dcterms:W3CDTF">2014-01-17T06:19:00Z</dcterms:created>
  <dcterms:modified xsi:type="dcterms:W3CDTF">2018-10-18T07:17:00Z</dcterms:modified>
</cp:coreProperties>
</file>