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D6051" w:rsidRDefault="00D37BF9">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D6051" w:rsidRDefault="00D37BF9">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D6051" w:rsidRDefault="00D37BF9">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D6051" w:rsidRDefault="00D37BF9">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风险，投资者在作出投资决策前应仔细阅读本基金的招募说明书。</w:t>
      </w:r>
      <w:r>
        <w:rPr>
          <w:color w:val="000000"/>
          <w:sz w:val="24"/>
          <w:szCs w:val="24"/>
        </w:rPr>
        <w:t xml:space="preserve"> </w:t>
      </w:r>
    </w:p>
    <w:p w:rsidR="008D6051" w:rsidRDefault="00D37BF9">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501,415,439.19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37BF9" w:rsidRPr="00414345" w:rsidTr="00D37BF9">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37BF9" w:rsidRPr="00414345" w:rsidTr="00D37B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5,921,060.10</w:t>
            </w:r>
          </w:p>
        </w:tc>
      </w:tr>
      <w:tr w:rsidR="00D37BF9" w:rsidRPr="00414345" w:rsidTr="00D37B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9,801,874.58</w:t>
            </w:r>
          </w:p>
        </w:tc>
      </w:tr>
      <w:tr w:rsidR="00D37BF9" w:rsidRPr="00414345" w:rsidTr="00D37B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0.0190</w:t>
            </w:r>
          </w:p>
        </w:tc>
      </w:tr>
      <w:tr w:rsidR="00D37BF9" w:rsidRPr="00414345" w:rsidTr="00D37BF9">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531,287,935.57</w:t>
            </w:r>
          </w:p>
        </w:tc>
      </w:tr>
      <w:tr w:rsidR="00D37BF9" w:rsidRPr="00414345" w:rsidTr="00D37BF9">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1.060</w:t>
            </w:r>
          </w:p>
        </w:tc>
      </w:tr>
    </w:tbl>
    <w:p w:rsidR="008D6051" w:rsidRDefault="00D37BF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D6051">
        <w:trPr>
          <w:jc w:val="center"/>
        </w:trPr>
        <w:tc>
          <w:tcPr>
            <w:tcW w:w="1701" w:type="dxa"/>
            <w:vAlign w:val="center"/>
          </w:tcPr>
          <w:p w:rsidR="008D6051" w:rsidRDefault="00D37BF9">
            <w:pPr>
              <w:jc w:val="left"/>
            </w:pPr>
            <w:r>
              <w:rPr>
                <w:color w:val="000000"/>
                <w:sz w:val="24"/>
                <w:szCs w:val="24"/>
              </w:rPr>
              <w:t>过去三个月</w:t>
            </w:r>
          </w:p>
        </w:tc>
        <w:tc>
          <w:tcPr>
            <w:tcW w:w="1045" w:type="dxa"/>
            <w:vAlign w:val="center"/>
          </w:tcPr>
          <w:p w:rsidR="008D6051" w:rsidRDefault="00D37BF9">
            <w:pPr>
              <w:jc w:val="center"/>
            </w:pPr>
            <w:r>
              <w:rPr>
                <w:color w:val="000000"/>
                <w:sz w:val="24"/>
                <w:szCs w:val="24"/>
              </w:rPr>
              <w:t>1.83%</w:t>
            </w:r>
          </w:p>
        </w:tc>
        <w:tc>
          <w:tcPr>
            <w:tcW w:w="1344" w:type="dxa"/>
            <w:vAlign w:val="center"/>
          </w:tcPr>
          <w:p w:rsidR="008D6051" w:rsidRDefault="00D37BF9">
            <w:pPr>
              <w:jc w:val="center"/>
            </w:pPr>
            <w:r>
              <w:rPr>
                <w:color w:val="000000"/>
                <w:sz w:val="24"/>
                <w:szCs w:val="24"/>
              </w:rPr>
              <w:t>0.06%</w:t>
            </w:r>
          </w:p>
        </w:tc>
        <w:tc>
          <w:tcPr>
            <w:tcW w:w="1194" w:type="dxa"/>
            <w:vAlign w:val="center"/>
          </w:tcPr>
          <w:p w:rsidR="008D6051" w:rsidRDefault="00D37BF9">
            <w:pPr>
              <w:jc w:val="center"/>
            </w:pPr>
            <w:r>
              <w:rPr>
                <w:color w:val="000000"/>
                <w:sz w:val="24"/>
                <w:szCs w:val="24"/>
              </w:rPr>
              <w:t>0.70%</w:t>
            </w:r>
          </w:p>
        </w:tc>
        <w:tc>
          <w:tcPr>
            <w:tcW w:w="1492" w:type="dxa"/>
            <w:vAlign w:val="center"/>
          </w:tcPr>
          <w:p w:rsidR="008D6051" w:rsidRDefault="00D37BF9">
            <w:pPr>
              <w:jc w:val="center"/>
            </w:pPr>
            <w:r>
              <w:rPr>
                <w:color w:val="000000"/>
                <w:sz w:val="24"/>
                <w:szCs w:val="24"/>
              </w:rPr>
              <w:t>0.01%</w:t>
            </w:r>
          </w:p>
        </w:tc>
        <w:tc>
          <w:tcPr>
            <w:tcW w:w="1194" w:type="dxa"/>
            <w:vAlign w:val="center"/>
          </w:tcPr>
          <w:p w:rsidR="008D6051" w:rsidRDefault="00D37BF9">
            <w:pPr>
              <w:jc w:val="center"/>
            </w:pPr>
            <w:r>
              <w:rPr>
                <w:color w:val="000000"/>
                <w:sz w:val="24"/>
                <w:szCs w:val="24"/>
              </w:rPr>
              <w:t>1.13%</w:t>
            </w:r>
          </w:p>
        </w:tc>
        <w:tc>
          <w:tcPr>
            <w:tcW w:w="898" w:type="dxa"/>
            <w:vAlign w:val="center"/>
          </w:tcPr>
          <w:p w:rsidR="008D6051" w:rsidRDefault="00D37BF9">
            <w:pPr>
              <w:jc w:val="center"/>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D6051">
        <w:trPr>
          <w:jc w:val="center"/>
        </w:trPr>
        <w:tc>
          <w:tcPr>
            <w:tcW w:w="846" w:type="dxa"/>
            <w:vAlign w:val="center"/>
          </w:tcPr>
          <w:p w:rsidR="008D6051" w:rsidRDefault="00D37BF9">
            <w:pPr>
              <w:jc w:val="center"/>
            </w:pPr>
            <w:r>
              <w:rPr>
                <w:color w:val="000000"/>
                <w:sz w:val="24"/>
                <w:szCs w:val="24"/>
              </w:rPr>
              <w:t>于海颖</w:t>
            </w:r>
          </w:p>
        </w:tc>
        <w:tc>
          <w:tcPr>
            <w:tcW w:w="845" w:type="dxa"/>
            <w:vAlign w:val="center"/>
          </w:tcPr>
          <w:p w:rsidR="008D6051" w:rsidRDefault="00D37BF9">
            <w:pPr>
              <w:jc w:val="center"/>
            </w:pPr>
            <w:r>
              <w:rPr>
                <w:color w:val="000000"/>
                <w:sz w:val="24"/>
                <w:szCs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tcW w:w="1549" w:type="dxa"/>
            <w:vAlign w:val="center"/>
          </w:tcPr>
          <w:p w:rsidR="008D6051" w:rsidRDefault="00D37BF9">
            <w:pPr>
              <w:jc w:val="center"/>
            </w:pPr>
            <w:r>
              <w:rPr>
                <w:color w:val="000000"/>
                <w:sz w:val="24"/>
                <w:szCs w:val="24"/>
              </w:rPr>
              <w:t>2017-06-10</w:t>
            </w:r>
          </w:p>
        </w:tc>
        <w:tc>
          <w:tcPr>
            <w:tcW w:w="1548" w:type="dxa"/>
            <w:vAlign w:val="center"/>
          </w:tcPr>
          <w:p w:rsidR="008D6051" w:rsidRDefault="00D37BF9">
            <w:pPr>
              <w:jc w:val="center"/>
            </w:pPr>
            <w:r>
              <w:rPr>
                <w:color w:val="000000"/>
                <w:sz w:val="24"/>
                <w:szCs w:val="24"/>
              </w:rPr>
              <w:t>-</w:t>
            </w:r>
          </w:p>
        </w:tc>
        <w:tc>
          <w:tcPr>
            <w:tcW w:w="1407" w:type="dxa"/>
            <w:vAlign w:val="center"/>
          </w:tcPr>
          <w:p w:rsidR="008D6051" w:rsidRDefault="00D37BF9">
            <w:pPr>
              <w:jc w:val="center"/>
            </w:pPr>
            <w:r>
              <w:rPr>
                <w:color w:val="000000"/>
                <w:sz w:val="24"/>
                <w:szCs w:val="24"/>
              </w:rPr>
              <w:t>12</w:t>
            </w:r>
            <w:r>
              <w:rPr>
                <w:color w:val="000000"/>
                <w:sz w:val="24"/>
                <w:szCs w:val="24"/>
              </w:rPr>
              <w:t>年</w:t>
            </w:r>
          </w:p>
        </w:tc>
        <w:tc>
          <w:tcPr>
            <w:tcW w:w="2673" w:type="dxa"/>
            <w:vAlign w:val="center"/>
          </w:tcPr>
          <w:p w:rsidR="008D6051" w:rsidRDefault="00D37BF9">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szCs w:val="24"/>
              </w:rPr>
              <w:t>2</w:t>
            </w:r>
            <w:r>
              <w:rPr>
                <w:color w:val="000000"/>
                <w:sz w:val="24"/>
                <w:szCs w:val="24"/>
              </w:rPr>
              <w:t>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日担任交银施罗德丰硕收益债券型证券投资基金的基金经理。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D6051" w:rsidRDefault="00D37BF9">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D6051" w:rsidRDefault="00D37BF9">
      <w:pPr>
        <w:spacing w:before="29" w:line="288" w:lineRule="auto"/>
        <w:ind w:firstLineChars="200" w:firstLine="480"/>
        <w:rPr>
          <w:color w:val="000000"/>
          <w:sz w:val="24"/>
          <w:szCs w:val="24"/>
        </w:rPr>
      </w:pPr>
      <w:r>
        <w:rPr>
          <w:color w:val="000000"/>
          <w:sz w:val="24"/>
          <w:szCs w:val="24"/>
        </w:rPr>
        <w:t>公司建立</w:t>
      </w:r>
      <w:r>
        <w:rPr>
          <w:color w:val="000000"/>
          <w:sz w:val="24"/>
          <w:szCs w:val="24"/>
        </w:rPr>
        <w:t>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8D6051" w:rsidRDefault="00D37BF9">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w:t>
      </w:r>
      <w:r>
        <w:rPr>
          <w:color w:val="000000"/>
          <w:sz w:val="24"/>
          <w:szCs w:val="24"/>
        </w:rPr>
        <w:t>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D6051" w:rsidRDefault="00D37BF9">
      <w:pPr>
        <w:spacing w:before="29" w:line="288" w:lineRule="auto"/>
        <w:ind w:firstLineChars="200" w:firstLine="480"/>
        <w:rPr>
          <w:color w:val="000000"/>
          <w:sz w:val="24"/>
          <w:szCs w:val="24"/>
        </w:rPr>
      </w:pPr>
      <w:r>
        <w:rPr>
          <w:color w:val="000000"/>
          <w:sz w:val="24"/>
          <w:szCs w:val="24"/>
        </w:rPr>
        <w:t>2018</w:t>
      </w:r>
      <w:r>
        <w:rPr>
          <w:color w:val="000000"/>
          <w:sz w:val="24"/>
          <w:szCs w:val="24"/>
        </w:rPr>
        <w:t>年三季度利率债收益率呈现震荡后上行的趋势，信用债收益率先下后上，曲线期限利差走扩，信用利差收窄。七月中上旬，债券收益率延续了上半年以来的下行趋势，</w:t>
      </w:r>
      <w:r>
        <w:rPr>
          <w:color w:val="000000"/>
          <w:sz w:val="24"/>
          <w:szCs w:val="24"/>
        </w:rPr>
        <w:t>10</w:t>
      </w:r>
      <w:r>
        <w:rPr>
          <w:color w:val="000000"/>
          <w:sz w:val="24"/>
          <w:szCs w:val="24"/>
        </w:rPr>
        <w:t>年国开收益率最低下行至</w:t>
      </w:r>
      <w:r>
        <w:rPr>
          <w:color w:val="000000"/>
          <w:sz w:val="24"/>
          <w:szCs w:val="24"/>
        </w:rPr>
        <w:t>4.08%</w:t>
      </w:r>
      <w:r>
        <w:rPr>
          <w:color w:val="000000"/>
          <w:sz w:val="24"/>
          <w:szCs w:val="24"/>
        </w:rPr>
        <w:t>，</w:t>
      </w:r>
      <w:r>
        <w:rPr>
          <w:color w:val="000000"/>
          <w:sz w:val="24"/>
          <w:szCs w:val="24"/>
        </w:rPr>
        <w:t>10</w:t>
      </w:r>
      <w:r>
        <w:rPr>
          <w:color w:val="000000"/>
          <w:sz w:val="24"/>
          <w:szCs w:val="24"/>
        </w:rPr>
        <w:t>年国债收益率最低下行至</w:t>
      </w:r>
      <w:r>
        <w:rPr>
          <w:color w:val="000000"/>
          <w:sz w:val="24"/>
          <w:szCs w:val="24"/>
        </w:rPr>
        <w:t>3.44%</w:t>
      </w:r>
      <w:r>
        <w:rPr>
          <w:color w:val="000000"/>
          <w:sz w:val="24"/>
          <w:szCs w:val="24"/>
        </w:rPr>
        <w:t>。七月中下旬以来密集出台了一系列旨在稳增长的政策，随着这一系列政策文件的陆续出台，债市关注的主逻辑从</w:t>
      </w:r>
      <w:r>
        <w:rPr>
          <w:color w:val="000000"/>
          <w:sz w:val="24"/>
          <w:szCs w:val="24"/>
        </w:rPr>
        <w:t>“</w:t>
      </w:r>
      <w:r>
        <w:rPr>
          <w:color w:val="000000"/>
          <w:sz w:val="24"/>
          <w:szCs w:val="24"/>
        </w:rPr>
        <w:t>宽货币紧信用</w:t>
      </w:r>
      <w:r>
        <w:rPr>
          <w:color w:val="000000"/>
          <w:sz w:val="24"/>
          <w:szCs w:val="24"/>
        </w:rPr>
        <w:t>”</w:t>
      </w:r>
      <w:r>
        <w:rPr>
          <w:color w:val="000000"/>
          <w:sz w:val="24"/>
          <w:szCs w:val="24"/>
        </w:rPr>
        <w:t>向</w:t>
      </w:r>
      <w:r>
        <w:rPr>
          <w:color w:val="000000"/>
          <w:sz w:val="24"/>
          <w:szCs w:val="24"/>
        </w:rPr>
        <w:t>“</w:t>
      </w:r>
      <w:r>
        <w:rPr>
          <w:color w:val="000000"/>
          <w:sz w:val="24"/>
          <w:szCs w:val="24"/>
        </w:rPr>
        <w:t>宽货币宽信用</w:t>
      </w:r>
      <w:r>
        <w:rPr>
          <w:color w:val="000000"/>
          <w:sz w:val="24"/>
          <w:szCs w:val="24"/>
        </w:rPr>
        <w:t>”</w:t>
      </w:r>
      <w:r>
        <w:rPr>
          <w:color w:val="000000"/>
          <w:sz w:val="24"/>
          <w:szCs w:val="24"/>
        </w:rPr>
        <w:t>转变，利率债收益率震荡上行，而信用债收益率明显下行，特别是在资金价格宽松的背景下，八月初市场收益率水平到了年内最低水平。而进入九月后，由于非洲猪瘟、房</w:t>
      </w:r>
      <w:r>
        <w:rPr>
          <w:color w:val="000000"/>
          <w:sz w:val="24"/>
          <w:szCs w:val="24"/>
        </w:rPr>
        <w:t>租上涨等一系列因素的影响，市场对于通胀的预期逐渐抬升，经济类滞胀的逻辑不断演绎，同时加上地方债供给放量、央行连续多日暂停公开市场操作等因素的叠加，引起了市场对货币政策收紧以应对美联储加息的担忧，利率债和信用债收益率均继续上行。</w:t>
      </w:r>
    </w:p>
    <w:p w:rsidR="008D6051" w:rsidRDefault="00D37BF9">
      <w:pPr>
        <w:spacing w:before="29" w:line="288" w:lineRule="auto"/>
        <w:ind w:firstLineChars="200" w:firstLine="480"/>
        <w:rPr>
          <w:color w:val="000000"/>
          <w:sz w:val="24"/>
          <w:szCs w:val="24"/>
        </w:rPr>
      </w:pPr>
      <w:r>
        <w:rPr>
          <w:color w:val="000000"/>
          <w:sz w:val="24"/>
          <w:szCs w:val="24"/>
        </w:rPr>
        <w:t>权益市场方面，在避险情绪及经济走弱预期影响下，三季度市场表现低迷，上证综指下跌</w:t>
      </w:r>
      <w:r>
        <w:rPr>
          <w:color w:val="000000"/>
          <w:sz w:val="24"/>
          <w:szCs w:val="24"/>
        </w:rPr>
        <w:t>0.92%</w:t>
      </w:r>
      <w:r>
        <w:rPr>
          <w:color w:val="000000"/>
          <w:sz w:val="24"/>
          <w:szCs w:val="24"/>
        </w:rPr>
        <w:t>，创业板指下跌</w:t>
      </w:r>
      <w:r>
        <w:rPr>
          <w:color w:val="000000"/>
          <w:sz w:val="24"/>
          <w:szCs w:val="24"/>
        </w:rPr>
        <w:t>12.16%</w:t>
      </w:r>
      <w:r>
        <w:rPr>
          <w:color w:val="000000"/>
          <w:sz w:val="24"/>
          <w:szCs w:val="24"/>
        </w:rPr>
        <w:t>。行业层面，银行保险作为防御性板块，有较好的相对收益和绝对收益，石化板块受油价景气度影响，表现也较为突出，建筑、军工、钢铁阶段性有较好表现，消费板块受景气影响表现较弱。</w:t>
      </w:r>
    </w:p>
    <w:p w:rsidR="008D6051" w:rsidRDefault="00D37BF9">
      <w:pPr>
        <w:spacing w:before="29" w:line="288" w:lineRule="auto"/>
        <w:ind w:firstLineChars="200" w:firstLine="480"/>
        <w:rPr>
          <w:color w:val="000000"/>
          <w:sz w:val="24"/>
          <w:szCs w:val="24"/>
        </w:rPr>
      </w:pPr>
      <w:r>
        <w:rPr>
          <w:color w:val="000000"/>
          <w:sz w:val="24"/>
          <w:szCs w:val="24"/>
        </w:rPr>
        <w:t>本报告期内，本基金在</w:t>
      </w:r>
      <w:r>
        <w:rPr>
          <w:color w:val="000000"/>
          <w:sz w:val="24"/>
          <w:szCs w:val="24"/>
        </w:rPr>
        <w:t>CPPI</w:t>
      </w:r>
      <w:r>
        <w:rPr>
          <w:color w:val="000000"/>
          <w:sz w:val="24"/>
          <w:szCs w:val="24"/>
        </w:rPr>
        <w:t>策略的基础上，积极积累组合安全垫，控制组合回撤。三季度，考虑到流动性宽松较为确定，组合继续采用杠杆策略，并择机将部分短久期资产置换为保本周期范围内稍长久期的高收益优质资产，以提升组合静态收益。权益方面，考虑到海外市场的不确定性，组合清空了转债仓位。</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前期社融总额增速的下滑影响已经逐步在中观消费数据得以体现，随着地产销售的走低，叠加中美贸易争端对净出口的负面影响，总需求弱势格局延续。我们维持对债市谨慎乐观的观点，不过也需关注社融表外数据的改善情况，以及油价和食品价格上行对明年通胀的可能冲击。考虑到流动性相对宽松的格局未变，保本组合延续采用杠杆策略，并根据市场情况，动态调整保本期允许范围内的资产久期，以期增厚收益。权益方面，组合目前维持转债和权益资产零仓位，以观望为主，谨慎参与市场反弹。</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857,139,300.00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857,139,300.00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15,902,473.98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18,036,929.47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2.02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891,078,703.45</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26,659,000.00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26,659,000.00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200,946,300.00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37.82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50,279,000.00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9.46</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71,138,000.00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13.39</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508,117,000.00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95.64</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857,139,300.00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161.33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D6051">
        <w:trPr>
          <w:jc w:val="center"/>
        </w:trPr>
        <w:tc>
          <w:tcPr>
            <w:tcW w:w="850" w:type="dxa"/>
            <w:vAlign w:val="center"/>
          </w:tcPr>
          <w:p w:rsidR="008D6051" w:rsidRDefault="00D37BF9">
            <w:pPr>
              <w:jc w:val="center"/>
            </w:pPr>
            <w:r>
              <w:rPr>
                <w:color w:val="000000"/>
                <w:sz w:val="24"/>
                <w:szCs w:val="24"/>
              </w:rPr>
              <w:t>1</w:t>
            </w:r>
          </w:p>
        </w:tc>
        <w:tc>
          <w:tcPr>
            <w:tcW w:w="1475" w:type="dxa"/>
            <w:vAlign w:val="center"/>
          </w:tcPr>
          <w:p w:rsidR="008D6051" w:rsidRDefault="00D37BF9">
            <w:pPr>
              <w:jc w:val="center"/>
            </w:pPr>
            <w:r>
              <w:rPr>
                <w:color w:val="000000"/>
                <w:sz w:val="24"/>
                <w:szCs w:val="24"/>
              </w:rPr>
              <w:t>111893071</w:t>
            </w:r>
          </w:p>
        </w:tc>
        <w:tc>
          <w:tcPr>
            <w:tcW w:w="1769" w:type="dxa"/>
            <w:vAlign w:val="center"/>
          </w:tcPr>
          <w:p w:rsidR="008D6051" w:rsidRDefault="00D37BF9">
            <w:pPr>
              <w:jc w:val="center"/>
            </w:pPr>
            <w:r>
              <w:rPr>
                <w:color w:val="000000"/>
                <w:sz w:val="24"/>
                <w:szCs w:val="24"/>
              </w:rPr>
              <w:t>18</w:t>
            </w:r>
            <w:r>
              <w:rPr>
                <w:color w:val="000000"/>
                <w:sz w:val="24"/>
                <w:szCs w:val="24"/>
              </w:rPr>
              <w:t>杭州银行</w:t>
            </w:r>
            <w:r>
              <w:rPr>
                <w:color w:val="000000"/>
                <w:sz w:val="24"/>
                <w:szCs w:val="24"/>
              </w:rPr>
              <w:t>CD011</w:t>
            </w:r>
          </w:p>
        </w:tc>
        <w:tc>
          <w:tcPr>
            <w:tcW w:w="1387" w:type="dxa"/>
            <w:vAlign w:val="center"/>
          </w:tcPr>
          <w:p w:rsidR="008D6051" w:rsidRDefault="00D37BF9">
            <w:pPr>
              <w:jc w:val="right"/>
            </w:pPr>
            <w:r>
              <w:rPr>
                <w:color w:val="000000"/>
                <w:sz w:val="24"/>
                <w:szCs w:val="24"/>
              </w:rPr>
              <w:t>1,000,000</w:t>
            </w:r>
          </w:p>
        </w:tc>
        <w:tc>
          <w:tcPr>
            <w:tcW w:w="2150" w:type="dxa"/>
            <w:vAlign w:val="center"/>
          </w:tcPr>
          <w:p w:rsidR="008D6051" w:rsidRDefault="00D37BF9">
            <w:pPr>
              <w:jc w:val="right"/>
            </w:pPr>
            <w:r>
              <w:rPr>
                <w:color w:val="000000"/>
                <w:sz w:val="24"/>
                <w:szCs w:val="24"/>
              </w:rPr>
              <w:t>95,830,000.00</w:t>
            </w:r>
          </w:p>
        </w:tc>
        <w:tc>
          <w:tcPr>
            <w:tcW w:w="1237" w:type="dxa"/>
            <w:vAlign w:val="center"/>
          </w:tcPr>
          <w:p w:rsidR="008D6051" w:rsidRDefault="00D37BF9">
            <w:pPr>
              <w:jc w:val="right"/>
            </w:pPr>
            <w:r>
              <w:rPr>
                <w:color w:val="000000"/>
                <w:sz w:val="24"/>
                <w:szCs w:val="24"/>
              </w:rPr>
              <w:t>18.04</w:t>
            </w:r>
          </w:p>
        </w:tc>
      </w:tr>
      <w:tr w:rsidR="008D6051">
        <w:trPr>
          <w:jc w:val="center"/>
        </w:trPr>
        <w:tc>
          <w:tcPr>
            <w:tcW w:w="850" w:type="dxa"/>
            <w:vAlign w:val="center"/>
          </w:tcPr>
          <w:p w:rsidR="008D6051" w:rsidRDefault="00D37BF9">
            <w:pPr>
              <w:jc w:val="center"/>
            </w:pPr>
            <w:r>
              <w:rPr>
                <w:color w:val="000000"/>
                <w:sz w:val="24"/>
                <w:szCs w:val="24"/>
              </w:rPr>
              <w:t>2</w:t>
            </w:r>
          </w:p>
        </w:tc>
        <w:tc>
          <w:tcPr>
            <w:tcW w:w="1475" w:type="dxa"/>
            <w:vAlign w:val="center"/>
          </w:tcPr>
          <w:p w:rsidR="008D6051" w:rsidRDefault="00D37BF9">
            <w:pPr>
              <w:jc w:val="center"/>
            </w:pPr>
            <w:r>
              <w:rPr>
                <w:color w:val="000000"/>
                <w:sz w:val="24"/>
                <w:szCs w:val="24"/>
              </w:rPr>
              <w:t>111814035</w:t>
            </w:r>
          </w:p>
        </w:tc>
        <w:tc>
          <w:tcPr>
            <w:tcW w:w="1769" w:type="dxa"/>
            <w:vAlign w:val="center"/>
          </w:tcPr>
          <w:p w:rsidR="008D6051" w:rsidRDefault="00D37BF9">
            <w:pPr>
              <w:jc w:val="center"/>
            </w:pPr>
            <w:r>
              <w:rPr>
                <w:color w:val="000000"/>
                <w:sz w:val="24"/>
                <w:szCs w:val="24"/>
              </w:rPr>
              <w:t>18</w:t>
            </w:r>
            <w:r>
              <w:rPr>
                <w:color w:val="000000"/>
                <w:sz w:val="24"/>
                <w:szCs w:val="24"/>
              </w:rPr>
              <w:t>江苏银行</w:t>
            </w:r>
            <w:r>
              <w:rPr>
                <w:color w:val="000000"/>
                <w:sz w:val="24"/>
                <w:szCs w:val="24"/>
              </w:rPr>
              <w:t>CD035</w:t>
            </w:r>
          </w:p>
        </w:tc>
        <w:tc>
          <w:tcPr>
            <w:tcW w:w="1387" w:type="dxa"/>
            <w:vAlign w:val="center"/>
          </w:tcPr>
          <w:p w:rsidR="008D6051" w:rsidRDefault="00D37BF9">
            <w:pPr>
              <w:jc w:val="right"/>
            </w:pPr>
            <w:r>
              <w:rPr>
                <w:color w:val="000000"/>
                <w:sz w:val="24"/>
                <w:szCs w:val="24"/>
              </w:rPr>
              <w:t>1,000,000</w:t>
            </w:r>
          </w:p>
        </w:tc>
        <w:tc>
          <w:tcPr>
            <w:tcW w:w="2150" w:type="dxa"/>
            <w:vAlign w:val="center"/>
          </w:tcPr>
          <w:p w:rsidR="008D6051" w:rsidRDefault="00D37BF9">
            <w:pPr>
              <w:jc w:val="right"/>
            </w:pPr>
            <w:r>
              <w:rPr>
                <w:color w:val="000000"/>
                <w:sz w:val="24"/>
                <w:szCs w:val="24"/>
              </w:rPr>
              <w:t>95,820,000.00</w:t>
            </w:r>
          </w:p>
        </w:tc>
        <w:tc>
          <w:tcPr>
            <w:tcW w:w="1237" w:type="dxa"/>
            <w:vAlign w:val="center"/>
          </w:tcPr>
          <w:p w:rsidR="008D6051" w:rsidRDefault="00D37BF9">
            <w:pPr>
              <w:jc w:val="right"/>
            </w:pPr>
            <w:r>
              <w:rPr>
                <w:color w:val="000000"/>
                <w:sz w:val="24"/>
                <w:szCs w:val="24"/>
              </w:rPr>
              <w:t>18.04</w:t>
            </w:r>
          </w:p>
        </w:tc>
      </w:tr>
      <w:tr w:rsidR="008D6051">
        <w:trPr>
          <w:jc w:val="center"/>
        </w:trPr>
        <w:tc>
          <w:tcPr>
            <w:tcW w:w="850" w:type="dxa"/>
            <w:vAlign w:val="center"/>
          </w:tcPr>
          <w:p w:rsidR="008D6051" w:rsidRDefault="00D37BF9">
            <w:pPr>
              <w:jc w:val="center"/>
            </w:pPr>
            <w:r>
              <w:rPr>
                <w:color w:val="000000"/>
                <w:sz w:val="24"/>
                <w:szCs w:val="24"/>
              </w:rPr>
              <w:t>3</w:t>
            </w:r>
          </w:p>
        </w:tc>
        <w:tc>
          <w:tcPr>
            <w:tcW w:w="1475" w:type="dxa"/>
            <w:vAlign w:val="center"/>
          </w:tcPr>
          <w:p w:rsidR="008D6051" w:rsidRDefault="00D37BF9">
            <w:pPr>
              <w:jc w:val="center"/>
            </w:pPr>
            <w:r>
              <w:rPr>
                <w:color w:val="000000"/>
                <w:sz w:val="24"/>
                <w:szCs w:val="24"/>
              </w:rPr>
              <w:t>111892033</w:t>
            </w:r>
          </w:p>
        </w:tc>
        <w:tc>
          <w:tcPr>
            <w:tcW w:w="1769" w:type="dxa"/>
            <w:vAlign w:val="center"/>
          </w:tcPr>
          <w:p w:rsidR="008D6051" w:rsidRDefault="00D37BF9">
            <w:pPr>
              <w:jc w:val="center"/>
            </w:pPr>
            <w:r>
              <w:rPr>
                <w:color w:val="000000"/>
                <w:sz w:val="24"/>
                <w:szCs w:val="24"/>
              </w:rPr>
              <w:t>18</w:t>
            </w:r>
            <w:r>
              <w:rPr>
                <w:color w:val="000000"/>
                <w:sz w:val="24"/>
                <w:szCs w:val="24"/>
              </w:rPr>
              <w:t>宁波银行</w:t>
            </w:r>
            <w:r>
              <w:rPr>
                <w:color w:val="000000"/>
                <w:sz w:val="24"/>
                <w:szCs w:val="24"/>
              </w:rPr>
              <w:t>CD032</w:t>
            </w:r>
          </w:p>
        </w:tc>
        <w:tc>
          <w:tcPr>
            <w:tcW w:w="1387" w:type="dxa"/>
            <w:vAlign w:val="center"/>
          </w:tcPr>
          <w:p w:rsidR="008D6051" w:rsidRDefault="00D37BF9">
            <w:pPr>
              <w:jc w:val="right"/>
            </w:pPr>
            <w:r>
              <w:rPr>
                <w:color w:val="000000"/>
                <w:sz w:val="24"/>
                <w:szCs w:val="24"/>
              </w:rPr>
              <w:t>1,000,000</w:t>
            </w:r>
          </w:p>
        </w:tc>
        <w:tc>
          <w:tcPr>
            <w:tcW w:w="2150" w:type="dxa"/>
            <w:vAlign w:val="center"/>
          </w:tcPr>
          <w:p w:rsidR="008D6051" w:rsidRDefault="00D37BF9">
            <w:pPr>
              <w:jc w:val="right"/>
            </w:pPr>
            <w:r>
              <w:rPr>
                <w:color w:val="000000"/>
                <w:sz w:val="24"/>
                <w:szCs w:val="24"/>
              </w:rPr>
              <w:t>95,800,000.00</w:t>
            </w:r>
          </w:p>
        </w:tc>
        <w:tc>
          <w:tcPr>
            <w:tcW w:w="1237" w:type="dxa"/>
            <w:vAlign w:val="center"/>
          </w:tcPr>
          <w:p w:rsidR="008D6051" w:rsidRDefault="00D37BF9">
            <w:pPr>
              <w:jc w:val="right"/>
            </w:pPr>
            <w:r>
              <w:rPr>
                <w:color w:val="000000"/>
                <w:sz w:val="24"/>
                <w:szCs w:val="24"/>
              </w:rPr>
              <w:t>18.03</w:t>
            </w:r>
          </w:p>
        </w:tc>
      </w:tr>
      <w:tr w:rsidR="008D6051">
        <w:trPr>
          <w:jc w:val="center"/>
        </w:trPr>
        <w:tc>
          <w:tcPr>
            <w:tcW w:w="850" w:type="dxa"/>
            <w:vAlign w:val="center"/>
          </w:tcPr>
          <w:p w:rsidR="008D6051" w:rsidRDefault="00D37BF9">
            <w:pPr>
              <w:jc w:val="center"/>
            </w:pPr>
            <w:r>
              <w:rPr>
                <w:color w:val="000000"/>
                <w:sz w:val="24"/>
                <w:szCs w:val="24"/>
              </w:rPr>
              <w:t>4</w:t>
            </w:r>
          </w:p>
        </w:tc>
        <w:tc>
          <w:tcPr>
            <w:tcW w:w="1475" w:type="dxa"/>
            <w:vAlign w:val="center"/>
          </w:tcPr>
          <w:p w:rsidR="008D6051" w:rsidRDefault="00D37BF9">
            <w:pPr>
              <w:jc w:val="center"/>
            </w:pPr>
            <w:r>
              <w:rPr>
                <w:color w:val="000000"/>
                <w:sz w:val="24"/>
                <w:szCs w:val="24"/>
              </w:rPr>
              <w:t>111892484</w:t>
            </w:r>
          </w:p>
        </w:tc>
        <w:tc>
          <w:tcPr>
            <w:tcW w:w="1769" w:type="dxa"/>
            <w:vAlign w:val="center"/>
          </w:tcPr>
          <w:p w:rsidR="008D6051" w:rsidRDefault="00D37BF9">
            <w:pPr>
              <w:jc w:val="center"/>
            </w:pPr>
            <w:r>
              <w:rPr>
                <w:color w:val="000000"/>
                <w:sz w:val="24"/>
                <w:szCs w:val="24"/>
              </w:rPr>
              <w:t>18</w:t>
            </w:r>
            <w:r>
              <w:rPr>
                <w:color w:val="000000"/>
                <w:sz w:val="24"/>
                <w:szCs w:val="24"/>
              </w:rPr>
              <w:t>广州农村商业银行</w:t>
            </w:r>
            <w:r>
              <w:rPr>
                <w:color w:val="000000"/>
                <w:sz w:val="24"/>
                <w:szCs w:val="24"/>
              </w:rPr>
              <w:t>CD001</w:t>
            </w:r>
          </w:p>
        </w:tc>
        <w:tc>
          <w:tcPr>
            <w:tcW w:w="1387" w:type="dxa"/>
            <w:vAlign w:val="center"/>
          </w:tcPr>
          <w:p w:rsidR="008D6051" w:rsidRDefault="00D37BF9">
            <w:pPr>
              <w:jc w:val="right"/>
            </w:pPr>
            <w:r>
              <w:rPr>
                <w:color w:val="000000"/>
                <w:sz w:val="24"/>
                <w:szCs w:val="24"/>
              </w:rPr>
              <w:t>1,000,000</w:t>
            </w:r>
          </w:p>
        </w:tc>
        <w:tc>
          <w:tcPr>
            <w:tcW w:w="2150" w:type="dxa"/>
            <w:vAlign w:val="center"/>
          </w:tcPr>
          <w:p w:rsidR="008D6051" w:rsidRDefault="00D37BF9">
            <w:pPr>
              <w:jc w:val="right"/>
            </w:pPr>
            <w:r>
              <w:rPr>
                <w:color w:val="000000"/>
                <w:sz w:val="24"/>
                <w:szCs w:val="24"/>
              </w:rPr>
              <w:t>95,780,000.00</w:t>
            </w:r>
          </w:p>
        </w:tc>
        <w:tc>
          <w:tcPr>
            <w:tcW w:w="1237" w:type="dxa"/>
            <w:vAlign w:val="center"/>
          </w:tcPr>
          <w:p w:rsidR="008D6051" w:rsidRDefault="00D37BF9">
            <w:pPr>
              <w:jc w:val="right"/>
            </w:pPr>
            <w:r>
              <w:rPr>
                <w:color w:val="000000"/>
                <w:sz w:val="24"/>
                <w:szCs w:val="24"/>
              </w:rPr>
              <w:t>18.03</w:t>
            </w:r>
          </w:p>
        </w:tc>
      </w:tr>
      <w:tr w:rsidR="008D6051">
        <w:trPr>
          <w:jc w:val="center"/>
        </w:trPr>
        <w:tc>
          <w:tcPr>
            <w:tcW w:w="850" w:type="dxa"/>
            <w:vAlign w:val="center"/>
          </w:tcPr>
          <w:p w:rsidR="008D6051" w:rsidRDefault="00D37BF9">
            <w:pPr>
              <w:jc w:val="center"/>
            </w:pPr>
            <w:r>
              <w:rPr>
                <w:color w:val="000000"/>
                <w:sz w:val="24"/>
                <w:szCs w:val="24"/>
              </w:rPr>
              <w:t>5</w:t>
            </w:r>
          </w:p>
        </w:tc>
        <w:tc>
          <w:tcPr>
            <w:tcW w:w="1475" w:type="dxa"/>
            <w:vAlign w:val="center"/>
          </w:tcPr>
          <w:p w:rsidR="008D6051" w:rsidRDefault="00D37BF9">
            <w:pPr>
              <w:jc w:val="center"/>
            </w:pPr>
            <w:r>
              <w:rPr>
                <w:color w:val="000000"/>
                <w:sz w:val="24"/>
                <w:szCs w:val="24"/>
              </w:rPr>
              <w:t>136721</w:t>
            </w:r>
          </w:p>
        </w:tc>
        <w:tc>
          <w:tcPr>
            <w:tcW w:w="1769" w:type="dxa"/>
            <w:vAlign w:val="center"/>
          </w:tcPr>
          <w:p w:rsidR="008D6051" w:rsidRDefault="00D37BF9">
            <w:pPr>
              <w:jc w:val="center"/>
            </w:pPr>
            <w:r>
              <w:rPr>
                <w:color w:val="000000"/>
                <w:sz w:val="24"/>
                <w:szCs w:val="24"/>
              </w:rPr>
              <w:t>16</w:t>
            </w:r>
            <w:r>
              <w:rPr>
                <w:color w:val="000000"/>
                <w:sz w:val="24"/>
                <w:szCs w:val="24"/>
              </w:rPr>
              <w:t>石化</w:t>
            </w:r>
            <w:r>
              <w:rPr>
                <w:color w:val="000000"/>
                <w:sz w:val="24"/>
                <w:szCs w:val="24"/>
              </w:rPr>
              <w:t>01</w:t>
            </w:r>
          </w:p>
        </w:tc>
        <w:tc>
          <w:tcPr>
            <w:tcW w:w="1387" w:type="dxa"/>
            <w:vAlign w:val="center"/>
          </w:tcPr>
          <w:p w:rsidR="008D6051" w:rsidRDefault="00D37BF9">
            <w:pPr>
              <w:jc w:val="right"/>
            </w:pPr>
            <w:r>
              <w:rPr>
                <w:color w:val="000000"/>
                <w:sz w:val="24"/>
                <w:szCs w:val="24"/>
              </w:rPr>
              <w:t>500,000</w:t>
            </w:r>
          </w:p>
        </w:tc>
        <w:tc>
          <w:tcPr>
            <w:tcW w:w="2150" w:type="dxa"/>
            <w:vAlign w:val="center"/>
          </w:tcPr>
          <w:p w:rsidR="008D6051" w:rsidRDefault="00D37BF9">
            <w:pPr>
              <w:jc w:val="right"/>
            </w:pPr>
            <w:r>
              <w:rPr>
                <w:color w:val="000000"/>
                <w:sz w:val="24"/>
                <w:szCs w:val="24"/>
              </w:rPr>
              <w:t>49,545,000.00</w:t>
            </w:r>
          </w:p>
        </w:tc>
        <w:tc>
          <w:tcPr>
            <w:tcW w:w="1237" w:type="dxa"/>
            <w:vAlign w:val="center"/>
          </w:tcPr>
          <w:p w:rsidR="008D6051" w:rsidRDefault="00D37BF9">
            <w:pPr>
              <w:jc w:val="right"/>
            </w:pPr>
            <w:r>
              <w:rPr>
                <w:color w:val="000000"/>
                <w:sz w:val="24"/>
                <w:szCs w:val="24"/>
              </w:rPr>
              <w:t>9.33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报告期内本基金投资的前十名证券的发行主体除</w:t>
      </w:r>
      <w:r w:rsidRPr="00BE5388">
        <w:rPr>
          <w:bCs/>
          <w:color w:val="000000"/>
          <w:kern w:val="0"/>
          <w:sz w:val="24"/>
          <w:szCs w:val="24"/>
        </w:rPr>
        <w:t>18</w:t>
      </w:r>
      <w:r w:rsidRPr="00BE5388">
        <w:rPr>
          <w:bCs/>
          <w:color w:val="000000"/>
          <w:kern w:val="0"/>
          <w:sz w:val="24"/>
          <w:szCs w:val="24"/>
        </w:rPr>
        <w:t>南京银行</w:t>
      </w:r>
      <w:r w:rsidRPr="00BE5388">
        <w:rPr>
          <w:bCs/>
          <w:color w:val="000000"/>
          <w:kern w:val="0"/>
          <w:sz w:val="24"/>
          <w:szCs w:val="24"/>
        </w:rPr>
        <w:t>CD033</w:t>
      </w:r>
      <w:r w:rsidRPr="00BE5388">
        <w:rPr>
          <w:bCs/>
          <w:color w:val="000000"/>
          <w:kern w:val="0"/>
          <w:sz w:val="24"/>
          <w:szCs w:val="24"/>
        </w:rPr>
        <w:t>（证券代码：</w:t>
      </w:r>
      <w:r w:rsidRPr="00BE5388">
        <w:rPr>
          <w:bCs/>
          <w:color w:val="000000"/>
          <w:kern w:val="0"/>
          <w:sz w:val="24"/>
          <w:szCs w:val="24"/>
        </w:rPr>
        <w:t>111892638</w:t>
      </w:r>
      <w:r w:rsidRPr="00BE5388">
        <w:rPr>
          <w:bCs/>
          <w:color w:val="000000"/>
          <w:kern w:val="0"/>
          <w:sz w:val="24"/>
          <w:szCs w:val="24"/>
        </w:rPr>
        <w:t>）外，未出现被监管部门立案调查，或在报告编制日前一年内受到公开谴责、处罚的情形。</w:t>
      </w:r>
    </w:p>
    <w:p w:rsidR="008D6051" w:rsidRDefault="00D37BF9">
      <w:pPr>
        <w:autoSpaceDE w:val="0"/>
        <w:autoSpaceDN w:val="0"/>
        <w:adjustRightInd w:val="0"/>
        <w:spacing w:before="29" w:line="288" w:lineRule="auto"/>
        <w:jc w:val="left"/>
        <w:rPr>
          <w:bCs/>
          <w:color w:val="000000"/>
          <w:kern w:val="0"/>
          <w:sz w:val="24"/>
          <w:szCs w:val="24"/>
        </w:rPr>
      </w:pPr>
      <w:r>
        <w:rPr>
          <w:bCs/>
          <w:color w:val="000000"/>
          <w:kern w:val="0"/>
          <w:sz w:val="24"/>
          <w:szCs w:val="24"/>
        </w:rPr>
        <w:t>报告期内本基金投资的前十名证券之一</w:t>
      </w:r>
      <w:r>
        <w:rPr>
          <w:bCs/>
          <w:color w:val="000000"/>
          <w:kern w:val="0"/>
          <w:sz w:val="24"/>
          <w:szCs w:val="24"/>
        </w:rPr>
        <w:t>18</w:t>
      </w:r>
      <w:r>
        <w:rPr>
          <w:bCs/>
          <w:color w:val="000000"/>
          <w:kern w:val="0"/>
          <w:sz w:val="24"/>
          <w:szCs w:val="24"/>
        </w:rPr>
        <w:t>南京银行</w:t>
      </w:r>
      <w:r>
        <w:rPr>
          <w:bCs/>
          <w:color w:val="000000"/>
          <w:kern w:val="0"/>
          <w:sz w:val="24"/>
          <w:szCs w:val="24"/>
        </w:rPr>
        <w:t>CD033</w:t>
      </w:r>
      <w:r>
        <w:rPr>
          <w:bCs/>
          <w:color w:val="000000"/>
          <w:kern w:val="0"/>
          <w:sz w:val="24"/>
          <w:szCs w:val="24"/>
        </w:rPr>
        <w:t>（证券代码：</w:t>
      </w:r>
      <w:r>
        <w:rPr>
          <w:bCs/>
          <w:color w:val="000000"/>
          <w:kern w:val="0"/>
          <w:sz w:val="24"/>
          <w:szCs w:val="24"/>
        </w:rPr>
        <w:t>111892638</w:t>
      </w:r>
      <w:r>
        <w:rPr>
          <w:bCs/>
          <w:color w:val="000000"/>
          <w:kern w:val="0"/>
          <w:sz w:val="24"/>
          <w:szCs w:val="24"/>
        </w:rPr>
        <w:t>）的发行主体南京银行于</w:t>
      </w:r>
      <w:r>
        <w:rPr>
          <w:bCs/>
          <w:color w:val="000000"/>
          <w:kern w:val="0"/>
          <w:sz w:val="24"/>
          <w:szCs w:val="24"/>
        </w:rPr>
        <w:t>2018</w:t>
      </w:r>
      <w:r>
        <w:rPr>
          <w:bCs/>
          <w:color w:val="000000"/>
          <w:kern w:val="0"/>
          <w:sz w:val="24"/>
          <w:szCs w:val="24"/>
        </w:rPr>
        <w:t>年</w:t>
      </w:r>
      <w:r>
        <w:rPr>
          <w:bCs/>
          <w:color w:val="000000"/>
          <w:kern w:val="0"/>
          <w:sz w:val="24"/>
          <w:szCs w:val="24"/>
        </w:rPr>
        <w:t>1</w:t>
      </w:r>
      <w:r>
        <w:rPr>
          <w:bCs/>
          <w:color w:val="000000"/>
          <w:kern w:val="0"/>
          <w:sz w:val="24"/>
          <w:szCs w:val="24"/>
        </w:rPr>
        <w:t>月</w:t>
      </w:r>
      <w:r>
        <w:rPr>
          <w:bCs/>
          <w:color w:val="000000"/>
          <w:kern w:val="0"/>
          <w:sz w:val="24"/>
          <w:szCs w:val="24"/>
        </w:rPr>
        <w:t>30</w:t>
      </w:r>
      <w:r>
        <w:rPr>
          <w:bCs/>
          <w:color w:val="000000"/>
          <w:kern w:val="0"/>
          <w:sz w:val="24"/>
          <w:szCs w:val="24"/>
        </w:rPr>
        <w:t>日公告，公司收到中国银行业监督管理委员会江苏监管局行政处罚决定书（苏银监罚决字【</w:t>
      </w:r>
      <w:r>
        <w:rPr>
          <w:bCs/>
          <w:color w:val="000000"/>
          <w:kern w:val="0"/>
          <w:sz w:val="24"/>
          <w:szCs w:val="24"/>
        </w:rPr>
        <w:t>2018</w:t>
      </w:r>
      <w:r>
        <w:rPr>
          <w:bCs/>
          <w:color w:val="000000"/>
          <w:kern w:val="0"/>
          <w:sz w:val="24"/>
          <w:szCs w:val="24"/>
        </w:rPr>
        <w:t>】</w:t>
      </w:r>
      <w:r>
        <w:rPr>
          <w:bCs/>
          <w:color w:val="000000"/>
          <w:kern w:val="0"/>
          <w:sz w:val="24"/>
          <w:szCs w:val="24"/>
        </w:rPr>
        <w:t>1</w:t>
      </w:r>
      <w:r>
        <w:rPr>
          <w:bCs/>
          <w:color w:val="000000"/>
          <w:kern w:val="0"/>
          <w:sz w:val="24"/>
          <w:szCs w:val="24"/>
        </w:rPr>
        <w:t>号</w:t>
      </w:r>
      <w:r>
        <w:rPr>
          <w:bCs/>
          <w:color w:val="000000"/>
          <w:kern w:val="0"/>
          <w:sz w:val="24"/>
          <w:szCs w:val="24"/>
        </w:rPr>
        <w:t>,</w:t>
      </w:r>
      <w:r>
        <w:rPr>
          <w:bCs/>
          <w:color w:val="000000"/>
          <w:kern w:val="0"/>
          <w:sz w:val="24"/>
          <w:szCs w:val="24"/>
        </w:rPr>
        <w:t>对镇江分行违规办理票据业务违反审慎经营原则的行为罚款</w:t>
      </w:r>
      <w:r>
        <w:rPr>
          <w:bCs/>
          <w:color w:val="000000"/>
          <w:kern w:val="0"/>
          <w:sz w:val="24"/>
          <w:szCs w:val="24"/>
        </w:rPr>
        <w:t>3230</w:t>
      </w:r>
      <w:r>
        <w:rPr>
          <w:bCs/>
          <w:color w:val="000000"/>
          <w:kern w:val="0"/>
          <w:sz w:val="24"/>
          <w:szCs w:val="24"/>
        </w:rPr>
        <w:t>万元人民币。</w:t>
      </w:r>
    </w:p>
    <w:p w:rsidR="008D6051" w:rsidRDefault="00D37BF9">
      <w:pPr>
        <w:autoSpaceDE w:val="0"/>
        <w:autoSpaceDN w:val="0"/>
        <w:adjustRightInd w:val="0"/>
        <w:spacing w:before="29" w:line="288" w:lineRule="auto"/>
        <w:jc w:val="left"/>
        <w:rPr>
          <w:bCs/>
          <w:color w:val="000000"/>
          <w:kern w:val="0"/>
          <w:sz w:val="24"/>
          <w:szCs w:val="24"/>
        </w:rPr>
      </w:pPr>
      <w:r>
        <w:rPr>
          <w:bCs/>
          <w:color w:val="000000"/>
          <w:kern w:val="0"/>
          <w:sz w:val="24"/>
          <w:szCs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w:t>
      </w:r>
      <w:r>
        <w:rPr>
          <w:bCs/>
          <w:color w:val="000000"/>
          <w:kern w:val="0"/>
          <w:sz w:val="24"/>
          <w:szCs w:val="24"/>
        </w:rPr>
        <w:t>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2,621.75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18,032,584.87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1,633.07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18,036,929.47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8D6051" w:rsidRPr="00D37BF9" w:rsidRDefault="003259C8" w:rsidP="00D37BF9">
      <w:pPr>
        <w:autoSpaceDE w:val="0"/>
        <w:autoSpaceDN w:val="0"/>
        <w:adjustRightInd w:val="0"/>
        <w:spacing w:before="29" w:line="288" w:lineRule="auto"/>
        <w:jc w:val="left"/>
        <w:rPr>
          <w:rFonts w:hint="eastAsia"/>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bookmarkStart w:id="0" w:name="_GoBack"/>
      <w:bookmarkEnd w:id="0"/>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532,930,967.97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1,886,924.97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33,402,453.75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501,415,439.19</w:t>
            </w:r>
          </w:p>
        </w:tc>
      </w:tr>
    </w:tbl>
    <w:p w:rsidR="008D6051" w:rsidRDefault="00D37BF9">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D6051" w:rsidRDefault="00D37BF9">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8D6051" w:rsidRDefault="00D37BF9">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8D6051" w:rsidRDefault="00D37BF9">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8D6051" w:rsidRDefault="00D37BF9">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8D6051" w:rsidRDefault="00D37BF9">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8D6051" w:rsidRDefault="00D37BF9">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8D6051" w:rsidRDefault="00D37BF9">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8D6051" w:rsidRDefault="00D37BF9">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D6051" w:rsidRDefault="00D37BF9">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37BF9">
      <w:rPr>
        <w:noProof/>
        <w:kern w:val="0"/>
        <w:szCs w:val="21"/>
      </w:rPr>
      <w:t>11</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37BF9">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交银施罗德荣祥保本混合型证券投资基金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6051"/>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37BF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22DEBC3-375B-4160-8738-427159A88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1B05A-E9D1-433B-AFC6-11DA192C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1813</TotalTime>
  <Pages>12</Pages>
  <Words>1104</Words>
  <Characters>6296</Characters>
  <Application>Microsoft Office Word</Application>
  <DocSecurity>0</DocSecurity>
  <Lines>52</Lines>
  <Paragraphs>14</Paragraphs>
  <ScaleCrop>false</ScaleCrop>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陈可桢</cp:lastModifiedBy>
  <cp:revision>579</cp:revision>
  <dcterms:created xsi:type="dcterms:W3CDTF">2012-10-16T06:07:00Z</dcterms:created>
  <dcterms:modified xsi:type="dcterms:W3CDTF">2018-10-18T07:21:00Z</dcterms:modified>
</cp:coreProperties>
</file>