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AC" w:rsidRPr="00414345" w:rsidRDefault="004061AC" w:rsidP="00C15CAC">
      <w:pPr>
        <w:autoSpaceDE w:val="0"/>
        <w:autoSpaceDN w:val="0"/>
        <w:adjustRightInd w:val="0"/>
        <w:spacing w:before="29" w:line="288" w:lineRule="auto"/>
        <w:jc w:val="left"/>
        <w:rPr>
          <w:rFonts w:hint="eastAsia"/>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交银施罗德消费新驱动股票型证券投资基金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9"/>
          <w:headerReference w:type="default" r:id="rId10"/>
          <w:footerReference w:type="even" r:id="rId11"/>
          <w:footerReference w:type="default" r:id="rId12"/>
          <w:headerReference w:type="first" r:id="rId13"/>
          <w:footerReference w:type="first" r:id="rId14"/>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61551" w:rsidRDefault="004F454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61551" w:rsidRDefault="004F4540">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61551" w:rsidRDefault="004F454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61551" w:rsidRDefault="004F454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61551" w:rsidRDefault="004F454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706,030,567.47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中证内地消费主题指数</w:t>
            </w:r>
            <w:r w:rsidRPr="00414345">
              <w:rPr>
                <w:color w:val="000000"/>
                <w:kern w:val="0"/>
                <w:sz w:val="24"/>
                <w:szCs w:val="24"/>
              </w:rPr>
              <w:t>+15%×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F6801" w:rsidRPr="00414345" w:rsidTr="009F680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F6801" w:rsidRPr="00414345" w:rsidTr="009F68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-43,948,270.23</w:t>
            </w:r>
          </w:p>
        </w:tc>
      </w:tr>
      <w:tr w:rsidR="009F6801" w:rsidRPr="00414345" w:rsidTr="009F68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-27,203,597.67</w:t>
            </w:r>
          </w:p>
        </w:tc>
      </w:tr>
      <w:tr w:rsidR="009F6801" w:rsidRPr="00414345" w:rsidTr="009F68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-0.0314</w:t>
            </w:r>
          </w:p>
        </w:tc>
      </w:tr>
      <w:tr w:rsidR="009F6801" w:rsidRPr="00414345" w:rsidTr="009F68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713,035,199.51</w:t>
            </w:r>
          </w:p>
        </w:tc>
      </w:tr>
      <w:tr w:rsidR="009F6801" w:rsidRPr="00414345" w:rsidTr="009F680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1.010</w:t>
            </w:r>
          </w:p>
        </w:tc>
      </w:tr>
    </w:tbl>
    <w:p w:rsidR="00461551" w:rsidRDefault="004F454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61551">
        <w:trPr>
          <w:jc w:val="center"/>
        </w:trPr>
        <w:tc>
          <w:tcPr>
            <w:tcW w:w="1701" w:type="dxa"/>
            <w:vAlign w:val="center"/>
          </w:tcPr>
          <w:p w:rsidR="00461551" w:rsidRDefault="004F4540">
            <w:pPr>
              <w:jc w:val="left"/>
            </w:pPr>
            <w:r>
              <w:rPr>
                <w:color w:val="000000"/>
                <w:sz w:val="24"/>
                <w:szCs w:val="24"/>
              </w:rPr>
              <w:t>过去三个月</w:t>
            </w:r>
          </w:p>
        </w:tc>
        <w:tc>
          <w:tcPr>
            <w:tcW w:w="1045" w:type="dxa"/>
            <w:vAlign w:val="center"/>
          </w:tcPr>
          <w:p w:rsidR="00461551" w:rsidRDefault="004F4540">
            <w:pPr>
              <w:jc w:val="center"/>
            </w:pPr>
            <w:r>
              <w:rPr>
                <w:color w:val="000000"/>
                <w:sz w:val="24"/>
                <w:szCs w:val="24"/>
              </w:rPr>
              <w:t>-2.70%</w:t>
            </w:r>
          </w:p>
        </w:tc>
        <w:tc>
          <w:tcPr>
            <w:tcW w:w="1344" w:type="dxa"/>
            <w:vAlign w:val="center"/>
          </w:tcPr>
          <w:p w:rsidR="00461551" w:rsidRDefault="004F4540">
            <w:pPr>
              <w:jc w:val="center"/>
            </w:pPr>
            <w:r>
              <w:rPr>
                <w:color w:val="000000"/>
                <w:sz w:val="24"/>
                <w:szCs w:val="24"/>
              </w:rPr>
              <w:t>1.39%</w:t>
            </w:r>
          </w:p>
        </w:tc>
        <w:tc>
          <w:tcPr>
            <w:tcW w:w="1194" w:type="dxa"/>
            <w:vAlign w:val="center"/>
          </w:tcPr>
          <w:p w:rsidR="00461551" w:rsidRDefault="004F4540">
            <w:pPr>
              <w:jc w:val="center"/>
            </w:pPr>
            <w:r>
              <w:rPr>
                <w:color w:val="000000"/>
                <w:sz w:val="24"/>
                <w:szCs w:val="24"/>
              </w:rPr>
              <w:t>-7.33%</w:t>
            </w:r>
          </w:p>
        </w:tc>
        <w:tc>
          <w:tcPr>
            <w:tcW w:w="1492" w:type="dxa"/>
            <w:vAlign w:val="center"/>
          </w:tcPr>
          <w:p w:rsidR="00461551" w:rsidRDefault="004F4540">
            <w:pPr>
              <w:jc w:val="center"/>
            </w:pPr>
            <w:r>
              <w:rPr>
                <w:color w:val="000000"/>
                <w:sz w:val="24"/>
                <w:szCs w:val="24"/>
              </w:rPr>
              <w:t>1.38%</w:t>
            </w:r>
          </w:p>
        </w:tc>
        <w:tc>
          <w:tcPr>
            <w:tcW w:w="1194" w:type="dxa"/>
            <w:vAlign w:val="center"/>
          </w:tcPr>
          <w:p w:rsidR="00461551" w:rsidRDefault="004F4540">
            <w:pPr>
              <w:jc w:val="center"/>
            </w:pPr>
            <w:r>
              <w:rPr>
                <w:color w:val="000000"/>
                <w:sz w:val="24"/>
                <w:szCs w:val="24"/>
              </w:rPr>
              <w:t>4.63%</w:t>
            </w:r>
          </w:p>
        </w:tc>
        <w:tc>
          <w:tcPr>
            <w:tcW w:w="898" w:type="dxa"/>
            <w:vAlign w:val="center"/>
          </w:tcPr>
          <w:p w:rsidR="00461551" w:rsidRDefault="004F4540">
            <w:pPr>
              <w:jc w:val="center"/>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w:t>
      </w:r>
      <w:r w:rsidR="00C6002A" w:rsidRPr="00414345">
        <w:rPr>
          <w:b/>
          <w:bCs/>
          <w:color w:val="000000"/>
          <w:sz w:val="24"/>
        </w:rPr>
        <w:lastRenderedPageBreak/>
        <w:t>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交银施罗德消费新驱动股票型证券投资基金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注：本基金由交银施罗德沪深</w:t>
      </w:r>
      <w:r w:rsidRPr="00414345">
        <w:rPr>
          <w:color w:val="000000"/>
          <w:sz w:val="24"/>
          <w:szCs w:val="24"/>
        </w:rPr>
        <w:t>300</w:t>
      </w:r>
      <w:r w:rsidRPr="00414345">
        <w:rPr>
          <w:color w:val="000000"/>
          <w:sz w:val="24"/>
          <w:szCs w:val="24"/>
        </w:rPr>
        <w:t>行业分层等权重指数证券投资基金转型而来。基金转型日为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日。本基金的投资转型期为交银施罗德沪深</w:t>
      </w:r>
      <w:r w:rsidRPr="00414345">
        <w:rPr>
          <w:color w:val="000000"/>
          <w:sz w:val="24"/>
          <w:szCs w:val="24"/>
        </w:rPr>
        <w:t>300</w:t>
      </w:r>
      <w:r w:rsidRPr="00414345">
        <w:rPr>
          <w:color w:val="000000"/>
          <w:sz w:val="24"/>
          <w:szCs w:val="24"/>
        </w:rPr>
        <w:t>行业分层等权重指数证券投资基金转型实施日（即</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日）起的</w:t>
      </w:r>
      <w:r w:rsidRPr="00414345">
        <w:rPr>
          <w:color w:val="000000"/>
          <w:sz w:val="24"/>
          <w:szCs w:val="24"/>
        </w:rPr>
        <w:t>6</w:t>
      </w:r>
      <w:r w:rsidRPr="00414345">
        <w:rPr>
          <w:color w:val="000000"/>
          <w:sz w:val="24"/>
          <w:szCs w:val="24"/>
        </w:rPr>
        <w:t>个月。截至投资转型期结束，本基金各项资产配置比例符合基金合同及招募说明书有关投资比例的约定。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61551">
        <w:trPr>
          <w:jc w:val="center"/>
        </w:trPr>
        <w:tc>
          <w:tcPr>
            <w:tcW w:w="846" w:type="dxa"/>
            <w:vAlign w:val="center"/>
          </w:tcPr>
          <w:p w:rsidR="00461551" w:rsidRDefault="004F4540">
            <w:pPr>
              <w:jc w:val="center"/>
            </w:pPr>
            <w:r>
              <w:rPr>
                <w:color w:val="000000"/>
                <w:sz w:val="24"/>
                <w:szCs w:val="24"/>
              </w:rPr>
              <w:t>盖婷婷</w:t>
            </w:r>
          </w:p>
        </w:tc>
        <w:tc>
          <w:tcPr>
            <w:tcW w:w="845" w:type="dxa"/>
            <w:vAlign w:val="center"/>
          </w:tcPr>
          <w:p w:rsidR="00461551" w:rsidRDefault="004F4540">
            <w:pPr>
              <w:jc w:val="center"/>
            </w:pPr>
            <w:r>
              <w:rPr>
                <w:color w:val="000000"/>
                <w:sz w:val="24"/>
                <w:szCs w:val="24"/>
              </w:rPr>
              <w:t>交银消费新驱动股票、交银医药创新股票、交</w:t>
            </w:r>
            <w:r>
              <w:rPr>
                <w:color w:val="000000"/>
                <w:sz w:val="24"/>
                <w:szCs w:val="24"/>
              </w:rPr>
              <w:lastRenderedPageBreak/>
              <w:t>银恒益灵活配置混合的基金经理</w:t>
            </w:r>
          </w:p>
        </w:tc>
        <w:tc>
          <w:tcPr>
            <w:tcW w:w="1549" w:type="dxa"/>
            <w:vAlign w:val="center"/>
          </w:tcPr>
          <w:p w:rsidR="00461551" w:rsidRDefault="004F4540">
            <w:pPr>
              <w:jc w:val="center"/>
            </w:pPr>
            <w:r>
              <w:rPr>
                <w:color w:val="000000"/>
                <w:sz w:val="24"/>
                <w:szCs w:val="24"/>
              </w:rPr>
              <w:lastRenderedPageBreak/>
              <w:t>2015-07-01</w:t>
            </w:r>
          </w:p>
        </w:tc>
        <w:tc>
          <w:tcPr>
            <w:tcW w:w="1548" w:type="dxa"/>
            <w:vAlign w:val="center"/>
          </w:tcPr>
          <w:p w:rsidR="00461551" w:rsidRDefault="004F4540">
            <w:pPr>
              <w:jc w:val="center"/>
            </w:pPr>
            <w:r>
              <w:rPr>
                <w:color w:val="000000"/>
                <w:sz w:val="24"/>
                <w:szCs w:val="24"/>
              </w:rPr>
              <w:t>2018-09-06</w:t>
            </w:r>
          </w:p>
        </w:tc>
        <w:tc>
          <w:tcPr>
            <w:tcW w:w="1407" w:type="dxa"/>
            <w:vAlign w:val="center"/>
          </w:tcPr>
          <w:p w:rsidR="00461551" w:rsidRDefault="004F4540">
            <w:pPr>
              <w:jc w:val="center"/>
            </w:pPr>
            <w:r>
              <w:rPr>
                <w:color w:val="000000"/>
                <w:sz w:val="24"/>
                <w:szCs w:val="24"/>
              </w:rPr>
              <w:t>12</w:t>
            </w:r>
            <w:r>
              <w:rPr>
                <w:color w:val="000000"/>
                <w:sz w:val="24"/>
                <w:szCs w:val="24"/>
              </w:rPr>
              <w:t>年</w:t>
            </w:r>
          </w:p>
        </w:tc>
        <w:tc>
          <w:tcPr>
            <w:tcW w:w="2673" w:type="dxa"/>
            <w:vAlign w:val="center"/>
          </w:tcPr>
          <w:p w:rsidR="00461551" w:rsidRDefault="004F4540">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年加入交银施罗德基金管理有限公司，历任行业分析师。</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日至</w:t>
            </w:r>
            <w:r>
              <w:rPr>
                <w:color w:val="000000"/>
                <w:sz w:val="24"/>
                <w:szCs w:val="24"/>
              </w:rPr>
              <w:t>2018</w:t>
            </w:r>
            <w:r>
              <w:rPr>
                <w:color w:val="000000"/>
                <w:sz w:val="24"/>
                <w:szCs w:val="24"/>
              </w:rPr>
              <w:t>年</w:t>
            </w:r>
            <w:r>
              <w:rPr>
                <w:color w:val="000000"/>
                <w:sz w:val="24"/>
                <w:szCs w:val="24"/>
              </w:rPr>
              <w:t>9</w:t>
            </w:r>
            <w:r>
              <w:rPr>
                <w:color w:val="000000"/>
                <w:sz w:val="24"/>
                <w:szCs w:val="24"/>
              </w:rPr>
              <w:t>月</w:t>
            </w:r>
            <w:r>
              <w:rPr>
                <w:color w:val="000000"/>
                <w:sz w:val="24"/>
                <w:szCs w:val="24"/>
              </w:rPr>
              <w:t>5</w:t>
            </w:r>
            <w:r>
              <w:rPr>
                <w:color w:val="000000"/>
                <w:sz w:val="24"/>
                <w:szCs w:val="24"/>
              </w:rPr>
              <w:t>日担任交银施罗德消费新</w:t>
            </w:r>
            <w:r>
              <w:rPr>
                <w:color w:val="000000"/>
                <w:sz w:val="24"/>
                <w:szCs w:val="24"/>
              </w:rPr>
              <w:lastRenderedPageBreak/>
              <w:t>驱动股票型证券投资基金的基金经理。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23</w:t>
            </w:r>
            <w:r>
              <w:rPr>
                <w:color w:val="000000"/>
                <w:sz w:val="24"/>
                <w:szCs w:val="24"/>
              </w:rPr>
              <w:t>日至</w:t>
            </w:r>
            <w:r>
              <w:rPr>
                <w:color w:val="000000"/>
                <w:sz w:val="24"/>
                <w:szCs w:val="24"/>
              </w:rPr>
              <w:t>2018</w:t>
            </w:r>
            <w:r>
              <w:rPr>
                <w:color w:val="000000"/>
                <w:sz w:val="24"/>
                <w:szCs w:val="24"/>
              </w:rPr>
              <w:t>年</w:t>
            </w:r>
            <w:r>
              <w:rPr>
                <w:color w:val="000000"/>
                <w:sz w:val="24"/>
                <w:szCs w:val="24"/>
              </w:rPr>
              <w:t>9</w:t>
            </w:r>
            <w:r>
              <w:rPr>
                <w:color w:val="000000"/>
                <w:sz w:val="24"/>
                <w:szCs w:val="24"/>
              </w:rPr>
              <w:t>月</w:t>
            </w:r>
            <w:r>
              <w:rPr>
                <w:color w:val="000000"/>
                <w:sz w:val="24"/>
                <w:szCs w:val="24"/>
              </w:rPr>
              <w:t>21</w:t>
            </w:r>
            <w:r>
              <w:rPr>
                <w:color w:val="000000"/>
                <w:sz w:val="24"/>
                <w:szCs w:val="24"/>
              </w:rPr>
              <w:t>日担任交银施罗德医药创新股票型证券投资基金的基金经理。</w:t>
            </w:r>
            <w:r>
              <w:rPr>
                <w:color w:val="000000"/>
                <w:sz w:val="24"/>
                <w:szCs w:val="24"/>
              </w:rPr>
              <w:t>2017</w:t>
            </w:r>
            <w:r>
              <w:rPr>
                <w:color w:val="000000"/>
                <w:sz w:val="24"/>
                <w:szCs w:val="24"/>
              </w:rPr>
              <w:t>年</w:t>
            </w:r>
            <w:r>
              <w:rPr>
                <w:color w:val="000000"/>
                <w:sz w:val="24"/>
                <w:szCs w:val="24"/>
              </w:rPr>
              <w:t>9</w:t>
            </w:r>
            <w:r>
              <w:rPr>
                <w:color w:val="000000"/>
                <w:sz w:val="24"/>
                <w:szCs w:val="24"/>
              </w:rPr>
              <w:t>月</w:t>
            </w:r>
            <w:r>
              <w:rPr>
                <w:color w:val="000000"/>
                <w:sz w:val="24"/>
                <w:szCs w:val="24"/>
              </w:rPr>
              <w:t>15</w:t>
            </w:r>
            <w:r>
              <w:rPr>
                <w:color w:val="000000"/>
                <w:sz w:val="24"/>
                <w:szCs w:val="24"/>
              </w:rPr>
              <w:t>日至</w:t>
            </w:r>
            <w:r>
              <w:rPr>
                <w:color w:val="000000"/>
                <w:sz w:val="24"/>
                <w:szCs w:val="24"/>
              </w:rPr>
              <w:t>2018</w:t>
            </w:r>
            <w:r>
              <w:rPr>
                <w:color w:val="000000"/>
                <w:sz w:val="24"/>
                <w:szCs w:val="24"/>
              </w:rPr>
              <w:t>年</w:t>
            </w:r>
            <w:r>
              <w:rPr>
                <w:color w:val="000000"/>
                <w:sz w:val="24"/>
                <w:szCs w:val="24"/>
              </w:rPr>
              <w:t>9</w:t>
            </w:r>
            <w:r>
              <w:rPr>
                <w:color w:val="000000"/>
                <w:sz w:val="24"/>
                <w:szCs w:val="24"/>
              </w:rPr>
              <w:t>月</w:t>
            </w:r>
            <w:r>
              <w:rPr>
                <w:color w:val="000000"/>
                <w:sz w:val="24"/>
                <w:szCs w:val="24"/>
              </w:rPr>
              <w:t>21</w:t>
            </w:r>
            <w:r>
              <w:rPr>
                <w:color w:val="000000"/>
                <w:sz w:val="24"/>
                <w:szCs w:val="24"/>
              </w:rPr>
              <w:t>日担任交银施罗德恒益灵活配置混合型证券投资基金的基金经理。</w:t>
            </w:r>
          </w:p>
        </w:tc>
      </w:tr>
      <w:tr w:rsidR="00461551">
        <w:trPr>
          <w:jc w:val="center"/>
        </w:trPr>
        <w:tc>
          <w:tcPr>
            <w:tcW w:w="846" w:type="dxa"/>
            <w:vAlign w:val="center"/>
          </w:tcPr>
          <w:p w:rsidR="00461551" w:rsidRDefault="004F4540">
            <w:pPr>
              <w:jc w:val="center"/>
            </w:pPr>
            <w:r>
              <w:rPr>
                <w:color w:val="000000"/>
                <w:sz w:val="24"/>
                <w:szCs w:val="24"/>
              </w:rPr>
              <w:lastRenderedPageBreak/>
              <w:t>韩威俊</w:t>
            </w:r>
          </w:p>
        </w:tc>
        <w:tc>
          <w:tcPr>
            <w:tcW w:w="845" w:type="dxa"/>
            <w:vAlign w:val="center"/>
          </w:tcPr>
          <w:p w:rsidR="00461551" w:rsidRDefault="004F4540">
            <w:pPr>
              <w:jc w:val="center"/>
            </w:pPr>
            <w:r>
              <w:rPr>
                <w:color w:val="000000"/>
                <w:sz w:val="24"/>
                <w:szCs w:val="24"/>
              </w:rPr>
              <w:t>交银趋势混合、交银策略回报灵活配置混合、交银消费新驱动股票、交银股息优化混合、交银品质升级混合的基金经理</w:t>
            </w:r>
          </w:p>
        </w:tc>
        <w:tc>
          <w:tcPr>
            <w:tcW w:w="1549" w:type="dxa"/>
            <w:vAlign w:val="center"/>
          </w:tcPr>
          <w:p w:rsidR="00461551" w:rsidRDefault="004F4540">
            <w:pPr>
              <w:jc w:val="center"/>
            </w:pPr>
            <w:r>
              <w:rPr>
                <w:color w:val="000000"/>
                <w:sz w:val="24"/>
                <w:szCs w:val="24"/>
              </w:rPr>
              <w:t>2018-08-24</w:t>
            </w:r>
          </w:p>
        </w:tc>
        <w:tc>
          <w:tcPr>
            <w:tcW w:w="1548" w:type="dxa"/>
            <w:vAlign w:val="center"/>
          </w:tcPr>
          <w:p w:rsidR="00461551" w:rsidRDefault="004F4540">
            <w:pPr>
              <w:jc w:val="center"/>
            </w:pPr>
            <w:r>
              <w:rPr>
                <w:color w:val="000000"/>
                <w:sz w:val="24"/>
                <w:szCs w:val="24"/>
              </w:rPr>
              <w:t>-</w:t>
            </w:r>
          </w:p>
        </w:tc>
        <w:tc>
          <w:tcPr>
            <w:tcW w:w="1407" w:type="dxa"/>
            <w:vAlign w:val="center"/>
          </w:tcPr>
          <w:p w:rsidR="00461551" w:rsidRDefault="004F4540">
            <w:pPr>
              <w:jc w:val="center"/>
            </w:pPr>
            <w:r>
              <w:rPr>
                <w:color w:val="000000"/>
                <w:sz w:val="24"/>
                <w:szCs w:val="24"/>
              </w:rPr>
              <w:t>12</w:t>
            </w:r>
            <w:r>
              <w:rPr>
                <w:color w:val="000000"/>
                <w:sz w:val="24"/>
                <w:szCs w:val="24"/>
              </w:rPr>
              <w:t>年</w:t>
            </w:r>
          </w:p>
        </w:tc>
        <w:tc>
          <w:tcPr>
            <w:tcW w:w="2673" w:type="dxa"/>
            <w:vAlign w:val="center"/>
          </w:tcPr>
          <w:p w:rsidR="00461551" w:rsidRDefault="004F4540">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61551" w:rsidRDefault="004F454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61551" w:rsidRDefault="004F454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61551" w:rsidRDefault="004F454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61551" w:rsidRDefault="004F4540">
      <w:pPr>
        <w:spacing w:before="29" w:line="288" w:lineRule="auto"/>
        <w:ind w:firstLineChars="200" w:firstLine="480"/>
        <w:rPr>
          <w:color w:val="000000"/>
          <w:sz w:val="24"/>
          <w:szCs w:val="24"/>
        </w:rPr>
      </w:pPr>
      <w:r>
        <w:rPr>
          <w:color w:val="000000"/>
          <w:sz w:val="24"/>
          <w:szCs w:val="24"/>
        </w:rPr>
        <w:t>回顾</w:t>
      </w:r>
      <w:r>
        <w:rPr>
          <w:color w:val="000000"/>
          <w:sz w:val="24"/>
          <w:szCs w:val="24"/>
        </w:rPr>
        <w:t>2018</w:t>
      </w:r>
      <w:r>
        <w:rPr>
          <w:color w:val="000000"/>
          <w:sz w:val="24"/>
          <w:szCs w:val="24"/>
        </w:rPr>
        <w:t>年三季度，贸易战、人民币汇率等海外因素进入白热化阶段，海外资金对于</w:t>
      </w:r>
      <w:r>
        <w:rPr>
          <w:color w:val="000000"/>
          <w:sz w:val="24"/>
          <w:szCs w:val="24"/>
        </w:rPr>
        <w:t>A</w:t>
      </w:r>
      <w:r>
        <w:rPr>
          <w:color w:val="000000"/>
          <w:sz w:val="24"/>
          <w:szCs w:val="24"/>
        </w:rPr>
        <w:t>股的边际波动影响加大。虽然国内货币政策和财政政策在七月份出现拐点，但是真正传导到实体经济进而传导到资本市场还需要一定的时间。</w:t>
      </w:r>
    </w:p>
    <w:p w:rsidR="00461551" w:rsidRDefault="004F4540">
      <w:pPr>
        <w:spacing w:before="29" w:line="288" w:lineRule="auto"/>
        <w:ind w:firstLineChars="200" w:firstLine="480"/>
        <w:rPr>
          <w:color w:val="000000"/>
          <w:sz w:val="24"/>
          <w:szCs w:val="24"/>
        </w:rPr>
      </w:pPr>
      <w:r>
        <w:rPr>
          <w:color w:val="000000"/>
          <w:sz w:val="24"/>
          <w:szCs w:val="24"/>
        </w:rPr>
        <w:t>本基金在三季度适度降低了整体仓位，特别是在九月份整体反弹的时候减持了部分后续可能持续下调盈利预测的白马股。九月份增加了地产股的配置比例，特别是一、二线占比较高的地产股，此类公司目前处于低预期下的低估值状态，现金流和分红收益率未来三年如果能够保持，将是较好的投资标的。</w:t>
      </w:r>
    </w:p>
    <w:p w:rsidR="00461551" w:rsidRDefault="004F4540">
      <w:pPr>
        <w:spacing w:before="29" w:line="288" w:lineRule="auto"/>
        <w:ind w:firstLineChars="200" w:firstLine="480"/>
        <w:rPr>
          <w:color w:val="000000"/>
          <w:sz w:val="24"/>
          <w:szCs w:val="24"/>
        </w:rPr>
      </w:pPr>
      <w:r>
        <w:rPr>
          <w:color w:val="000000"/>
          <w:sz w:val="24"/>
          <w:szCs w:val="24"/>
        </w:rPr>
        <w:t>展望</w:t>
      </w:r>
      <w:r>
        <w:rPr>
          <w:color w:val="000000"/>
          <w:sz w:val="24"/>
          <w:szCs w:val="24"/>
        </w:rPr>
        <w:t>2018</w:t>
      </w:r>
      <w:r>
        <w:rPr>
          <w:color w:val="000000"/>
          <w:sz w:val="24"/>
          <w:szCs w:val="24"/>
        </w:rPr>
        <w:t>年四季度，在高油价、高信用风险的背景下，整个市场的流动性和风险偏好很难出现系统性上升，市场将继续出现小区间震荡向下的趋势，除非市场风险偏好出现明显上升或者事件性驱动，否则市场很难出现系统性上涨。由于降准等货币政策对冲了去杠杆的负面因素，整个宏观经济流动性压力并不大，但真正要影响到资本市场还</w:t>
      </w:r>
      <w:r>
        <w:rPr>
          <w:color w:val="000000"/>
          <w:sz w:val="24"/>
          <w:szCs w:val="24"/>
        </w:rPr>
        <w:lastRenderedPageBreak/>
        <w:t>需要一定时滞，年内货币政策的调整余地后续并不大。此外，年内财政政策仍然有进一步调整的空间，包括增值税的系统性调整，消费下乡细则的落地，短期效应虽然并不明显，但对国内消费会有长期的驱动利好。</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受制于整个宏观经济增速的放缓，三驾马车驱动下的大行业增速都会出现比较明显的放缓，细分子行业内部出现各个公司的分化，三季度增速较快的公司会比二季度更加稀缺，对个股研究的要求也会越来越高。本基金希望通过自下而上的分析，选择继续持有业绩和现金流持续好转的个股，特别三季度增速可能快于二季度的个股做重点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617,827,238.46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83.22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617,827,238.46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83.22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731D57">
            <w:pPr>
              <w:spacing w:before="29" w:line="360" w:lineRule="auto"/>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122,206,252.10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16.46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2,331,652.52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0.31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742,365,143.08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306,216,288.60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46,176,311.24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68,000,135.16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161,061,673.94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14,710,317.92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592,882.96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21,069,628.64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617,827,238.46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86.65</w:t>
            </w:r>
          </w:p>
        </w:tc>
      </w:tr>
    </w:tbl>
    <w:p w:rsidR="009F6801" w:rsidRDefault="009F6801"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61551">
        <w:trPr>
          <w:jc w:val="center"/>
        </w:trPr>
        <w:tc>
          <w:tcPr>
            <w:tcW w:w="855" w:type="dxa"/>
            <w:vAlign w:val="center"/>
          </w:tcPr>
          <w:p w:rsidR="00461551" w:rsidRDefault="004F4540">
            <w:pPr>
              <w:jc w:val="center"/>
            </w:pPr>
            <w:r>
              <w:rPr>
                <w:color w:val="000000"/>
                <w:sz w:val="24"/>
                <w:szCs w:val="24"/>
              </w:rPr>
              <w:t>1</w:t>
            </w:r>
          </w:p>
        </w:tc>
        <w:tc>
          <w:tcPr>
            <w:tcW w:w="1334" w:type="dxa"/>
            <w:vAlign w:val="center"/>
          </w:tcPr>
          <w:p w:rsidR="00461551" w:rsidRDefault="004F4540">
            <w:pPr>
              <w:jc w:val="center"/>
            </w:pPr>
            <w:r>
              <w:rPr>
                <w:color w:val="000000"/>
                <w:sz w:val="24"/>
                <w:szCs w:val="24"/>
              </w:rPr>
              <w:t>300146</w:t>
            </w:r>
          </w:p>
        </w:tc>
        <w:tc>
          <w:tcPr>
            <w:tcW w:w="1777" w:type="dxa"/>
            <w:vAlign w:val="center"/>
          </w:tcPr>
          <w:p w:rsidR="00461551" w:rsidRDefault="004F4540">
            <w:pPr>
              <w:jc w:val="center"/>
            </w:pPr>
            <w:r>
              <w:rPr>
                <w:color w:val="000000"/>
                <w:sz w:val="24"/>
                <w:szCs w:val="24"/>
              </w:rPr>
              <w:t>汤臣倍健</w:t>
            </w:r>
          </w:p>
        </w:tc>
        <w:tc>
          <w:tcPr>
            <w:tcW w:w="1334" w:type="dxa"/>
            <w:vAlign w:val="center"/>
          </w:tcPr>
          <w:p w:rsidR="00461551" w:rsidRDefault="004F4540">
            <w:pPr>
              <w:jc w:val="right"/>
            </w:pPr>
            <w:r>
              <w:rPr>
                <w:color w:val="000000"/>
                <w:sz w:val="24"/>
                <w:szCs w:val="24"/>
              </w:rPr>
              <w:t>2,774,810</w:t>
            </w:r>
          </w:p>
        </w:tc>
        <w:tc>
          <w:tcPr>
            <w:tcW w:w="1924" w:type="dxa"/>
            <w:vAlign w:val="center"/>
          </w:tcPr>
          <w:p w:rsidR="00461551" w:rsidRDefault="004F4540">
            <w:pPr>
              <w:jc w:val="right"/>
            </w:pPr>
            <w:r>
              <w:rPr>
                <w:color w:val="000000"/>
                <w:sz w:val="24"/>
                <w:szCs w:val="24"/>
              </w:rPr>
              <w:t>56,883,605.00</w:t>
            </w:r>
          </w:p>
        </w:tc>
        <w:tc>
          <w:tcPr>
            <w:tcW w:w="1644" w:type="dxa"/>
            <w:vAlign w:val="center"/>
          </w:tcPr>
          <w:p w:rsidR="00461551" w:rsidRDefault="004F4540">
            <w:pPr>
              <w:jc w:val="right"/>
            </w:pPr>
            <w:r>
              <w:rPr>
                <w:color w:val="000000"/>
                <w:sz w:val="24"/>
                <w:szCs w:val="24"/>
              </w:rPr>
              <w:t>7.98</w:t>
            </w:r>
          </w:p>
        </w:tc>
      </w:tr>
      <w:tr w:rsidR="00461551">
        <w:trPr>
          <w:jc w:val="center"/>
        </w:trPr>
        <w:tc>
          <w:tcPr>
            <w:tcW w:w="855" w:type="dxa"/>
            <w:vAlign w:val="center"/>
          </w:tcPr>
          <w:p w:rsidR="00461551" w:rsidRDefault="004F4540">
            <w:pPr>
              <w:jc w:val="center"/>
            </w:pPr>
            <w:r>
              <w:rPr>
                <w:color w:val="000000"/>
                <w:sz w:val="24"/>
                <w:szCs w:val="24"/>
              </w:rPr>
              <w:t>2</w:t>
            </w:r>
          </w:p>
        </w:tc>
        <w:tc>
          <w:tcPr>
            <w:tcW w:w="1334" w:type="dxa"/>
            <w:vAlign w:val="center"/>
          </w:tcPr>
          <w:p w:rsidR="00461551" w:rsidRDefault="004F4540">
            <w:pPr>
              <w:jc w:val="center"/>
            </w:pPr>
            <w:r>
              <w:rPr>
                <w:color w:val="000000"/>
                <w:sz w:val="24"/>
                <w:szCs w:val="24"/>
              </w:rPr>
              <w:t>600048</w:t>
            </w:r>
          </w:p>
        </w:tc>
        <w:tc>
          <w:tcPr>
            <w:tcW w:w="1777" w:type="dxa"/>
            <w:vAlign w:val="center"/>
          </w:tcPr>
          <w:p w:rsidR="00461551" w:rsidRDefault="004F4540">
            <w:pPr>
              <w:jc w:val="center"/>
            </w:pPr>
            <w:r>
              <w:rPr>
                <w:color w:val="000000"/>
                <w:sz w:val="24"/>
                <w:szCs w:val="24"/>
              </w:rPr>
              <w:t>保利地产</w:t>
            </w:r>
          </w:p>
        </w:tc>
        <w:tc>
          <w:tcPr>
            <w:tcW w:w="1334" w:type="dxa"/>
            <w:vAlign w:val="center"/>
          </w:tcPr>
          <w:p w:rsidR="00461551" w:rsidRDefault="004F4540">
            <w:pPr>
              <w:jc w:val="right"/>
            </w:pPr>
            <w:r>
              <w:rPr>
                <w:color w:val="000000"/>
                <w:sz w:val="24"/>
                <w:szCs w:val="24"/>
              </w:rPr>
              <w:t>4,580,758</w:t>
            </w:r>
          </w:p>
        </w:tc>
        <w:tc>
          <w:tcPr>
            <w:tcW w:w="1924" w:type="dxa"/>
            <w:vAlign w:val="center"/>
          </w:tcPr>
          <w:p w:rsidR="00461551" w:rsidRDefault="004F4540">
            <w:pPr>
              <w:jc w:val="right"/>
            </w:pPr>
            <w:r>
              <w:rPr>
                <w:color w:val="000000"/>
                <w:sz w:val="24"/>
                <w:szCs w:val="24"/>
              </w:rPr>
              <w:t>55,747,824.86</w:t>
            </w:r>
          </w:p>
        </w:tc>
        <w:tc>
          <w:tcPr>
            <w:tcW w:w="1644" w:type="dxa"/>
            <w:vAlign w:val="center"/>
          </w:tcPr>
          <w:p w:rsidR="00461551" w:rsidRDefault="004F4540">
            <w:pPr>
              <w:jc w:val="right"/>
            </w:pPr>
            <w:r>
              <w:rPr>
                <w:color w:val="000000"/>
                <w:sz w:val="24"/>
                <w:szCs w:val="24"/>
              </w:rPr>
              <w:t>7.82</w:t>
            </w:r>
          </w:p>
        </w:tc>
      </w:tr>
      <w:tr w:rsidR="00461551">
        <w:trPr>
          <w:jc w:val="center"/>
        </w:trPr>
        <w:tc>
          <w:tcPr>
            <w:tcW w:w="855" w:type="dxa"/>
            <w:vAlign w:val="center"/>
          </w:tcPr>
          <w:p w:rsidR="00461551" w:rsidRDefault="004F4540">
            <w:pPr>
              <w:jc w:val="center"/>
            </w:pPr>
            <w:r>
              <w:rPr>
                <w:color w:val="000000"/>
                <w:sz w:val="24"/>
                <w:szCs w:val="24"/>
              </w:rPr>
              <w:t>3</w:t>
            </w:r>
          </w:p>
        </w:tc>
        <w:tc>
          <w:tcPr>
            <w:tcW w:w="1334" w:type="dxa"/>
            <w:vAlign w:val="center"/>
          </w:tcPr>
          <w:p w:rsidR="00461551" w:rsidRDefault="004F4540">
            <w:pPr>
              <w:jc w:val="center"/>
            </w:pPr>
            <w:r>
              <w:rPr>
                <w:color w:val="000000"/>
                <w:sz w:val="24"/>
                <w:szCs w:val="24"/>
              </w:rPr>
              <w:t>000002</w:t>
            </w:r>
          </w:p>
        </w:tc>
        <w:tc>
          <w:tcPr>
            <w:tcW w:w="1777" w:type="dxa"/>
            <w:vAlign w:val="center"/>
          </w:tcPr>
          <w:p w:rsidR="00461551" w:rsidRDefault="004F4540">
            <w:pPr>
              <w:jc w:val="center"/>
            </w:pPr>
            <w:r>
              <w:rPr>
                <w:color w:val="000000"/>
                <w:sz w:val="24"/>
                <w:szCs w:val="24"/>
              </w:rPr>
              <w:t>万科</w:t>
            </w:r>
            <w:r>
              <w:rPr>
                <w:color w:val="000000"/>
                <w:sz w:val="24"/>
                <w:szCs w:val="24"/>
              </w:rPr>
              <w:t>A</w:t>
            </w:r>
          </w:p>
        </w:tc>
        <w:tc>
          <w:tcPr>
            <w:tcW w:w="1334" w:type="dxa"/>
            <w:vAlign w:val="center"/>
          </w:tcPr>
          <w:p w:rsidR="00461551" w:rsidRDefault="004F4540">
            <w:pPr>
              <w:jc w:val="right"/>
            </w:pPr>
            <w:r>
              <w:rPr>
                <w:color w:val="000000"/>
                <w:sz w:val="24"/>
                <w:szCs w:val="24"/>
              </w:rPr>
              <w:t>2,265,800</w:t>
            </w:r>
          </w:p>
        </w:tc>
        <w:tc>
          <w:tcPr>
            <w:tcW w:w="1924" w:type="dxa"/>
            <w:vAlign w:val="center"/>
          </w:tcPr>
          <w:p w:rsidR="00461551" w:rsidRDefault="004F4540">
            <w:pPr>
              <w:jc w:val="right"/>
            </w:pPr>
            <w:r>
              <w:rPr>
                <w:color w:val="000000"/>
                <w:sz w:val="24"/>
                <w:szCs w:val="24"/>
              </w:rPr>
              <w:t>55,058,940.00</w:t>
            </w:r>
          </w:p>
        </w:tc>
        <w:tc>
          <w:tcPr>
            <w:tcW w:w="1644" w:type="dxa"/>
            <w:vAlign w:val="center"/>
          </w:tcPr>
          <w:p w:rsidR="00461551" w:rsidRDefault="004F4540">
            <w:pPr>
              <w:jc w:val="right"/>
            </w:pPr>
            <w:r>
              <w:rPr>
                <w:color w:val="000000"/>
                <w:sz w:val="24"/>
                <w:szCs w:val="24"/>
              </w:rPr>
              <w:t>7.72</w:t>
            </w:r>
          </w:p>
        </w:tc>
      </w:tr>
      <w:tr w:rsidR="00461551">
        <w:trPr>
          <w:jc w:val="center"/>
        </w:trPr>
        <w:tc>
          <w:tcPr>
            <w:tcW w:w="855" w:type="dxa"/>
            <w:vAlign w:val="center"/>
          </w:tcPr>
          <w:p w:rsidR="00461551" w:rsidRDefault="004F4540">
            <w:pPr>
              <w:jc w:val="center"/>
            </w:pPr>
            <w:r>
              <w:rPr>
                <w:color w:val="000000"/>
                <w:sz w:val="24"/>
                <w:szCs w:val="24"/>
              </w:rPr>
              <w:t>4</w:t>
            </w:r>
          </w:p>
        </w:tc>
        <w:tc>
          <w:tcPr>
            <w:tcW w:w="1334" w:type="dxa"/>
            <w:vAlign w:val="center"/>
          </w:tcPr>
          <w:p w:rsidR="00461551" w:rsidRDefault="004F4540">
            <w:pPr>
              <w:jc w:val="center"/>
            </w:pPr>
            <w:r>
              <w:rPr>
                <w:color w:val="000000"/>
                <w:sz w:val="24"/>
                <w:szCs w:val="24"/>
              </w:rPr>
              <w:t>600519</w:t>
            </w:r>
          </w:p>
        </w:tc>
        <w:tc>
          <w:tcPr>
            <w:tcW w:w="1777" w:type="dxa"/>
            <w:vAlign w:val="center"/>
          </w:tcPr>
          <w:p w:rsidR="00461551" w:rsidRDefault="004F4540">
            <w:pPr>
              <w:jc w:val="center"/>
            </w:pPr>
            <w:r>
              <w:rPr>
                <w:color w:val="000000"/>
                <w:sz w:val="24"/>
                <w:szCs w:val="24"/>
              </w:rPr>
              <w:t>贵州茅台</w:t>
            </w:r>
          </w:p>
        </w:tc>
        <w:tc>
          <w:tcPr>
            <w:tcW w:w="1334" w:type="dxa"/>
            <w:vAlign w:val="center"/>
          </w:tcPr>
          <w:p w:rsidR="00461551" w:rsidRDefault="004F4540">
            <w:pPr>
              <w:jc w:val="right"/>
            </w:pPr>
            <w:r>
              <w:rPr>
                <w:color w:val="000000"/>
                <w:sz w:val="24"/>
                <w:szCs w:val="24"/>
              </w:rPr>
              <w:t>57,963</w:t>
            </w:r>
          </w:p>
        </w:tc>
        <w:tc>
          <w:tcPr>
            <w:tcW w:w="1924" w:type="dxa"/>
            <w:vAlign w:val="center"/>
          </w:tcPr>
          <w:p w:rsidR="00461551" w:rsidRDefault="004F4540">
            <w:pPr>
              <w:jc w:val="right"/>
            </w:pPr>
            <w:r>
              <w:rPr>
                <w:color w:val="000000"/>
                <w:sz w:val="24"/>
                <w:szCs w:val="24"/>
              </w:rPr>
              <w:t>42,312,990.00</w:t>
            </w:r>
          </w:p>
        </w:tc>
        <w:tc>
          <w:tcPr>
            <w:tcW w:w="1644" w:type="dxa"/>
            <w:vAlign w:val="center"/>
          </w:tcPr>
          <w:p w:rsidR="00461551" w:rsidRDefault="004F4540">
            <w:pPr>
              <w:jc w:val="right"/>
            </w:pPr>
            <w:r>
              <w:rPr>
                <w:color w:val="000000"/>
                <w:sz w:val="24"/>
                <w:szCs w:val="24"/>
              </w:rPr>
              <w:t>5.93</w:t>
            </w:r>
          </w:p>
        </w:tc>
      </w:tr>
      <w:tr w:rsidR="00461551">
        <w:trPr>
          <w:jc w:val="center"/>
        </w:trPr>
        <w:tc>
          <w:tcPr>
            <w:tcW w:w="855" w:type="dxa"/>
            <w:vAlign w:val="center"/>
          </w:tcPr>
          <w:p w:rsidR="00461551" w:rsidRDefault="004F4540">
            <w:pPr>
              <w:jc w:val="center"/>
            </w:pPr>
            <w:r>
              <w:rPr>
                <w:color w:val="000000"/>
                <w:sz w:val="24"/>
                <w:szCs w:val="24"/>
              </w:rPr>
              <w:t>5</w:t>
            </w:r>
          </w:p>
        </w:tc>
        <w:tc>
          <w:tcPr>
            <w:tcW w:w="1334" w:type="dxa"/>
            <w:vAlign w:val="center"/>
          </w:tcPr>
          <w:p w:rsidR="00461551" w:rsidRDefault="004F4540">
            <w:pPr>
              <w:jc w:val="center"/>
            </w:pPr>
            <w:r>
              <w:rPr>
                <w:color w:val="000000"/>
                <w:sz w:val="24"/>
                <w:szCs w:val="24"/>
              </w:rPr>
              <w:t>002304</w:t>
            </w:r>
          </w:p>
        </w:tc>
        <w:tc>
          <w:tcPr>
            <w:tcW w:w="1777" w:type="dxa"/>
            <w:vAlign w:val="center"/>
          </w:tcPr>
          <w:p w:rsidR="00461551" w:rsidRDefault="004F4540">
            <w:pPr>
              <w:jc w:val="center"/>
            </w:pPr>
            <w:r>
              <w:rPr>
                <w:color w:val="000000"/>
                <w:sz w:val="24"/>
                <w:szCs w:val="24"/>
              </w:rPr>
              <w:t>洋河股份</w:t>
            </w:r>
          </w:p>
        </w:tc>
        <w:tc>
          <w:tcPr>
            <w:tcW w:w="1334" w:type="dxa"/>
            <w:vAlign w:val="center"/>
          </w:tcPr>
          <w:p w:rsidR="00461551" w:rsidRDefault="004F4540">
            <w:pPr>
              <w:jc w:val="right"/>
            </w:pPr>
            <w:r>
              <w:rPr>
                <w:color w:val="000000"/>
                <w:sz w:val="24"/>
                <w:szCs w:val="24"/>
              </w:rPr>
              <w:t>323,912</w:t>
            </w:r>
          </w:p>
        </w:tc>
        <w:tc>
          <w:tcPr>
            <w:tcW w:w="1924" w:type="dxa"/>
            <w:vAlign w:val="center"/>
          </w:tcPr>
          <w:p w:rsidR="00461551" w:rsidRDefault="004F4540">
            <w:pPr>
              <w:jc w:val="right"/>
            </w:pPr>
            <w:r>
              <w:rPr>
                <w:color w:val="000000"/>
                <w:sz w:val="24"/>
                <w:szCs w:val="24"/>
              </w:rPr>
              <w:t>41,460,736.00</w:t>
            </w:r>
          </w:p>
        </w:tc>
        <w:tc>
          <w:tcPr>
            <w:tcW w:w="1644" w:type="dxa"/>
            <w:vAlign w:val="center"/>
          </w:tcPr>
          <w:p w:rsidR="00461551" w:rsidRDefault="004F4540">
            <w:pPr>
              <w:jc w:val="right"/>
            </w:pPr>
            <w:r>
              <w:rPr>
                <w:color w:val="000000"/>
                <w:sz w:val="24"/>
                <w:szCs w:val="24"/>
              </w:rPr>
              <w:t>5.81</w:t>
            </w:r>
          </w:p>
        </w:tc>
      </w:tr>
      <w:tr w:rsidR="00461551">
        <w:trPr>
          <w:jc w:val="center"/>
        </w:trPr>
        <w:tc>
          <w:tcPr>
            <w:tcW w:w="855" w:type="dxa"/>
            <w:vAlign w:val="center"/>
          </w:tcPr>
          <w:p w:rsidR="00461551" w:rsidRDefault="004F4540">
            <w:pPr>
              <w:jc w:val="center"/>
            </w:pPr>
            <w:r>
              <w:rPr>
                <w:color w:val="000000"/>
                <w:sz w:val="24"/>
                <w:szCs w:val="24"/>
              </w:rPr>
              <w:t>6</w:t>
            </w:r>
          </w:p>
        </w:tc>
        <w:tc>
          <w:tcPr>
            <w:tcW w:w="1334" w:type="dxa"/>
            <w:vAlign w:val="center"/>
          </w:tcPr>
          <w:p w:rsidR="00461551" w:rsidRDefault="004F4540">
            <w:pPr>
              <w:jc w:val="center"/>
            </w:pPr>
            <w:r>
              <w:rPr>
                <w:color w:val="000000"/>
                <w:sz w:val="24"/>
                <w:szCs w:val="24"/>
              </w:rPr>
              <w:t>000858</w:t>
            </w:r>
          </w:p>
        </w:tc>
        <w:tc>
          <w:tcPr>
            <w:tcW w:w="1777" w:type="dxa"/>
            <w:vAlign w:val="center"/>
          </w:tcPr>
          <w:p w:rsidR="00461551" w:rsidRDefault="004F4540">
            <w:pPr>
              <w:jc w:val="center"/>
            </w:pPr>
            <w:r>
              <w:rPr>
                <w:color w:val="000000"/>
                <w:sz w:val="24"/>
                <w:szCs w:val="24"/>
              </w:rPr>
              <w:t>五粮液</w:t>
            </w:r>
          </w:p>
        </w:tc>
        <w:tc>
          <w:tcPr>
            <w:tcW w:w="1334" w:type="dxa"/>
            <w:vAlign w:val="center"/>
          </w:tcPr>
          <w:p w:rsidR="00461551" w:rsidRDefault="004F4540">
            <w:pPr>
              <w:jc w:val="right"/>
            </w:pPr>
            <w:r>
              <w:rPr>
                <w:color w:val="000000"/>
                <w:sz w:val="24"/>
                <w:szCs w:val="24"/>
              </w:rPr>
              <w:t>580,967</w:t>
            </w:r>
          </w:p>
        </w:tc>
        <w:tc>
          <w:tcPr>
            <w:tcW w:w="1924" w:type="dxa"/>
            <w:vAlign w:val="center"/>
          </w:tcPr>
          <w:p w:rsidR="00461551" w:rsidRDefault="004F4540">
            <w:pPr>
              <w:jc w:val="right"/>
            </w:pPr>
            <w:r>
              <w:rPr>
                <w:color w:val="000000"/>
                <w:sz w:val="24"/>
                <w:szCs w:val="24"/>
              </w:rPr>
              <w:t>39,476,707.65</w:t>
            </w:r>
          </w:p>
        </w:tc>
        <w:tc>
          <w:tcPr>
            <w:tcW w:w="1644" w:type="dxa"/>
            <w:vAlign w:val="center"/>
          </w:tcPr>
          <w:p w:rsidR="00461551" w:rsidRDefault="004F4540">
            <w:pPr>
              <w:jc w:val="right"/>
            </w:pPr>
            <w:r>
              <w:rPr>
                <w:color w:val="000000"/>
                <w:sz w:val="24"/>
                <w:szCs w:val="24"/>
              </w:rPr>
              <w:t>5.54</w:t>
            </w:r>
          </w:p>
        </w:tc>
      </w:tr>
      <w:tr w:rsidR="00461551">
        <w:trPr>
          <w:jc w:val="center"/>
        </w:trPr>
        <w:tc>
          <w:tcPr>
            <w:tcW w:w="855" w:type="dxa"/>
            <w:vAlign w:val="center"/>
          </w:tcPr>
          <w:p w:rsidR="00461551" w:rsidRDefault="004F4540">
            <w:pPr>
              <w:jc w:val="center"/>
            </w:pPr>
            <w:r>
              <w:rPr>
                <w:color w:val="000000"/>
                <w:sz w:val="24"/>
                <w:szCs w:val="24"/>
              </w:rPr>
              <w:t>7</w:t>
            </w:r>
          </w:p>
        </w:tc>
        <w:tc>
          <w:tcPr>
            <w:tcW w:w="1334" w:type="dxa"/>
            <w:vAlign w:val="center"/>
          </w:tcPr>
          <w:p w:rsidR="00461551" w:rsidRDefault="004F4540">
            <w:pPr>
              <w:jc w:val="center"/>
            </w:pPr>
            <w:r>
              <w:rPr>
                <w:color w:val="000000"/>
                <w:sz w:val="24"/>
                <w:szCs w:val="24"/>
              </w:rPr>
              <w:t>601155</w:t>
            </w:r>
          </w:p>
        </w:tc>
        <w:tc>
          <w:tcPr>
            <w:tcW w:w="1777" w:type="dxa"/>
            <w:vAlign w:val="center"/>
          </w:tcPr>
          <w:p w:rsidR="00461551" w:rsidRDefault="004F4540">
            <w:pPr>
              <w:jc w:val="center"/>
            </w:pPr>
            <w:r>
              <w:rPr>
                <w:color w:val="000000"/>
                <w:sz w:val="24"/>
                <w:szCs w:val="24"/>
              </w:rPr>
              <w:t>新城控股</w:t>
            </w:r>
          </w:p>
        </w:tc>
        <w:tc>
          <w:tcPr>
            <w:tcW w:w="1334" w:type="dxa"/>
            <w:vAlign w:val="center"/>
          </w:tcPr>
          <w:p w:rsidR="00461551" w:rsidRDefault="004F4540">
            <w:pPr>
              <w:jc w:val="right"/>
            </w:pPr>
            <w:r>
              <w:rPr>
                <w:color w:val="000000"/>
                <w:sz w:val="24"/>
                <w:szCs w:val="24"/>
              </w:rPr>
              <w:t>1,381,650</w:t>
            </w:r>
          </w:p>
        </w:tc>
        <w:tc>
          <w:tcPr>
            <w:tcW w:w="1924" w:type="dxa"/>
            <w:vAlign w:val="center"/>
          </w:tcPr>
          <w:p w:rsidR="00461551" w:rsidRDefault="004F4540">
            <w:pPr>
              <w:jc w:val="right"/>
            </w:pPr>
            <w:r>
              <w:rPr>
                <w:color w:val="000000"/>
                <w:sz w:val="24"/>
                <w:szCs w:val="24"/>
              </w:rPr>
              <w:t>36,185,413.50</w:t>
            </w:r>
          </w:p>
        </w:tc>
        <w:tc>
          <w:tcPr>
            <w:tcW w:w="1644" w:type="dxa"/>
            <w:vAlign w:val="center"/>
          </w:tcPr>
          <w:p w:rsidR="00461551" w:rsidRDefault="004F4540">
            <w:pPr>
              <w:jc w:val="right"/>
            </w:pPr>
            <w:r>
              <w:rPr>
                <w:color w:val="000000"/>
                <w:sz w:val="24"/>
                <w:szCs w:val="24"/>
              </w:rPr>
              <w:t>5.07</w:t>
            </w:r>
          </w:p>
        </w:tc>
      </w:tr>
      <w:tr w:rsidR="00461551">
        <w:trPr>
          <w:jc w:val="center"/>
        </w:trPr>
        <w:tc>
          <w:tcPr>
            <w:tcW w:w="855" w:type="dxa"/>
            <w:vAlign w:val="center"/>
          </w:tcPr>
          <w:p w:rsidR="00461551" w:rsidRDefault="004F4540">
            <w:pPr>
              <w:jc w:val="center"/>
            </w:pPr>
            <w:r>
              <w:rPr>
                <w:color w:val="000000"/>
                <w:sz w:val="24"/>
                <w:szCs w:val="24"/>
              </w:rPr>
              <w:t>8</w:t>
            </w:r>
          </w:p>
        </w:tc>
        <w:tc>
          <w:tcPr>
            <w:tcW w:w="1334" w:type="dxa"/>
            <w:vAlign w:val="center"/>
          </w:tcPr>
          <w:p w:rsidR="00461551" w:rsidRDefault="004F4540">
            <w:pPr>
              <w:jc w:val="center"/>
            </w:pPr>
            <w:r>
              <w:rPr>
                <w:color w:val="000000"/>
                <w:sz w:val="24"/>
                <w:szCs w:val="24"/>
              </w:rPr>
              <w:t>600036</w:t>
            </w:r>
          </w:p>
        </w:tc>
        <w:tc>
          <w:tcPr>
            <w:tcW w:w="1777" w:type="dxa"/>
            <w:vAlign w:val="center"/>
          </w:tcPr>
          <w:p w:rsidR="00461551" w:rsidRDefault="004F4540">
            <w:pPr>
              <w:jc w:val="center"/>
            </w:pPr>
            <w:r>
              <w:rPr>
                <w:color w:val="000000"/>
                <w:sz w:val="24"/>
                <w:szCs w:val="24"/>
              </w:rPr>
              <w:t>招商银行</w:t>
            </w:r>
          </w:p>
        </w:tc>
        <w:tc>
          <w:tcPr>
            <w:tcW w:w="1334" w:type="dxa"/>
            <w:vAlign w:val="center"/>
          </w:tcPr>
          <w:p w:rsidR="00461551" w:rsidRDefault="004F4540">
            <w:pPr>
              <w:jc w:val="right"/>
            </w:pPr>
            <w:r>
              <w:rPr>
                <w:color w:val="000000"/>
                <w:sz w:val="24"/>
                <w:szCs w:val="24"/>
              </w:rPr>
              <w:t>1,146,909</w:t>
            </w:r>
          </w:p>
        </w:tc>
        <w:tc>
          <w:tcPr>
            <w:tcW w:w="1924" w:type="dxa"/>
            <w:vAlign w:val="center"/>
          </w:tcPr>
          <w:p w:rsidR="00461551" w:rsidRDefault="004F4540">
            <w:pPr>
              <w:jc w:val="right"/>
            </w:pPr>
            <w:r>
              <w:rPr>
                <w:color w:val="000000"/>
                <w:sz w:val="24"/>
                <w:szCs w:val="24"/>
              </w:rPr>
              <w:t>35,198,637.21</w:t>
            </w:r>
          </w:p>
        </w:tc>
        <w:tc>
          <w:tcPr>
            <w:tcW w:w="1644" w:type="dxa"/>
            <w:vAlign w:val="center"/>
          </w:tcPr>
          <w:p w:rsidR="00461551" w:rsidRDefault="004F4540">
            <w:pPr>
              <w:jc w:val="right"/>
            </w:pPr>
            <w:r>
              <w:rPr>
                <w:color w:val="000000"/>
                <w:sz w:val="24"/>
                <w:szCs w:val="24"/>
              </w:rPr>
              <w:t>4.94</w:t>
            </w:r>
          </w:p>
        </w:tc>
      </w:tr>
      <w:tr w:rsidR="00461551">
        <w:trPr>
          <w:jc w:val="center"/>
        </w:trPr>
        <w:tc>
          <w:tcPr>
            <w:tcW w:w="855" w:type="dxa"/>
            <w:vAlign w:val="center"/>
          </w:tcPr>
          <w:p w:rsidR="00461551" w:rsidRDefault="004F4540">
            <w:pPr>
              <w:jc w:val="center"/>
            </w:pPr>
            <w:r>
              <w:rPr>
                <w:color w:val="000000"/>
                <w:sz w:val="24"/>
                <w:szCs w:val="24"/>
              </w:rPr>
              <w:t>9</w:t>
            </w:r>
          </w:p>
        </w:tc>
        <w:tc>
          <w:tcPr>
            <w:tcW w:w="1334" w:type="dxa"/>
            <w:vAlign w:val="center"/>
          </w:tcPr>
          <w:p w:rsidR="00461551" w:rsidRDefault="004F4540">
            <w:pPr>
              <w:jc w:val="center"/>
            </w:pPr>
            <w:r>
              <w:rPr>
                <w:color w:val="000000"/>
                <w:sz w:val="24"/>
                <w:szCs w:val="24"/>
              </w:rPr>
              <w:t>601398</w:t>
            </w:r>
          </w:p>
        </w:tc>
        <w:tc>
          <w:tcPr>
            <w:tcW w:w="1777" w:type="dxa"/>
            <w:vAlign w:val="center"/>
          </w:tcPr>
          <w:p w:rsidR="00461551" w:rsidRDefault="004F4540">
            <w:pPr>
              <w:jc w:val="center"/>
            </w:pPr>
            <w:r>
              <w:rPr>
                <w:color w:val="000000"/>
                <w:sz w:val="24"/>
                <w:szCs w:val="24"/>
              </w:rPr>
              <w:t>工商银行</w:t>
            </w:r>
          </w:p>
        </w:tc>
        <w:tc>
          <w:tcPr>
            <w:tcW w:w="1334" w:type="dxa"/>
            <w:vAlign w:val="center"/>
          </w:tcPr>
          <w:p w:rsidR="00461551" w:rsidRDefault="004F4540">
            <w:pPr>
              <w:jc w:val="right"/>
            </w:pPr>
            <w:r>
              <w:rPr>
                <w:color w:val="000000"/>
                <w:sz w:val="24"/>
                <w:szCs w:val="24"/>
              </w:rPr>
              <w:t>5,684,835</w:t>
            </w:r>
          </w:p>
        </w:tc>
        <w:tc>
          <w:tcPr>
            <w:tcW w:w="1924" w:type="dxa"/>
            <w:vAlign w:val="center"/>
          </w:tcPr>
          <w:p w:rsidR="00461551" w:rsidRDefault="004F4540">
            <w:pPr>
              <w:jc w:val="right"/>
            </w:pPr>
            <w:r>
              <w:rPr>
                <w:color w:val="000000"/>
                <w:sz w:val="24"/>
                <w:szCs w:val="24"/>
              </w:rPr>
              <w:t>32,801,497.95</w:t>
            </w:r>
          </w:p>
        </w:tc>
        <w:tc>
          <w:tcPr>
            <w:tcW w:w="1644" w:type="dxa"/>
            <w:vAlign w:val="center"/>
          </w:tcPr>
          <w:p w:rsidR="00461551" w:rsidRDefault="004F4540">
            <w:pPr>
              <w:jc w:val="right"/>
            </w:pPr>
            <w:r>
              <w:rPr>
                <w:color w:val="000000"/>
                <w:sz w:val="24"/>
                <w:szCs w:val="24"/>
              </w:rPr>
              <w:t>4.60</w:t>
            </w:r>
          </w:p>
        </w:tc>
      </w:tr>
      <w:tr w:rsidR="00461551">
        <w:trPr>
          <w:jc w:val="center"/>
        </w:trPr>
        <w:tc>
          <w:tcPr>
            <w:tcW w:w="855" w:type="dxa"/>
            <w:vAlign w:val="center"/>
          </w:tcPr>
          <w:p w:rsidR="00461551" w:rsidRDefault="004F4540">
            <w:pPr>
              <w:jc w:val="center"/>
            </w:pPr>
            <w:r>
              <w:rPr>
                <w:color w:val="000000"/>
                <w:sz w:val="24"/>
                <w:szCs w:val="24"/>
              </w:rPr>
              <w:t>10</w:t>
            </w:r>
          </w:p>
        </w:tc>
        <w:tc>
          <w:tcPr>
            <w:tcW w:w="1334" w:type="dxa"/>
            <w:vAlign w:val="center"/>
          </w:tcPr>
          <w:p w:rsidR="00461551" w:rsidRDefault="004F4540">
            <w:pPr>
              <w:jc w:val="center"/>
            </w:pPr>
            <w:r>
              <w:rPr>
                <w:color w:val="000000"/>
                <w:sz w:val="24"/>
                <w:szCs w:val="24"/>
              </w:rPr>
              <w:t>600559</w:t>
            </w:r>
          </w:p>
        </w:tc>
        <w:tc>
          <w:tcPr>
            <w:tcW w:w="1777" w:type="dxa"/>
            <w:vAlign w:val="center"/>
          </w:tcPr>
          <w:p w:rsidR="00461551" w:rsidRDefault="004F4540">
            <w:pPr>
              <w:jc w:val="center"/>
            </w:pPr>
            <w:r>
              <w:rPr>
                <w:color w:val="000000"/>
                <w:sz w:val="24"/>
                <w:szCs w:val="24"/>
              </w:rPr>
              <w:t>老白干酒</w:t>
            </w:r>
          </w:p>
        </w:tc>
        <w:tc>
          <w:tcPr>
            <w:tcW w:w="1334" w:type="dxa"/>
            <w:vAlign w:val="center"/>
          </w:tcPr>
          <w:p w:rsidR="00461551" w:rsidRDefault="004F4540">
            <w:pPr>
              <w:jc w:val="right"/>
            </w:pPr>
            <w:r>
              <w:rPr>
                <w:color w:val="000000"/>
                <w:sz w:val="24"/>
                <w:szCs w:val="24"/>
              </w:rPr>
              <w:t>1,610,204</w:t>
            </w:r>
          </w:p>
        </w:tc>
        <w:tc>
          <w:tcPr>
            <w:tcW w:w="1924" w:type="dxa"/>
            <w:vAlign w:val="center"/>
          </w:tcPr>
          <w:p w:rsidR="00461551" w:rsidRDefault="004F4540">
            <w:pPr>
              <w:jc w:val="right"/>
            </w:pPr>
            <w:r>
              <w:rPr>
                <w:color w:val="000000"/>
                <w:sz w:val="24"/>
                <w:szCs w:val="24"/>
              </w:rPr>
              <w:t>29,370,120.96</w:t>
            </w:r>
          </w:p>
        </w:tc>
        <w:tc>
          <w:tcPr>
            <w:tcW w:w="1644" w:type="dxa"/>
            <w:vAlign w:val="center"/>
          </w:tcPr>
          <w:p w:rsidR="00461551" w:rsidRDefault="004F4540">
            <w:pPr>
              <w:jc w:val="right"/>
            </w:pPr>
            <w:r>
              <w:rPr>
                <w:color w:val="000000"/>
                <w:sz w:val="24"/>
                <w:szCs w:val="24"/>
              </w:rPr>
              <w:t>4.12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222,112.43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38,504.01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2,071,036.08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2,331,652.52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lastRenderedPageBreak/>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698,040,762.76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233,711,124.60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225,721,319.89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706,030,567.47</w:t>
            </w:r>
          </w:p>
        </w:tc>
      </w:tr>
    </w:tbl>
    <w:p w:rsidR="00461551" w:rsidRDefault="004F454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14,776,472.35</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14,776,472.35</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2.09</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461551">
        <w:tc>
          <w:tcPr>
            <w:tcW w:w="993" w:type="dxa"/>
            <w:vMerge w:val="restart"/>
          </w:tcPr>
          <w:p w:rsidR="00461551" w:rsidRDefault="00461551"/>
          <w:p w:rsidR="00461551" w:rsidRDefault="004F4540">
            <w:r>
              <w:rPr>
                <w:rFonts w:ascii="宋体" w:hAnsi="宋体" w:hint="eastAsia"/>
                <w:bCs/>
                <w:color w:val="000000"/>
                <w:kern w:val="0"/>
              </w:rPr>
              <w:t>机构</w:t>
            </w:r>
          </w:p>
        </w:tc>
        <w:tc>
          <w:tcPr>
            <w:tcW w:w="992" w:type="dxa"/>
            <w:vAlign w:val="center"/>
          </w:tcPr>
          <w:p w:rsidR="00461551" w:rsidRDefault="004F4540">
            <w:pPr>
              <w:jc w:val="center"/>
            </w:pPr>
            <w:r>
              <w:rPr>
                <w:rFonts w:ascii="宋体" w:hAnsi="宋体"/>
                <w:color w:val="000000"/>
                <w:kern w:val="0"/>
              </w:rPr>
              <w:t>1</w:t>
            </w:r>
          </w:p>
        </w:tc>
        <w:tc>
          <w:tcPr>
            <w:tcW w:w="1843" w:type="dxa"/>
            <w:vAlign w:val="center"/>
          </w:tcPr>
          <w:p w:rsidR="00461551" w:rsidRDefault="004F4540">
            <w:pPr>
              <w:jc w:val="center"/>
            </w:pPr>
            <w:r>
              <w:rPr>
                <w:rFonts w:ascii="宋体" w:hAnsi="宋体"/>
                <w:color w:val="000000"/>
                <w:kern w:val="0"/>
              </w:rPr>
              <w:t>2018/7/1-2018/9/30</w:t>
            </w:r>
          </w:p>
        </w:tc>
        <w:tc>
          <w:tcPr>
            <w:tcW w:w="851" w:type="dxa"/>
            <w:vAlign w:val="center"/>
          </w:tcPr>
          <w:p w:rsidR="00461551" w:rsidRDefault="004F4540">
            <w:pPr>
              <w:jc w:val="center"/>
            </w:pPr>
            <w:r>
              <w:rPr>
                <w:rFonts w:ascii="宋体" w:hAnsi="宋体"/>
                <w:color w:val="000000"/>
                <w:kern w:val="0"/>
              </w:rPr>
              <w:t>139,362,841.30</w:t>
            </w:r>
          </w:p>
        </w:tc>
        <w:tc>
          <w:tcPr>
            <w:tcW w:w="850" w:type="dxa"/>
            <w:vAlign w:val="center"/>
          </w:tcPr>
          <w:p w:rsidR="00461551" w:rsidRDefault="004F4540">
            <w:pPr>
              <w:jc w:val="center"/>
            </w:pPr>
            <w:r>
              <w:rPr>
                <w:rFonts w:ascii="宋体" w:hAnsi="宋体"/>
                <w:color w:val="000000"/>
                <w:kern w:val="0"/>
              </w:rPr>
              <w:t>53,211,847.39</w:t>
            </w:r>
          </w:p>
        </w:tc>
        <w:tc>
          <w:tcPr>
            <w:tcW w:w="1134" w:type="dxa"/>
            <w:vAlign w:val="center"/>
          </w:tcPr>
          <w:p w:rsidR="00461551" w:rsidRDefault="004F4540">
            <w:pPr>
              <w:jc w:val="center"/>
            </w:pPr>
            <w:r>
              <w:rPr>
                <w:rFonts w:ascii="宋体" w:hAnsi="宋体"/>
                <w:color w:val="000000"/>
                <w:kern w:val="0"/>
              </w:rPr>
              <w:t>-</w:t>
            </w:r>
          </w:p>
        </w:tc>
        <w:tc>
          <w:tcPr>
            <w:tcW w:w="1419" w:type="dxa"/>
            <w:vAlign w:val="center"/>
          </w:tcPr>
          <w:p w:rsidR="00461551" w:rsidRDefault="004F4540">
            <w:pPr>
              <w:jc w:val="center"/>
            </w:pPr>
            <w:r>
              <w:rPr>
                <w:rFonts w:ascii="宋体" w:hAnsi="宋体"/>
                <w:color w:val="000000"/>
                <w:kern w:val="0"/>
              </w:rPr>
              <w:t>192,574,688.69</w:t>
            </w:r>
          </w:p>
        </w:tc>
        <w:tc>
          <w:tcPr>
            <w:tcW w:w="1130" w:type="dxa"/>
            <w:vAlign w:val="center"/>
          </w:tcPr>
          <w:p w:rsidR="00461551" w:rsidRDefault="004F4540">
            <w:pPr>
              <w:jc w:val="center"/>
            </w:pPr>
            <w:r>
              <w:rPr>
                <w:rFonts w:ascii="宋体" w:hAnsi="宋体"/>
                <w:color w:val="000000"/>
                <w:kern w:val="0"/>
              </w:rPr>
              <w:t>27.28%</w:t>
            </w:r>
          </w:p>
        </w:tc>
      </w:tr>
      <w:tr w:rsidR="00461551">
        <w:tc>
          <w:tcPr>
            <w:tcW w:w="993" w:type="dxa"/>
            <w:vMerge/>
          </w:tcPr>
          <w:p w:rsidR="00461551" w:rsidRDefault="00461551"/>
        </w:tc>
        <w:tc>
          <w:tcPr>
            <w:tcW w:w="992" w:type="dxa"/>
            <w:vAlign w:val="center"/>
          </w:tcPr>
          <w:p w:rsidR="00461551" w:rsidRDefault="004F4540">
            <w:pPr>
              <w:jc w:val="center"/>
            </w:pPr>
            <w:r>
              <w:rPr>
                <w:rFonts w:ascii="宋体" w:hAnsi="宋体"/>
                <w:color w:val="000000"/>
                <w:kern w:val="0"/>
              </w:rPr>
              <w:t>2</w:t>
            </w:r>
          </w:p>
        </w:tc>
        <w:tc>
          <w:tcPr>
            <w:tcW w:w="1843" w:type="dxa"/>
            <w:vAlign w:val="center"/>
          </w:tcPr>
          <w:p w:rsidR="00461551" w:rsidRDefault="004F4540">
            <w:pPr>
              <w:jc w:val="center"/>
            </w:pPr>
            <w:r>
              <w:rPr>
                <w:rFonts w:ascii="宋体" w:hAnsi="宋体"/>
                <w:color w:val="000000"/>
                <w:kern w:val="0"/>
              </w:rPr>
              <w:t>2018/7/1-2018/9/30</w:t>
            </w:r>
          </w:p>
        </w:tc>
        <w:tc>
          <w:tcPr>
            <w:tcW w:w="851" w:type="dxa"/>
            <w:vAlign w:val="center"/>
          </w:tcPr>
          <w:p w:rsidR="00461551" w:rsidRDefault="004F4540">
            <w:pPr>
              <w:jc w:val="center"/>
            </w:pPr>
            <w:r>
              <w:rPr>
                <w:rFonts w:ascii="宋体" w:hAnsi="宋体"/>
                <w:color w:val="000000"/>
                <w:kern w:val="0"/>
              </w:rPr>
              <w:t>178,093,499.55</w:t>
            </w:r>
          </w:p>
        </w:tc>
        <w:tc>
          <w:tcPr>
            <w:tcW w:w="850" w:type="dxa"/>
            <w:vAlign w:val="center"/>
          </w:tcPr>
          <w:p w:rsidR="00461551" w:rsidRDefault="004F4540">
            <w:pPr>
              <w:jc w:val="center"/>
            </w:pPr>
            <w:r>
              <w:rPr>
                <w:rFonts w:ascii="宋体" w:hAnsi="宋体"/>
                <w:color w:val="000000"/>
                <w:kern w:val="0"/>
              </w:rPr>
              <w:t>-</w:t>
            </w:r>
          </w:p>
        </w:tc>
        <w:tc>
          <w:tcPr>
            <w:tcW w:w="1134" w:type="dxa"/>
            <w:vAlign w:val="center"/>
          </w:tcPr>
          <w:p w:rsidR="00461551" w:rsidRDefault="004F4540">
            <w:pPr>
              <w:jc w:val="center"/>
            </w:pPr>
            <w:r>
              <w:rPr>
                <w:rFonts w:ascii="宋体" w:hAnsi="宋体"/>
                <w:color w:val="000000"/>
                <w:kern w:val="0"/>
              </w:rPr>
              <w:t>178,093,499.55</w:t>
            </w:r>
          </w:p>
        </w:tc>
        <w:tc>
          <w:tcPr>
            <w:tcW w:w="1419" w:type="dxa"/>
            <w:vAlign w:val="center"/>
          </w:tcPr>
          <w:p w:rsidR="00461551" w:rsidRDefault="004F4540">
            <w:pPr>
              <w:jc w:val="center"/>
            </w:pPr>
            <w:r>
              <w:rPr>
                <w:rFonts w:ascii="宋体" w:hAnsi="宋体"/>
                <w:color w:val="000000"/>
                <w:kern w:val="0"/>
              </w:rPr>
              <w:t>-</w:t>
            </w:r>
          </w:p>
        </w:tc>
        <w:tc>
          <w:tcPr>
            <w:tcW w:w="1130" w:type="dxa"/>
            <w:vAlign w:val="center"/>
          </w:tcPr>
          <w:p w:rsidR="00461551" w:rsidRDefault="004F4540">
            <w:pPr>
              <w:jc w:val="center"/>
            </w:pPr>
            <w:r>
              <w:rPr>
                <w:rFonts w:ascii="宋体" w:hAnsi="宋体"/>
                <w:color w:val="000000"/>
                <w:kern w:val="0"/>
              </w:rPr>
              <w:t>-</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w:t>
            </w:r>
            <w:bookmarkStart w:id="0" w:name="_GoBack"/>
            <w:bookmarkEnd w:id="0"/>
            <w:r w:rsidRPr="004F4D27">
              <w:rPr>
                <w:rFonts w:ascii="宋体" w:hAnsi="宋体" w:hint="eastAsia"/>
                <w:kern w:val="0"/>
              </w:rPr>
              <w:t>。基金管理人将加强流动性管理，防范相关风险，保护持有人利益。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61551" w:rsidRDefault="004F454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、中国证监会批准交银施罗德沪深</w:t>
      </w:r>
      <w:r>
        <w:rPr>
          <w:color w:val="000000"/>
          <w:sz w:val="24"/>
          <w:szCs w:val="24"/>
        </w:rPr>
        <w:t>300</w:t>
      </w:r>
      <w:r>
        <w:rPr>
          <w:color w:val="000000"/>
          <w:sz w:val="24"/>
          <w:szCs w:val="24"/>
        </w:rPr>
        <w:t>行业分层等权重指数证券投资基金募集的文件；</w:t>
      </w:r>
    </w:p>
    <w:p w:rsidR="00461551" w:rsidRDefault="004F454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、《交银施罗德消费新驱动股票型证券投资基金基金合同》；</w:t>
      </w:r>
    </w:p>
    <w:p w:rsidR="00461551" w:rsidRDefault="004F454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、《交银施罗德消费新驱动股票型证券投资基金招募说明书》；</w:t>
      </w:r>
    </w:p>
    <w:p w:rsidR="00461551" w:rsidRDefault="004F454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、《交银施罗德消费新驱动股票型证券投资基金托管协议》；</w:t>
      </w:r>
    </w:p>
    <w:p w:rsidR="00461551" w:rsidRDefault="004F4540">
      <w:pPr>
        <w:spacing w:before="29" w:line="288" w:lineRule="auto"/>
        <w:ind w:firstLineChars="200" w:firstLine="480"/>
        <w:rPr>
          <w:color w:val="000000"/>
          <w:sz w:val="24"/>
          <w:szCs w:val="24"/>
        </w:rPr>
      </w:pPr>
      <w:r>
        <w:rPr>
          <w:color w:val="000000"/>
          <w:sz w:val="24"/>
          <w:szCs w:val="24"/>
        </w:rPr>
        <w:t>5</w:t>
      </w:r>
      <w:r>
        <w:rPr>
          <w:color w:val="000000"/>
          <w:sz w:val="24"/>
          <w:szCs w:val="24"/>
        </w:rPr>
        <w:t>、《交银施罗德沪深</w:t>
      </w:r>
      <w:r>
        <w:rPr>
          <w:color w:val="000000"/>
          <w:sz w:val="24"/>
          <w:szCs w:val="24"/>
        </w:rPr>
        <w:t>300</w:t>
      </w:r>
      <w:r>
        <w:rPr>
          <w:color w:val="000000"/>
          <w:sz w:val="24"/>
          <w:szCs w:val="24"/>
        </w:rPr>
        <w:t>行业分层等权重指数证券投资基金基金合同》；</w:t>
      </w:r>
    </w:p>
    <w:p w:rsidR="00461551" w:rsidRDefault="004F4540">
      <w:pPr>
        <w:spacing w:before="29" w:line="288" w:lineRule="auto"/>
        <w:ind w:firstLineChars="200" w:firstLine="480"/>
        <w:rPr>
          <w:color w:val="000000"/>
          <w:sz w:val="24"/>
          <w:szCs w:val="24"/>
        </w:rPr>
      </w:pPr>
      <w:r>
        <w:rPr>
          <w:color w:val="000000"/>
          <w:sz w:val="24"/>
          <w:szCs w:val="24"/>
        </w:rPr>
        <w:t>6</w:t>
      </w:r>
      <w:r>
        <w:rPr>
          <w:color w:val="000000"/>
          <w:sz w:val="24"/>
          <w:szCs w:val="24"/>
        </w:rPr>
        <w:t>、《交银施罗德沪深</w:t>
      </w:r>
      <w:r>
        <w:rPr>
          <w:color w:val="000000"/>
          <w:sz w:val="24"/>
          <w:szCs w:val="24"/>
        </w:rPr>
        <w:t>300</w:t>
      </w:r>
      <w:r>
        <w:rPr>
          <w:color w:val="000000"/>
          <w:sz w:val="24"/>
          <w:szCs w:val="24"/>
        </w:rPr>
        <w:t>行业分层等权重指数证券投资基金招募说明书》；</w:t>
      </w:r>
    </w:p>
    <w:p w:rsidR="00461551" w:rsidRDefault="004F4540">
      <w:pPr>
        <w:spacing w:before="29" w:line="288" w:lineRule="auto"/>
        <w:ind w:firstLineChars="200" w:firstLine="480"/>
        <w:rPr>
          <w:color w:val="000000"/>
          <w:sz w:val="24"/>
          <w:szCs w:val="24"/>
        </w:rPr>
      </w:pPr>
      <w:r>
        <w:rPr>
          <w:color w:val="000000"/>
          <w:sz w:val="24"/>
          <w:szCs w:val="24"/>
        </w:rPr>
        <w:t>7</w:t>
      </w:r>
      <w:r>
        <w:rPr>
          <w:color w:val="000000"/>
          <w:sz w:val="24"/>
          <w:szCs w:val="24"/>
        </w:rPr>
        <w:t>、《交银施罗德沪深</w:t>
      </w:r>
      <w:r>
        <w:rPr>
          <w:color w:val="000000"/>
          <w:sz w:val="24"/>
          <w:szCs w:val="24"/>
        </w:rPr>
        <w:t>300</w:t>
      </w:r>
      <w:r>
        <w:rPr>
          <w:color w:val="000000"/>
          <w:sz w:val="24"/>
          <w:szCs w:val="24"/>
        </w:rPr>
        <w:t>行业分层等权重指数证券投资基金托管协议》；</w:t>
      </w:r>
    </w:p>
    <w:p w:rsidR="00461551" w:rsidRDefault="004F4540">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461551" w:rsidRDefault="004F4540">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p>
    <w:p w:rsidR="00461551" w:rsidRDefault="004F4540">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、关于申请募集交银施罗德沪深</w:t>
      </w:r>
      <w:r>
        <w:rPr>
          <w:color w:val="000000"/>
          <w:sz w:val="24"/>
          <w:szCs w:val="24"/>
        </w:rPr>
        <w:t>300</w:t>
      </w:r>
      <w:r>
        <w:rPr>
          <w:color w:val="000000"/>
          <w:sz w:val="24"/>
          <w:szCs w:val="24"/>
        </w:rPr>
        <w:t>行业分层等权重指数证券投资基金之法律意见书；</w:t>
      </w:r>
    </w:p>
    <w:p w:rsidR="00461551" w:rsidRDefault="004F4540">
      <w:pPr>
        <w:spacing w:before="29" w:line="288" w:lineRule="auto"/>
        <w:ind w:firstLineChars="200" w:firstLine="480"/>
        <w:rPr>
          <w:color w:val="000000"/>
          <w:sz w:val="24"/>
          <w:szCs w:val="24"/>
        </w:rPr>
      </w:pPr>
      <w:r>
        <w:rPr>
          <w:color w:val="000000"/>
          <w:sz w:val="24"/>
          <w:szCs w:val="24"/>
        </w:rPr>
        <w:t>11</w:t>
      </w:r>
      <w:r>
        <w:rPr>
          <w:color w:val="000000"/>
          <w:sz w:val="24"/>
          <w:szCs w:val="24"/>
        </w:rPr>
        <w:t>、关于《申请交银施罗德沪深</w:t>
      </w:r>
      <w:r>
        <w:rPr>
          <w:color w:val="000000"/>
          <w:sz w:val="24"/>
          <w:szCs w:val="24"/>
        </w:rPr>
        <w:t>300</w:t>
      </w:r>
      <w:r>
        <w:rPr>
          <w:color w:val="000000"/>
          <w:sz w:val="24"/>
          <w:szCs w:val="24"/>
        </w:rPr>
        <w:t>行业分层等权重指数证券投资基金变更注册为交银施罗德消费新驱动股票型证券投资基金》的法律意见；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12</w:t>
      </w:r>
      <w:r w:rsidRPr="00414345">
        <w:rPr>
          <w:color w:val="000000"/>
          <w:sz w:val="24"/>
          <w:szCs w:val="24"/>
        </w:rPr>
        <w:t>、报告期内交银施罗德消费新驱动股票型证券投资基金、交银施罗德沪深</w:t>
      </w:r>
      <w:r w:rsidRPr="00414345">
        <w:rPr>
          <w:color w:val="000000"/>
          <w:sz w:val="24"/>
          <w:szCs w:val="24"/>
        </w:rPr>
        <w:t>300</w:t>
      </w:r>
      <w:r w:rsidRPr="00414345">
        <w:rPr>
          <w:color w:val="000000"/>
          <w:sz w:val="24"/>
          <w:szCs w:val="24"/>
        </w:rPr>
        <w:t>行业分层等权重指数证券投资基金在指定报刊上各项公告的原稿。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61551" w:rsidRDefault="004F454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B4" w:rsidRDefault="006836B4" w:rsidP="00876D65">
      <w:r>
        <w:separator/>
      </w:r>
    </w:p>
  </w:endnote>
  <w:endnote w:type="continuationSeparator" w:id="0">
    <w:p w:rsidR="006836B4" w:rsidRDefault="006836B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731D57">
      <w:rPr>
        <w:noProof/>
        <w:kern w:val="0"/>
        <w:szCs w:val="21"/>
      </w:rPr>
      <w:t>13</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731D57">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B4" w:rsidRDefault="006836B4" w:rsidP="00876D65">
      <w:r>
        <w:separator/>
      </w:r>
    </w:p>
  </w:footnote>
  <w:footnote w:type="continuationSeparator" w:id="0">
    <w:p w:rsidR="006836B4" w:rsidRDefault="006836B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F0" w:rsidRPr="00DC456F" w:rsidRDefault="00DC456F" w:rsidP="00090A26">
    <w:pPr>
      <w:pStyle w:val="a9"/>
      <w:pBdr>
        <w:bottom w:val="single" w:sz="6" w:space="0" w:color="auto"/>
      </w:pBdr>
      <w:jc w:val="right"/>
      <w:rPr>
        <w:sz w:val="24"/>
        <w:szCs w:val="24"/>
      </w:rPr>
    </w:pPr>
    <w:r w:rsidRPr="003E676C">
      <w:rPr>
        <w:sz w:val="24"/>
        <w:szCs w:val="24"/>
      </w:rPr>
      <w:t>交银施罗德消费新驱动股票型证券投资基金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1719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1551"/>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4540"/>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58F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836B4"/>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1D57"/>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6801"/>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DD558-7EB8-43A1-929C-CC58F4D3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582</cp:revision>
  <dcterms:created xsi:type="dcterms:W3CDTF">2012-10-16T06:07:00Z</dcterms:created>
  <dcterms:modified xsi:type="dcterms:W3CDTF">2018-10-20T11:01:00Z</dcterms:modified>
</cp:coreProperties>
</file>