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交银施罗德阿尔法核心混合型证券投资基金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2018年第3季度报告</w:t>
      </w:r>
    </w:p>
    <w:p w:rsidP="00C15CAC" w:rsidR="004061AC" w:rsidRDefault="00655CD8" w:rsidRPr="0081286B">
      <w:pPr>
        <w:spacing w:before="29" w:line="288" w:lineRule="auto"/>
        <w:jc w:val="center"/>
        <w:rPr>
          <w:b/>
          <w:sz w:val="36"/>
          <w:szCs w:val="36"/>
        </w:rPr>
      </w:pPr>
      <w:r w:rsidRPr="0081286B">
        <w:rPr>
          <w:b/>
          <w:sz w:val="36"/>
          <w:szCs w:val="36"/>
        </w:rPr>
        <w:t>2018年9月30日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二〇一八年十月二十六日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2012年8月3日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1,533,186,478.09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(2018年7月1日-2018年9月30日)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-76,822,701.01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-113,935,327.20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-0.0834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3,028,148,587.19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-3.99%</w:t>
            </w:r>
          </w:p>
        </w:tc>
        <w:tc>
          <w:tcPr>
            <w:vAlign w:val="center"/>
          </w:tcPr>
          <w:p>
            <w:pPr>
              <w:jc w:val="center"/>
            </w:pPr>
            <w:r>
              <w:rPr>
                <w:color w:val="000000"/>
                <w:sz w:val="24"/>
                <w:szCs w:val="24"/>
              </w:rPr>
              <w:t>1.31%</w:t>
            </w:r>
          </w:p>
        </w:tc>
        <w:tc>
          <w:tcPr>
            <w:vAlign w:val="center"/>
          </w:tcPr>
          <w:p>
            <w:pPr>
              <w:jc w:val="center"/>
            </w:pPr>
            <w:r>
              <w:rPr>
                <w:color w:val="000000"/>
                <w:sz w:val="24"/>
                <w:szCs w:val="24"/>
              </w:rPr>
              <w:t>-1.11%</w:t>
            </w:r>
          </w:p>
        </w:tc>
        <w:tc>
          <w:tcPr>
            <w:vAlign w:val="center"/>
          </w:tcPr>
          <w:p>
            <w:pPr>
              <w:jc w:val="center"/>
            </w:pPr>
            <w:r>
              <w:rPr>
                <w:color w:val="000000"/>
                <w:sz w:val="24"/>
                <w:szCs w:val="24"/>
              </w:rPr>
              <w:t>1.02%</w:t>
            </w:r>
          </w:p>
        </w:tc>
        <w:tc>
          <w:tcPr>
            <w:vAlign w:val="center"/>
          </w:tcPr>
          <w:p>
            <w:pPr>
              <w:jc w:val="center"/>
            </w:pPr>
            <w:r>
              <w:rPr>
                <w:color w:val="000000"/>
                <w:sz w:val="24"/>
                <w:szCs w:val="24"/>
              </w:rPr>
              <w:t>-2.88%</w:t>
            </w:r>
          </w:p>
        </w:tc>
        <w:tc>
          <w:tcPr>
            <w:vAlign w:val="center"/>
          </w:tcPr>
          <w:p>
            <w:pPr>
              <w:jc w:val="center"/>
            </w:pPr>
            <w:r>
              <w:rPr>
                <w:color w:val="000000"/>
                <w:sz w:val="24"/>
                <w:szCs w:val="24"/>
              </w:rPr>
              <w:t>0.29%</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交银施罗德阿尔法核心混合型证券投资基金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2012年8月3日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2015-09-16</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2018年三季度A股市场波动加大，上证指数下跌0.92%，但创业板指数下跌12.16%。其中银行、地产等板块较为抗跌，而电子、传媒等板块下跌明显。</w:t>
      </w:r>
    </w:p>
    <w:p>
      <w:pPr>
        <w:spacing w:before="29" w:line="288" w:lineRule="auto"/>
        <w:ind w:firstLine="480" w:firstLineChars="200"/>
        <w:rPr>
          <w:color w:val="000000"/>
          <w:sz w:val="24"/>
          <w:szCs w:val="24"/>
        </w:rPr>
      </w:pPr>
      <w:r>
        <w:rPr>
          <w:color w:val="000000"/>
          <w:sz w:val="24"/>
          <w:szCs w:val="24"/>
        </w:rPr>
        <w:t>本基金在三季度表现较为稳定，持仓个股互有涨跌。</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对于经济、利率及股票市场，我们目前都持中性态度。经济增速缓慢回落，但不确定性逐季加大，宏观政策基本确认由中性向适度宽松转变，货币政策整体宽松但传导至实体经济需要时间，股票市场在此环境下预计以震荡走势为主。从中长期的角度，股票市场的波动、甚至经济的波动更多提供的是机会，而非风险。我们将持续关注那些在经济周期下行过程中竞争力不受影响的公司，甚至市场份额反而提升的公司。我们希望通过深度研究，找到需求可持续增长的行业，竞争力可持续拓宽的公司，从公司价值的可持续成长空间中获利，并希望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2,265,614,063.24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74.24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2,265,614,063.24</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74.24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138,113,630.80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138,113,630.80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4.53</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611,625,577.56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20.04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36,515,969.03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3,051,869,240.63</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62,025,811.95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818,727,880.20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1,418,200.00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310,800.00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117,602,664.88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346,250.00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507,215,972.07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5,116,172.60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96,255,600.80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74,022.00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73,678,082.40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394,382.96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355,051,420.51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227,335,362.87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61,440.00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2,265,614,063.24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74.82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12,622,359</w:t>
            </w:r>
          </w:p>
        </w:tc>
        <w:tc>
          <w:tcPr>
            <w:vAlign w:val="center"/>
          </w:tcPr>
          <w:p>
            <w:pPr>
              <w:jc w:val="right"/>
            </w:pPr>
            <w:r>
              <w:rPr>
                <w:color w:val="000000"/>
                <w:sz w:val="24"/>
                <w:szCs w:val="24"/>
              </w:rPr>
              <w:t>217,483,245.57</w:t>
            </w:r>
          </w:p>
        </w:tc>
        <w:tc>
          <w:tcPr>
            <w:vAlign w:val="center"/>
          </w:tcPr>
          <w:p>
            <w:pPr>
              <w:jc w:val="right"/>
            </w:pPr>
            <w:r>
              <w:rPr>
                <w:color w:val="000000"/>
                <w:sz w:val="24"/>
                <w:szCs w:val="24"/>
              </w:rPr>
              <w:t>7.18</w:t>
            </w:r>
          </w:p>
        </w:tc>
      </w:tr>
      <w:tr>
        <w:tc>
          <w:tcPr>
            <w:vAlign w:val="center"/>
          </w:tcPr>
          <w:p>
            <w:pPr>
              <w:jc w:val="center"/>
            </w:pPr>
            <w:r>
              <w:rPr>
                <w:color w:val="000000"/>
                <w:sz w:val="24"/>
                <w:szCs w:val="24"/>
              </w:rPr>
              <w:t>2</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8,463,693</w:t>
            </w:r>
          </w:p>
        </w:tc>
        <w:tc>
          <w:tcPr>
            <w:vAlign w:val="center"/>
          </w:tcPr>
          <w:p>
            <w:pPr>
              <w:jc w:val="right"/>
            </w:pPr>
            <w:r>
              <w:rPr>
                <w:color w:val="000000"/>
                <w:sz w:val="24"/>
                <w:szCs w:val="24"/>
              </w:rPr>
              <w:t>208,883,943.24</w:t>
            </w:r>
          </w:p>
        </w:tc>
        <w:tc>
          <w:tcPr>
            <w:vAlign w:val="center"/>
          </w:tcPr>
          <w:p>
            <w:pPr>
              <w:jc w:val="right"/>
            </w:pPr>
            <w:r>
              <w:rPr>
                <w:color w:val="000000"/>
                <w:sz w:val="24"/>
                <w:szCs w:val="24"/>
              </w:rPr>
              <w:t>6.90</w:t>
            </w:r>
          </w:p>
        </w:tc>
      </w:tr>
      <w:tr>
        <w:tc>
          <w:tcPr>
            <w:vAlign w:val="center"/>
          </w:tcPr>
          <w:p>
            <w:pPr>
              <w:jc w:val="center"/>
            </w:pPr>
            <w:r>
              <w:rPr>
                <w:color w:val="000000"/>
                <w:sz w:val="24"/>
                <w:szCs w:val="24"/>
              </w:rPr>
              <w:t>3</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862,632</w:t>
            </w:r>
          </w:p>
        </w:tc>
        <w:tc>
          <w:tcPr>
            <w:vAlign w:val="center"/>
          </w:tcPr>
          <w:p>
            <w:pPr>
              <w:jc w:val="right"/>
            </w:pPr>
            <w:r>
              <w:rPr>
                <w:color w:val="000000"/>
                <w:sz w:val="24"/>
                <w:szCs w:val="24"/>
              </w:rPr>
              <w:t>204,443,784.00</w:t>
            </w:r>
          </w:p>
        </w:tc>
        <w:tc>
          <w:tcPr>
            <w:vAlign w:val="center"/>
          </w:tcPr>
          <w:p>
            <w:pPr>
              <w:jc w:val="right"/>
            </w:pPr>
            <w:r>
              <w:rPr>
                <w:color w:val="000000"/>
                <w:sz w:val="24"/>
                <w:szCs w:val="24"/>
              </w:rPr>
              <w:t>6.75</w:t>
            </w:r>
          </w:p>
        </w:tc>
      </w:tr>
      <w:tr>
        <w:tc>
          <w:tcPr>
            <w:vAlign w:val="center"/>
          </w:tcPr>
          <w:p>
            <w:pPr>
              <w:jc w:val="center"/>
            </w:pPr>
            <w:r>
              <w:rPr>
                <w:color w:val="000000"/>
                <w:sz w:val="24"/>
                <w:szCs w:val="24"/>
              </w:rPr>
              <w:t>4</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11,179,684</w:t>
            </w:r>
          </w:p>
        </w:tc>
        <w:tc>
          <w:tcPr>
            <w:vAlign w:val="center"/>
          </w:tcPr>
          <w:p>
            <w:pPr>
              <w:jc w:val="right"/>
            </w:pPr>
            <w:r>
              <w:rPr>
                <w:color w:val="000000"/>
                <w:sz w:val="24"/>
                <w:szCs w:val="24"/>
              </w:rPr>
              <w:t>175,864,178.76</w:t>
            </w:r>
          </w:p>
        </w:tc>
        <w:tc>
          <w:tcPr>
            <w:vAlign w:val="center"/>
          </w:tcPr>
          <w:p>
            <w:pPr>
              <w:jc w:val="right"/>
            </w:pPr>
            <w:r>
              <w:rPr>
                <w:color w:val="000000"/>
                <w:sz w:val="24"/>
                <w:szCs w:val="24"/>
              </w:rPr>
              <w:t>5.81</w:t>
            </w:r>
          </w:p>
        </w:tc>
      </w:tr>
      <w:tr>
        <w:tc>
          <w:tcPr>
            <w:vAlign w:val="center"/>
          </w:tcPr>
          <w:p>
            <w:pPr>
              <w:jc w:val="center"/>
            </w:pPr>
            <w:r>
              <w:rPr>
                <w:color w:val="000000"/>
                <w:sz w:val="24"/>
                <w:szCs w:val="24"/>
              </w:rPr>
              <w:t>5</w:t>
            </w:r>
          </w:p>
        </w:tc>
        <w:tc>
          <w:tcPr>
            <w:vAlign w:val="center"/>
          </w:tcPr>
          <w:p>
            <w:pPr>
              <w:jc w:val="center"/>
            </w:pPr>
            <w:r>
              <w:rPr>
                <w:color w:val="000000"/>
                <w:sz w:val="24"/>
                <w:szCs w:val="24"/>
              </w:rPr>
              <w:t>002690</w:t>
            </w:r>
          </w:p>
        </w:tc>
        <w:tc>
          <w:tcPr>
            <w:vAlign w:val="center"/>
          </w:tcPr>
          <w:p>
            <w:pPr>
              <w:jc w:val="center"/>
            </w:pPr>
            <w:r>
              <w:rPr>
                <w:color w:val="000000"/>
                <w:sz w:val="24"/>
                <w:szCs w:val="24"/>
              </w:rPr>
              <w:t>美亚光电</w:t>
            </w:r>
          </w:p>
        </w:tc>
        <w:tc>
          <w:tcPr>
            <w:vAlign w:val="center"/>
          </w:tcPr>
          <w:p>
            <w:pPr>
              <w:jc w:val="right"/>
            </w:pPr>
            <w:r>
              <w:rPr>
                <w:color w:val="000000"/>
                <w:sz w:val="24"/>
                <w:szCs w:val="24"/>
              </w:rPr>
              <w:t>6,569,289</w:t>
            </w:r>
          </w:p>
        </w:tc>
        <w:tc>
          <w:tcPr>
            <w:vAlign w:val="center"/>
          </w:tcPr>
          <w:p>
            <w:pPr>
              <w:jc w:val="right"/>
            </w:pPr>
            <w:r>
              <w:rPr>
                <w:color w:val="000000"/>
                <w:sz w:val="24"/>
                <w:szCs w:val="24"/>
              </w:rPr>
              <w:t>145,181,286.90</w:t>
            </w:r>
          </w:p>
        </w:tc>
        <w:tc>
          <w:tcPr>
            <w:vAlign w:val="center"/>
          </w:tcPr>
          <w:p>
            <w:pPr>
              <w:jc w:val="right"/>
            </w:pPr>
            <w:r>
              <w:rPr>
                <w:color w:val="000000"/>
                <w:sz w:val="24"/>
                <w:szCs w:val="24"/>
              </w:rPr>
              <w:t>4.79</w:t>
            </w:r>
          </w:p>
        </w:tc>
      </w:tr>
      <w:tr>
        <w:tc>
          <w:tcPr>
            <w:vAlign w:val="center"/>
          </w:tcPr>
          <w:p>
            <w:pPr>
              <w:jc w:val="center"/>
            </w:pPr>
            <w:r>
              <w:rPr>
                <w:color w:val="000000"/>
                <w:sz w:val="24"/>
                <w:szCs w:val="24"/>
              </w:rPr>
              <w:t>6</w:t>
            </w:r>
          </w:p>
        </w:tc>
        <w:tc>
          <w:tcPr>
            <w:vAlign w:val="center"/>
          </w:tcPr>
          <w:p>
            <w:pPr>
              <w:jc w:val="center"/>
            </w:pPr>
            <w:r>
              <w:rPr>
                <w:color w:val="000000"/>
                <w:sz w:val="24"/>
                <w:szCs w:val="24"/>
              </w:rPr>
              <w:t>300529</w:t>
            </w:r>
          </w:p>
        </w:tc>
        <w:tc>
          <w:tcPr>
            <w:vAlign w:val="center"/>
          </w:tcPr>
          <w:p>
            <w:pPr>
              <w:jc w:val="center"/>
            </w:pPr>
            <w:r>
              <w:rPr>
                <w:color w:val="000000"/>
                <w:sz w:val="24"/>
                <w:szCs w:val="24"/>
              </w:rPr>
              <w:t>健帆生物</w:t>
            </w:r>
          </w:p>
        </w:tc>
        <w:tc>
          <w:tcPr>
            <w:vAlign w:val="center"/>
          </w:tcPr>
          <w:p>
            <w:pPr>
              <w:jc w:val="right"/>
            </w:pPr>
            <w:r>
              <w:rPr>
                <w:color w:val="000000"/>
                <w:sz w:val="24"/>
                <w:szCs w:val="24"/>
              </w:rPr>
              <w:t>3,215,987</w:t>
            </w:r>
          </w:p>
        </w:tc>
        <w:tc>
          <w:tcPr>
            <w:vAlign w:val="center"/>
          </w:tcPr>
          <w:p>
            <w:pPr>
              <w:jc w:val="right"/>
            </w:pPr>
            <w:r>
              <w:rPr>
                <w:color w:val="000000"/>
                <w:sz w:val="24"/>
                <w:szCs w:val="24"/>
              </w:rPr>
              <w:t>140,377,832.55</w:t>
            </w:r>
          </w:p>
        </w:tc>
        <w:tc>
          <w:tcPr>
            <w:vAlign w:val="center"/>
          </w:tcPr>
          <w:p>
            <w:pPr>
              <w:jc w:val="right"/>
            </w:pPr>
            <w:r>
              <w:rPr>
                <w:color w:val="000000"/>
                <w:sz w:val="24"/>
                <w:szCs w:val="24"/>
              </w:rPr>
              <w:t>4.64</w:t>
            </w:r>
          </w:p>
        </w:tc>
      </w:tr>
      <w:tr>
        <w:tc>
          <w:tcPr>
            <w:vAlign w:val="center"/>
          </w:tcPr>
          <w:p>
            <w:pPr>
              <w:jc w:val="center"/>
            </w:pPr>
            <w:r>
              <w:rPr>
                <w:color w:val="000000"/>
                <w:sz w:val="24"/>
                <w:szCs w:val="24"/>
              </w:rPr>
              <w:t>7</w:t>
            </w:r>
          </w:p>
        </w:tc>
        <w:tc>
          <w:tcPr>
            <w:vAlign w:val="center"/>
          </w:tcPr>
          <w:p>
            <w:pPr>
              <w:jc w:val="center"/>
            </w:pPr>
            <w:r>
              <w:rPr>
                <w:color w:val="000000"/>
                <w:sz w:val="24"/>
                <w:szCs w:val="24"/>
              </w:rPr>
              <w:t>600763</w:t>
            </w:r>
          </w:p>
        </w:tc>
        <w:tc>
          <w:tcPr>
            <w:vAlign w:val="center"/>
          </w:tcPr>
          <w:p>
            <w:pPr>
              <w:jc w:val="center"/>
            </w:pPr>
            <w:r>
              <w:rPr>
                <w:color w:val="000000"/>
                <w:sz w:val="24"/>
                <w:szCs w:val="24"/>
              </w:rPr>
              <w:t>通策医疗</w:t>
            </w:r>
          </w:p>
        </w:tc>
        <w:tc>
          <w:tcPr>
            <w:vAlign w:val="center"/>
          </w:tcPr>
          <w:p>
            <w:pPr>
              <w:jc w:val="right"/>
            </w:pPr>
            <w:r>
              <w:rPr>
                <w:color w:val="000000"/>
                <w:sz w:val="24"/>
                <w:szCs w:val="24"/>
              </w:rPr>
              <w:t>2,561,314</w:t>
            </w:r>
          </w:p>
        </w:tc>
        <w:tc>
          <w:tcPr>
            <w:vAlign w:val="center"/>
          </w:tcPr>
          <w:p>
            <w:pPr>
              <w:jc w:val="right"/>
            </w:pPr>
            <w:r>
              <w:rPr>
                <w:color w:val="000000"/>
                <w:sz w:val="24"/>
                <w:szCs w:val="24"/>
              </w:rPr>
              <w:t>137,568,174.94</w:t>
            </w:r>
          </w:p>
        </w:tc>
        <w:tc>
          <w:tcPr>
            <w:vAlign w:val="center"/>
          </w:tcPr>
          <w:p>
            <w:pPr>
              <w:jc w:val="right"/>
            </w:pPr>
            <w:r>
              <w:rPr>
                <w:color w:val="000000"/>
                <w:sz w:val="24"/>
                <w:szCs w:val="24"/>
              </w:rPr>
              <w:t>4.54</w:t>
            </w:r>
          </w:p>
        </w:tc>
      </w:tr>
      <w:tr>
        <w:tc>
          <w:tcPr>
            <w:vAlign w:val="center"/>
          </w:tcPr>
          <w:p>
            <w:pPr>
              <w:jc w:val="center"/>
            </w:pPr>
            <w:r>
              <w:rPr>
                <w:color w:val="000000"/>
                <w:sz w:val="24"/>
                <w:szCs w:val="24"/>
              </w:rPr>
              <w:t>8</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4,766,429</w:t>
            </w:r>
          </w:p>
        </w:tc>
        <w:tc>
          <w:tcPr>
            <w:vAlign w:val="center"/>
          </w:tcPr>
          <w:p>
            <w:pPr>
              <w:jc w:val="right"/>
            </w:pPr>
            <w:r>
              <w:rPr>
                <w:color w:val="000000"/>
                <w:sz w:val="24"/>
                <w:szCs w:val="24"/>
              </w:rPr>
              <w:t>128,598,254.42</w:t>
            </w:r>
          </w:p>
        </w:tc>
        <w:tc>
          <w:tcPr>
            <w:vAlign w:val="center"/>
          </w:tcPr>
          <w:p>
            <w:pPr>
              <w:jc w:val="right"/>
            </w:pPr>
            <w:r>
              <w:rPr>
                <w:color w:val="000000"/>
                <w:sz w:val="24"/>
                <w:szCs w:val="24"/>
              </w:rPr>
              <w:t>4.25</w:t>
            </w:r>
          </w:p>
        </w:tc>
      </w:tr>
      <w:tr>
        <w:tc>
          <w:tcPr>
            <w:vAlign w:val="center"/>
          </w:tcPr>
          <w:p>
            <w:pPr>
              <w:jc w:val="center"/>
            </w:pPr>
            <w:r>
              <w:rPr>
                <w:color w:val="000000"/>
                <w:sz w:val="24"/>
                <w:szCs w:val="24"/>
              </w:rPr>
              <w:t>9</w:t>
            </w:r>
          </w:p>
        </w:tc>
        <w:tc>
          <w:tcPr>
            <w:vAlign w:val="center"/>
          </w:tcPr>
          <w:p>
            <w:pPr>
              <w:jc w:val="center"/>
            </w:pPr>
            <w:r>
              <w:rPr>
                <w:color w:val="000000"/>
                <w:sz w:val="24"/>
                <w:szCs w:val="24"/>
              </w:rPr>
              <w:t>603096</w:t>
            </w:r>
          </w:p>
        </w:tc>
        <w:tc>
          <w:tcPr>
            <w:vAlign w:val="center"/>
          </w:tcPr>
          <w:p>
            <w:pPr>
              <w:jc w:val="center"/>
            </w:pPr>
            <w:r>
              <w:rPr>
                <w:color w:val="000000"/>
                <w:sz w:val="24"/>
                <w:szCs w:val="24"/>
              </w:rPr>
              <w:t>新经典</w:t>
            </w:r>
          </w:p>
        </w:tc>
        <w:tc>
          <w:tcPr>
            <w:vAlign w:val="center"/>
          </w:tcPr>
          <w:p>
            <w:pPr>
              <w:jc w:val="right"/>
            </w:pPr>
            <w:r>
              <w:rPr>
                <w:color w:val="000000"/>
                <w:sz w:val="24"/>
                <w:szCs w:val="24"/>
              </w:rPr>
              <w:t>1,497,151</w:t>
            </w:r>
          </w:p>
        </w:tc>
        <w:tc>
          <w:tcPr>
            <w:vAlign w:val="center"/>
          </w:tcPr>
          <w:p>
            <w:pPr>
              <w:jc w:val="right"/>
            </w:pPr>
            <w:r>
              <w:rPr>
                <w:color w:val="000000"/>
                <w:sz w:val="24"/>
                <w:szCs w:val="24"/>
              </w:rPr>
              <w:t>98,737,108.45</w:t>
            </w:r>
          </w:p>
        </w:tc>
        <w:tc>
          <w:tcPr>
            <w:vAlign w:val="center"/>
          </w:tcPr>
          <w:p>
            <w:pPr>
              <w:jc w:val="right"/>
            </w:pPr>
            <w:r>
              <w:rPr>
                <w:color w:val="000000"/>
                <w:sz w:val="24"/>
                <w:szCs w:val="24"/>
              </w:rPr>
              <w:t>3.26</w:t>
            </w:r>
          </w:p>
        </w:tc>
      </w:tr>
      <w:tr>
        <w:tc>
          <w:tcPr>
            <w:vAlign w:val="center"/>
          </w:tcPr>
          <w:p>
            <w:pPr>
              <w:jc w:val="center"/>
            </w:pPr>
            <w:r>
              <w:rPr>
                <w:color w:val="000000"/>
                <w:sz w:val="24"/>
                <w:szCs w:val="24"/>
              </w:rPr>
              <w:t>10</w:t>
            </w:r>
          </w:p>
        </w:tc>
        <w:tc>
          <w:tcPr>
            <w:vAlign w:val="center"/>
          </w:tcPr>
          <w:p>
            <w:pPr>
              <w:jc w:val="center"/>
            </w:pPr>
            <w:r>
              <w:rPr>
                <w:color w:val="000000"/>
                <w:sz w:val="24"/>
                <w:szCs w:val="24"/>
              </w:rPr>
              <w:t>601100</w:t>
            </w:r>
          </w:p>
        </w:tc>
        <w:tc>
          <w:tcPr>
            <w:vAlign w:val="center"/>
          </w:tcPr>
          <w:p>
            <w:pPr>
              <w:jc w:val="center"/>
            </w:pPr>
            <w:r>
              <w:rPr>
                <w:color w:val="000000"/>
                <w:sz w:val="24"/>
                <w:szCs w:val="24"/>
              </w:rPr>
              <w:t>恒立液压</w:t>
            </w:r>
          </w:p>
        </w:tc>
        <w:tc>
          <w:tcPr>
            <w:vAlign w:val="center"/>
          </w:tcPr>
          <w:p>
            <w:pPr>
              <w:jc w:val="right"/>
            </w:pPr>
            <w:r>
              <w:rPr>
                <w:color w:val="000000"/>
                <w:sz w:val="24"/>
                <w:szCs w:val="24"/>
              </w:rPr>
              <w:t>3,985,343</w:t>
            </w:r>
          </w:p>
        </w:tc>
        <w:tc>
          <w:tcPr>
            <w:vAlign w:val="center"/>
          </w:tcPr>
          <w:p>
            <w:pPr>
              <w:jc w:val="right"/>
            </w:pPr>
            <w:r>
              <w:rPr>
                <w:color w:val="000000"/>
                <w:sz w:val="24"/>
                <w:szCs w:val="24"/>
              </w:rPr>
              <w:t>88,992,709.19</w:t>
            </w:r>
          </w:p>
        </w:tc>
        <w:tc>
          <w:tcPr>
            <w:vAlign w:val="center"/>
          </w:tcPr>
          <w:p>
            <w:pPr>
              <w:jc w:val="right"/>
            </w:pPr>
            <w:r>
              <w:rPr>
                <w:color w:val="000000"/>
                <w:sz w:val="24"/>
                <w:szCs w:val="24"/>
              </w:rPr>
              <w:t>2.94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37,806,200.00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100,250,000.00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100,250,000.00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3.31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57,430.80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138,113,630.80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4.56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180305</w:t>
            </w:r>
          </w:p>
        </w:tc>
        <w:tc>
          <w:tcPr>
            <w:vAlign w:val="center"/>
          </w:tcPr>
          <w:p>
            <w:pPr>
              <w:jc w:val="center"/>
            </w:pPr>
            <w:r>
              <w:rPr>
                <w:color w:val="000000"/>
                <w:sz w:val="24"/>
                <w:szCs w:val="24"/>
              </w:rPr>
              <w:t>18进出05</w:t>
            </w:r>
          </w:p>
        </w:tc>
        <w:tc>
          <w:tcPr>
            <w:vAlign w:val="center"/>
          </w:tcPr>
          <w:p>
            <w:pPr>
              <w:jc w:val="right"/>
            </w:pPr>
            <w:r>
              <w:rPr>
                <w:color w:val="000000"/>
                <w:sz w:val="24"/>
                <w:szCs w:val="24"/>
              </w:rPr>
              <w:t>800,000</w:t>
            </w:r>
          </w:p>
        </w:tc>
        <w:tc>
          <w:tcPr>
            <w:vAlign w:val="center"/>
          </w:tcPr>
          <w:p>
            <w:pPr>
              <w:jc w:val="right"/>
            </w:pPr>
            <w:r>
              <w:rPr>
                <w:color w:val="000000"/>
                <w:sz w:val="24"/>
                <w:szCs w:val="24"/>
              </w:rPr>
              <w:t>80,152,000.00</w:t>
            </w:r>
          </w:p>
        </w:tc>
        <w:tc>
          <w:tcPr>
            <w:vAlign w:val="center"/>
          </w:tcPr>
          <w:p>
            <w:pPr>
              <w:jc w:val="right"/>
            </w:pPr>
            <w:r>
              <w:rPr>
                <w:color w:val="000000"/>
                <w:sz w:val="24"/>
                <w:szCs w:val="24"/>
              </w:rPr>
              <w:t>2.65</w:t>
            </w:r>
          </w:p>
        </w:tc>
      </w:tr>
      <w:tr>
        <w:tc>
          <w:tcPr>
            <w:vAlign w:val="center"/>
          </w:tcPr>
          <w:p>
            <w:pPr>
              <w:jc w:val="center"/>
            </w:pPr>
            <w:r>
              <w:rPr>
                <w:color w:val="000000"/>
                <w:sz w:val="24"/>
                <w:szCs w:val="24"/>
              </w:rPr>
              <w:t>2</w:t>
            </w:r>
          </w:p>
        </w:tc>
        <w:tc>
          <w:tcPr>
            <w:vAlign w:val="center"/>
          </w:tcPr>
          <w:p>
            <w:pPr>
              <w:jc w:val="center"/>
            </w:pPr>
            <w:r>
              <w:rPr>
                <w:color w:val="000000"/>
                <w:sz w:val="24"/>
                <w:szCs w:val="24"/>
              </w:rPr>
              <w:t>189937</w:t>
            </w:r>
          </w:p>
        </w:tc>
        <w:tc>
          <w:tcPr>
            <w:vAlign w:val="center"/>
          </w:tcPr>
          <w:p>
            <w:pPr>
              <w:jc w:val="center"/>
            </w:pPr>
            <w:r>
              <w:rPr>
                <w:color w:val="000000"/>
                <w:sz w:val="24"/>
                <w:szCs w:val="24"/>
              </w:rPr>
              <w:t>18贴现国债37</w:t>
            </w:r>
          </w:p>
        </w:tc>
        <w:tc>
          <w:tcPr>
            <w:vAlign w:val="center"/>
          </w:tcPr>
          <w:p>
            <w:pPr>
              <w:jc w:val="right"/>
            </w:pPr>
            <w:r>
              <w:rPr>
                <w:color w:val="000000"/>
                <w:sz w:val="24"/>
                <w:szCs w:val="24"/>
              </w:rPr>
              <w:t>380,000</w:t>
            </w:r>
          </w:p>
        </w:tc>
        <w:tc>
          <w:tcPr>
            <w:vAlign w:val="center"/>
          </w:tcPr>
          <w:p>
            <w:pPr>
              <w:jc w:val="right"/>
            </w:pPr>
            <w:r>
              <w:rPr>
                <w:color w:val="000000"/>
                <w:sz w:val="24"/>
                <w:szCs w:val="24"/>
              </w:rPr>
              <w:t>37,806,200.00</w:t>
            </w:r>
          </w:p>
        </w:tc>
        <w:tc>
          <w:tcPr>
            <w:vAlign w:val="center"/>
          </w:tcPr>
          <w:p>
            <w:pPr>
              <w:jc w:val="right"/>
            </w:pPr>
            <w:r>
              <w:rPr>
                <w:color w:val="000000"/>
                <w:sz w:val="24"/>
                <w:szCs w:val="24"/>
              </w:rPr>
              <w:t>1.25</w:t>
            </w:r>
          </w:p>
        </w:tc>
      </w:tr>
      <w:tr>
        <w:tc>
          <w:tcPr>
            <w:vAlign w:val="center"/>
          </w:tcPr>
          <w:p>
            <w:pPr>
              <w:jc w:val="center"/>
            </w:pPr>
            <w:r>
              <w:rPr>
                <w:color w:val="000000"/>
                <w:sz w:val="24"/>
                <w:szCs w:val="24"/>
              </w:rPr>
              <w:t>3</w:t>
            </w:r>
          </w:p>
        </w:tc>
        <w:tc>
          <w:tcPr>
            <w:vAlign w:val="center"/>
          </w:tcPr>
          <w:p>
            <w:pPr>
              <w:jc w:val="center"/>
            </w:pPr>
            <w:r>
              <w:rPr>
                <w:color w:val="000000"/>
                <w:sz w:val="24"/>
                <w:szCs w:val="24"/>
              </w:rPr>
              <w:t>180404</w:t>
            </w:r>
          </w:p>
        </w:tc>
        <w:tc>
          <w:tcPr>
            <w:vAlign w:val="center"/>
          </w:tcPr>
          <w:p>
            <w:pPr>
              <w:jc w:val="center"/>
            </w:pPr>
            <w:r>
              <w:rPr>
                <w:color w:val="000000"/>
                <w:sz w:val="24"/>
                <w:szCs w:val="24"/>
              </w:rPr>
              <w:t>18农发04</w:t>
            </w:r>
          </w:p>
        </w:tc>
        <w:tc>
          <w:tcPr>
            <w:vAlign w:val="center"/>
          </w:tcPr>
          <w:p>
            <w:pPr>
              <w:jc w:val="right"/>
            </w:pPr>
            <w:r>
              <w:rPr>
                <w:color w:val="000000"/>
                <w:sz w:val="24"/>
                <w:szCs w:val="24"/>
              </w:rPr>
              <w:t>200,000</w:t>
            </w:r>
          </w:p>
        </w:tc>
        <w:tc>
          <w:tcPr>
            <w:vAlign w:val="center"/>
          </w:tcPr>
          <w:p>
            <w:pPr>
              <w:jc w:val="right"/>
            </w:pPr>
            <w:r>
              <w:rPr>
                <w:color w:val="000000"/>
                <w:sz w:val="24"/>
                <w:szCs w:val="24"/>
              </w:rPr>
              <w:t>20,098,000.00</w:t>
            </w:r>
          </w:p>
        </w:tc>
        <w:tc>
          <w:tcPr>
            <w:vAlign w:val="center"/>
          </w:tcPr>
          <w:p>
            <w:pPr>
              <w:jc w:val="right"/>
            </w:pPr>
            <w:r>
              <w:rPr>
                <w:color w:val="000000"/>
                <w:sz w:val="24"/>
                <w:szCs w:val="24"/>
              </w:rPr>
              <w:t>0.66</w:t>
            </w:r>
          </w:p>
        </w:tc>
      </w:tr>
      <w:tr>
        <w:tc>
          <w:tcPr>
            <w:vAlign w:val="center"/>
          </w:tcPr>
          <w:p>
            <w:pPr>
              <w:jc w:val="center"/>
            </w:pPr>
            <w:r>
              <w:rPr>
                <w:color w:val="000000"/>
                <w:sz w:val="24"/>
                <w:szCs w:val="24"/>
              </w:rPr>
              <w:t>4</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530</w:t>
            </w:r>
          </w:p>
        </w:tc>
        <w:tc>
          <w:tcPr>
            <w:vAlign w:val="center"/>
          </w:tcPr>
          <w:p>
            <w:pPr>
              <w:jc w:val="right"/>
            </w:pPr>
            <w:r>
              <w:rPr>
                <w:color w:val="000000"/>
                <w:sz w:val="24"/>
                <w:szCs w:val="24"/>
              </w:rPr>
              <w:t>57,430.80</w:t>
            </w:r>
          </w:p>
        </w:tc>
        <w:tc>
          <w:tcPr>
            <w:vAlign w:val="center"/>
          </w:tcPr>
          <w:p>
            <w:pPr>
              <w:jc w:val="right"/>
            </w:pPr>
            <w:r>
              <w:rPr>
                <w:color w:val="000000"/>
                <w:sz w:val="24"/>
                <w:szCs w:val="24"/>
              </w:rPr>
              <w:t>0.00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1,014,226.40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20,536,496.63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1,941,100.96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13,024,145.04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36,515,969.03</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113011</w:t>
            </w:r>
          </w:p>
        </w:tc>
        <w:tc>
          <w:tcPr>
            <w:vAlign w:val="center"/>
          </w:tcPr>
          <w:p>
            <w:pPr>
              <w:jc w:val="center"/>
            </w:pPr>
            <w:r>
              <w:rPr>
                <w:color w:val="000000"/>
                <w:sz w:val="24"/>
                <w:szCs w:val="24"/>
              </w:rPr>
              <w:t>光大转债</w:t>
            </w:r>
          </w:p>
        </w:tc>
        <w:tc>
          <w:tcPr>
            <w:vAlign w:val="center"/>
          </w:tcPr>
          <w:p>
            <w:pPr>
              <w:jc w:val="right"/>
            </w:pPr>
            <w:r>
              <w:rPr>
                <w:color w:val="000000"/>
                <w:sz w:val="24"/>
                <w:szCs w:val="24"/>
              </w:rPr>
              <w:t>57,430.80</w:t>
            </w:r>
          </w:p>
        </w:tc>
        <w:tc>
          <w:tcPr>
            <w:vAlign w:val="center"/>
          </w:tcPr>
          <w:p>
            <w:pPr>
              <w:jc w:val="right"/>
            </w:pPr>
            <w:r>
              <w:rPr>
                <w:color w:val="000000"/>
                <w:sz w:val="24"/>
                <w:szCs w:val="24"/>
              </w:rPr>
              <w:t>0.00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18,876,000.00</w:t>
            </w:r>
          </w:p>
        </w:tc>
        <w:tc>
          <w:tcPr>
            <w:vAlign w:val="center"/>
          </w:tcPr>
          <w:p>
            <w:pPr>
              <w:jc w:val="right"/>
            </w:pPr>
            <w:r>
              <w:rPr>
                <w:color w:val="000000"/>
                <w:sz w:val="24"/>
                <w:szCs w:val="24"/>
              </w:rPr>
              <w:t>0.62</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842,054,701.56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820,210,053.26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129,078,276.73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1,533,186,478.09</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1、中国证监会核准交银施罗德阿尔法核心股票型证券投资基金募集的文件；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2、《交银施罗德阿尔法核心混合型证券投资基金基金合同》；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3、《交银施罗德阿尔法核心混合型证券投资基金招募说明书》； </w:t>
      </w:r>
    </w:p>
    <w:p>
      <w:pPr>
        <w:spacing w:before="29" w:line="288" w:lineRule="auto"/>
        <w:ind w:firstLine="480" w:firstLineChars="200"/>
        <w:rPr>
          <w:color w:val="000000"/>
          <w:sz w:val="24"/>
          <w:szCs w:val="24"/>
        </w:rPr>
      </w:pPr>
      <w:r>
        <w:rPr>
          <w:color w:val="000000"/>
          <w:sz w:val="24"/>
          <w:szCs w:val="24"/>
        </w:rPr>
        <w:t>4、《交银施罗德阿尔法核心混合型证券投资基金托管协议》；</w:t>
      </w:r>
    </w:p>
    <w:p>
      <w:pPr>
        <w:spacing w:before="29" w:line="288" w:lineRule="auto"/>
        <w:ind w:firstLine="480" w:firstLineChars="200"/>
        <w:rPr>
          <w:color w:val="000000"/>
          <w:sz w:val="24"/>
          <w:szCs w:val="24"/>
        </w:rPr>
      </w:pPr>
      <w:r>
        <w:rPr>
          <w:color w:val="000000"/>
          <w:sz w:val="24"/>
          <w:szCs w:val="24"/>
        </w:rPr>
        <w:t>5、关于募集交银施罗德阿尔法核心股票型证券投资基金之法律意见书；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8、报告期内交银施罗德阿尔法核心混合型证券投资基金在指定报刊上各项公告的原稿。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交银施罗德阿尔法核心混合型证券投资基金2018年第3季度报告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