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交银施罗德策略回报灵活配置混合型证券投资基金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688,403,379.31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通过“自上而下”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-36,005,653.77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-58,336,877.76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-0.1059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832,264,026.75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1.209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-9.30%</w:t>
            </w:r>
          </w:p>
        </w:tc>
        <w:tc>
          <w:tcPr>
            <w:vAlign w:val="center"/>
          </w:tcPr>
          <w:p>
            <w:pPr>
              <w:jc w:val="center"/>
            </w:pPr>
            <w:r>
              <w:rPr>
                <w:color w:val="000000"/>
                <w:sz w:val="24"/>
                <w:szCs w:val="24"/>
              </w:rPr>
              <w:t>1.35%</w:t>
            </w:r>
          </w:p>
        </w:tc>
        <w:tc>
          <w:tcPr>
            <w:vAlign w:val="center"/>
          </w:tcPr>
          <w:p>
            <w:pPr>
              <w:jc w:val="center"/>
            </w:pPr>
            <w:r>
              <w:rPr>
                <w:color w:val="000000"/>
                <w:sz w:val="24"/>
                <w:szCs w:val="24"/>
              </w:rPr>
              <w:t>-0.58%</w:t>
            </w:r>
          </w:p>
        </w:tc>
        <w:tc>
          <w:tcPr>
            <w:vAlign w:val="center"/>
          </w:tcPr>
          <w:p>
            <w:pPr>
              <w:jc w:val="center"/>
            </w:pPr>
            <w:r>
              <w:rPr>
                <w:color w:val="000000"/>
                <w:sz w:val="24"/>
                <w:szCs w:val="24"/>
              </w:rPr>
              <w:t>0.81%</w:t>
            </w:r>
          </w:p>
        </w:tc>
        <w:tc>
          <w:tcPr>
            <w:vAlign w:val="center"/>
          </w:tcPr>
          <w:p>
            <w:pPr>
              <w:jc w:val="center"/>
            </w:pPr>
            <w:r>
              <w:rPr>
                <w:color w:val="000000"/>
                <w:sz w:val="24"/>
                <w:szCs w:val="24"/>
              </w:rPr>
              <w:t>-8.72%</w:t>
            </w:r>
          </w:p>
        </w:tc>
        <w:tc>
          <w:tcPr>
            <w:vAlign w:val="center"/>
          </w:tcPr>
          <w:p>
            <w:pPr>
              <w:jc w:val="center"/>
            </w:pPr>
            <w:r>
              <w:rPr>
                <w:color w:val="000000"/>
                <w:sz w:val="24"/>
                <w:szCs w:val="24"/>
              </w:rPr>
              <w:t>0.54%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交银施罗德策略回报灵活配置混合型证券投资基金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安保本混合型证券投资基金转型而来。基金转型日为2015年6月27日。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2016-01-20</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2018年三季度，贸易战、人民币汇率等海外因素进入白热化阶段，海外资金对于A股的边际波动影响加大。虽然国内货币政策和财政政策在七月份出现拐点，但是真正传导到实体经济进而传导到资本市场还需要一定的时间。</w:t>
      </w:r>
    </w:p>
    <w:p>
      <w:pPr>
        <w:spacing w:before="29" w:line="288" w:lineRule="auto"/>
        <w:ind w:firstLine="480" w:firstLineChars="200"/>
        <w:rPr>
          <w:color w:val="000000"/>
          <w:sz w:val="24"/>
          <w:szCs w:val="24"/>
        </w:rPr>
      </w:pPr>
      <w:r>
        <w:rPr>
          <w:color w:val="000000"/>
          <w:sz w:val="24"/>
          <w:szCs w:val="24"/>
        </w:rPr>
        <w:t>本基金在三季度适度降低了整体仓位，特别是在九月份整体反弹的时候减持了部分后续可能持续下调盈利预测的白马股。九月份增加了地产股的配置比例，特别是一、二线占比较高的地产股，此类公司目前处于低预期下的低估值状态，现金流和分红收益率未来三年如果能够保持，将是较好的投资标的。</w:t>
      </w:r>
    </w:p>
    <w:p>
      <w:pPr>
        <w:spacing w:before="29" w:line="288" w:lineRule="auto"/>
        <w:ind w:firstLine="480" w:firstLineChars="200"/>
        <w:rPr>
          <w:color w:val="000000"/>
          <w:sz w:val="24"/>
          <w:szCs w:val="24"/>
        </w:rPr>
      </w:pPr>
      <w:r>
        <w:rPr>
          <w:color w:val="000000"/>
          <w:sz w:val="24"/>
          <w:szCs w:val="24"/>
        </w:rPr>
        <w:t>展望2018年四季度，在高油价、高信用风险的背景下，整个市场的流动性和风险偏好很难出现系统性上升，市场将继续出现小区间震荡向下的趋势，除非市场风险偏好出现明显上升或者事件性驱动，否则市场很难出现系统性上涨。由于降准等货币政策对冲了去杠杆的负面因素，整个宏观经济流动性压力并不大，但真正要影响到资本市场还需要一定时滞，年内货币政策的调整余地后续并不大。此外，年内财政政策仍然有进一步调整的空间，包括增值税的系统性调整，消费下乡细则的落地，短期效应虽然并不明显，但对国内消费会有长期的驱动利好。</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受制于整个宏观经济增速的放缓，三驾马车驱动下的大行业增速都会出现比较明显的放缓，细分子行业内部出现各个公司的分化，三季度增速较快的公司会比二季度更加稀缺，对个股研究的要求也会越来越高。本基金希望通过自下而上的分析，选择继续持有业绩和现金流持续好转的个股，特别三季度增速可能快于二季度的个股做重点配置。</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555,679,463.07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63.61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555,679,463.07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63.61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317,457,128.32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36.34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435,398.52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0.05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873,571,989.91</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366,218,668.59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23,459,616.60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134,880,934.50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16,980,360.42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5,928,882.96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8,211,000.00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555,679,463.07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66.77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2,701,979</w:t>
            </w:r>
          </w:p>
        </w:tc>
        <w:tc>
          <w:tcPr>
            <w:vAlign w:val="center"/>
          </w:tcPr>
          <w:p>
            <w:pPr>
              <w:jc w:val="right"/>
            </w:pPr>
            <w:r>
              <w:rPr>
                <w:color w:val="000000"/>
                <w:sz w:val="24"/>
                <w:szCs w:val="24"/>
              </w:rPr>
              <w:t>55,390,569.50</w:t>
            </w:r>
          </w:p>
        </w:tc>
        <w:tc>
          <w:tcPr>
            <w:vAlign w:val="center"/>
          </w:tcPr>
          <w:p>
            <w:pPr>
              <w:jc w:val="right"/>
            </w:pPr>
            <w:r>
              <w:rPr>
                <w:color w:val="000000"/>
                <w:sz w:val="24"/>
                <w:szCs w:val="24"/>
              </w:rPr>
              <w:t>6.66</w:t>
            </w:r>
          </w:p>
        </w:tc>
      </w:tr>
      <w:tr>
        <w:tc>
          <w:tcPr>
            <w:vAlign w:val="center"/>
          </w:tcPr>
          <w:p>
            <w:pPr>
              <w:jc w:val="center"/>
            </w:pPr>
            <w:r>
              <w:rPr>
                <w:color w:val="000000"/>
                <w:sz w:val="24"/>
                <w:szCs w:val="24"/>
              </w:rPr>
              <w:t>2</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71,740</w:t>
            </w:r>
          </w:p>
        </w:tc>
        <w:tc>
          <w:tcPr>
            <w:vAlign w:val="center"/>
          </w:tcPr>
          <w:p>
            <w:pPr>
              <w:jc w:val="right"/>
            </w:pPr>
            <w:r>
              <w:rPr>
                <w:color w:val="000000"/>
                <w:sz w:val="24"/>
                <w:szCs w:val="24"/>
              </w:rPr>
              <w:t>52,370,200.00</w:t>
            </w:r>
          </w:p>
        </w:tc>
        <w:tc>
          <w:tcPr>
            <w:vAlign w:val="center"/>
          </w:tcPr>
          <w:p>
            <w:pPr>
              <w:jc w:val="right"/>
            </w:pPr>
            <w:r>
              <w:rPr>
                <w:color w:val="000000"/>
                <w:sz w:val="24"/>
                <w:szCs w:val="24"/>
              </w:rPr>
              <w:t>6.29</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747,064</w:t>
            </w:r>
          </w:p>
        </w:tc>
        <w:tc>
          <w:tcPr>
            <w:vAlign w:val="center"/>
          </w:tcPr>
          <w:p>
            <w:pPr>
              <w:jc w:val="right"/>
            </w:pPr>
            <w:r>
              <w:rPr>
                <w:color w:val="000000"/>
                <w:sz w:val="24"/>
                <w:szCs w:val="24"/>
              </w:rPr>
              <w:t>50,762,998.80</w:t>
            </w:r>
          </w:p>
        </w:tc>
        <w:tc>
          <w:tcPr>
            <w:vAlign w:val="center"/>
          </w:tcPr>
          <w:p>
            <w:pPr>
              <w:jc w:val="right"/>
            </w:pPr>
            <w:r>
              <w:rPr>
                <w:color w:val="000000"/>
                <w:sz w:val="24"/>
                <w:szCs w:val="24"/>
              </w:rPr>
              <w:t>6.10</w:t>
            </w:r>
          </w:p>
        </w:tc>
      </w:tr>
      <w:tr>
        <w:tc>
          <w:tcPr>
            <w:vAlign w:val="center"/>
          </w:tcPr>
          <w:p>
            <w:pPr>
              <w:jc w:val="center"/>
            </w:pPr>
            <w:r>
              <w:rPr>
                <w:color w:val="000000"/>
                <w:sz w:val="24"/>
                <w:szCs w:val="24"/>
              </w:rPr>
              <w:t>4</w:t>
            </w:r>
          </w:p>
        </w:tc>
        <w:tc>
          <w:tcPr>
            <w:vAlign w:val="center"/>
          </w:tcPr>
          <w:p>
            <w:pPr>
              <w:jc w:val="center"/>
            </w:pPr>
            <w:r>
              <w:rPr>
                <w:color w:val="000000"/>
                <w:sz w:val="24"/>
                <w:szCs w:val="24"/>
              </w:rPr>
              <w:t>603808</w:t>
            </w:r>
          </w:p>
        </w:tc>
        <w:tc>
          <w:tcPr>
            <w:vAlign w:val="center"/>
          </w:tcPr>
          <w:p>
            <w:pPr>
              <w:jc w:val="center"/>
            </w:pPr>
            <w:r>
              <w:rPr>
                <w:color w:val="000000"/>
                <w:sz w:val="24"/>
                <w:szCs w:val="24"/>
              </w:rPr>
              <w:t>歌力思</w:t>
            </w:r>
          </w:p>
        </w:tc>
        <w:tc>
          <w:tcPr>
            <w:vAlign w:val="center"/>
          </w:tcPr>
          <w:p>
            <w:pPr>
              <w:jc w:val="right"/>
            </w:pPr>
            <w:r>
              <w:rPr>
                <w:color w:val="000000"/>
                <w:sz w:val="24"/>
                <w:szCs w:val="24"/>
              </w:rPr>
              <w:t>2,845,504</w:t>
            </w:r>
          </w:p>
        </w:tc>
        <w:tc>
          <w:tcPr>
            <w:vAlign w:val="center"/>
          </w:tcPr>
          <w:p>
            <w:pPr>
              <w:jc w:val="right"/>
            </w:pPr>
            <w:r>
              <w:rPr>
                <w:color w:val="000000"/>
                <w:sz w:val="24"/>
                <w:szCs w:val="24"/>
              </w:rPr>
              <w:t>49,796,320.00</w:t>
            </w:r>
          </w:p>
        </w:tc>
        <w:tc>
          <w:tcPr>
            <w:vAlign w:val="center"/>
          </w:tcPr>
          <w:p>
            <w:pPr>
              <w:jc w:val="right"/>
            </w:pPr>
            <w:r>
              <w:rPr>
                <w:color w:val="000000"/>
                <w:sz w:val="24"/>
                <w:szCs w:val="24"/>
              </w:rPr>
              <w:t>5.98</w:t>
            </w:r>
          </w:p>
        </w:tc>
      </w:tr>
      <w:tr>
        <w:tc>
          <w:tcPr>
            <w:vAlign w:val="center"/>
          </w:tcPr>
          <w:p>
            <w:pPr>
              <w:jc w:val="center"/>
            </w:pPr>
            <w:r>
              <w:rPr>
                <w:color w:val="000000"/>
                <w:sz w:val="24"/>
                <w:szCs w:val="24"/>
              </w:rPr>
              <w:t>5</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383,123</w:t>
            </w:r>
          </w:p>
        </w:tc>
        <w:tc>
          <w:tcPr>
            <w:vAlign w:val="center"/>
          </w:tcPr>
          <w:p>
            <w:pPr>
              <w:jc w:val="right"/>
            </w:pPr>
            <w:r>
              <w:rPr>
                <w:color w:val="000000"/>
                <w:sz w:val="24"/>
                <w:szCs w:val="24"/>
              </w:rPr>
              <w:t>49,039,744.00</w:t>
            </w:r>
          </w:p>
        </w:tc>
        <w:tc>
          <w:tcPr>
            <w:vAlign w:val="center"/>
          </w:tcPr>
          <w:p>
            <w:pPr>
              <w:jc w:val="right"/>
            </w:pPr>
            <w:r>
              <w:rPr>
                <w:color w:val="000000"/>
                <w:sz w:val="24"/>
                <w:szCs w:val="24"/>
              </w:rPr>
              <w:t>5.89</w:t>
            </w:r>
          </w:p>
        </w:tc>
      </w:tr>
      <w:tr>
        <w:tc>
          <w:tcPr>
            <w:vAlign w:val="center"/>
          </w:tcPr>
          <w:p>
            <w:pPr>
              <w:jc w:val="center"/>
            </w:pPr>
            <w:r>
              <w:rPr>
                <w:color w:val="000000"/>
                <w:sz w:val="24"/>
                <w:szCs w:val="24"/>
              </w:rPr>
              <w:t>6</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3,709,800</w:t>
            </w:r>
          </w:p>
        </w:tc>
        <w:tc>
          <w:tcPr>
            <w:vAlign w:val="center"/>
          </w:tcPr>
          <w:p>
            <w:pPr>
              <w:jc w:val="right"/>
            </w:pPr>
            <w:r>
              <w:rPr>
                <w:color w:val="000000"/>
                <w:sz w:val="24"/>
                <w:szCs w:val="24"/>
              </w:rPr>
              <w:t>45,148,266.00</w:t>
            </w:r>
          </w:p>
        </w:tc>
        <w:tc>
          <w:tcPr>
            <w:vAlign w:val="center"/>
          </w:tcPr>
          <w:p>
            <w:pPr>
              <w:jc w:val="right"/>
            </w:pPr>
            <w:r>
              <w:rPr>
                <w:color w:val="000000"/>
                <w:sz w:val="24"/>
                <w:szCs w:val="24"/>
              </w:rPr>
              <w:t>5.42</w:t>
            </w:r>
          </w:p>
        </w:tc>
      </w:tr>
      <w:tr>
        <w:tc>
          <w:tcPr>
            <w:vAlign w:val="center"/>
          </w:tcPr>
          <w:p>
            <w:pPr>
              <w:jc w:val="center"/>
            </w:pPr>
            <w:r>
              <w:rPr>
                <w:color w:val="000000"/>
                <w:sz w:val="24"/>
                <w:szCs w:val="24"/>
              </w:rPr>
              <w:t>7</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1,828,335</w:t>
            </w:r>
          </w:p>
        </w:tc>
        <w:tc>
          <w:tcPr>
            <w:vAlign w:val="center"/>
          </w:tcPr>
          <w:p>
            <w:pPr>
              <w:jc w:val="right"/>
            </w:pPr>
            <w:r>
              <w:rPr>
                <w:color w:val="000000"/>
                <w:sz w:val="24"/>
                <w:szCs w:val="24"/>
              </w:rPr>
              <w:t>44,428,540.50</w:t>
            </w:r>
          </w:p>
        </w:tc>
        <w:tc>
          <w:tcPr>
            <w:vAlign w:val="center"/>
          </w:tcPr>
          <w:p>
            <w:pPr>
              <w:jc w:val="right"/>
            </w:pPr>
            <w:r>
              <w:rPr>
                <w:color w:val="000000"/>
                <w:sz w:val="24"/>
                <w:szCs w:val="24"/>
              </w:rPr>
              <w:t>5.34</w:t>
            </w:r>
          </w:p>
        </w:tc>
      </w:tr>
      <w:tr>
        <w:tc>
          <w:tcPr>
            <w:vAlign w:val="center"/>
          </w:tcPr>
          <w:p>
            <w:pPr>
              <w:jc w:val="center"/>
            </w:pPr>
            <w:r>
              <w:rPr>
                <w:color w:val="000000"/>
                <w:sz w:val="24"/>
                <w:szCs w:val="24"/>
              </w:rPr>
              <w:t>8</w:t>
            </w:r>
          </w:p>
        </w:tc>
        <w:tc>
          <w:tcPr>
            <w:vAlign w:val="center"/>
          </w:tcPr>
          <w:p>
            <w:pPr>
              <w:jc w:val="center"/>
            </w:pPr>
            <w:r>
              <w:rPr>
                <w:color w:val="000000"/>
                <w:sz w:val="24"/>
                <w:szCs w:val="24"/>
              </w:rPr>
              <w:t>600559</w:t>
            </w:r>
          </w:p>
        </w:tc>
        <w:tc>
          <w:tcPr>
            <w:vAlign w:val="center"/>
          </w:tcPr>
          <w:p>
            <w:pPr>
              <w:jc w:val="center"/>
            </w:pPr>
            <w:r>
              <w:rPr>
                <w:color w:val="000000"/>
                <w:sz w:val="24"/>
                <w:szCs w:val="24"/>
              </w:rPr>
              <w:t>老白干酒</w:t>
            </w:r>
          </w:p>
        </w:tc>
        <w:tc>
          <w:tcPr>
            <w:vAlign w:val="center"/>
          </w:tcPr>
          <w:p>
            <w:pPr>
              <w:jc w:val="right"/>
            </w:pPr>
            <w:r>
              <w:rPr>
                <w:color w:val="000000"/>
                <w:sz w:val="24"/>
                <w:szCs w:val="24"/>
              </w:rPr>
              <w:t>1,639,419</w:t>
            </w:r>
          </w:p>
        </w:tc>
        <w:tc>
          <w:tcPr>
            <w:vAlign w:val="center"/>
          </w:tcPr>
          <w:p>
            <w:pPr>
              <w:jc w:val="right"/>
            </w:pPr>
            <w:r>
              <w:rPr>
                <w:color w:val="000000"/>
                <w:sz w:val="24"/>
                <w:szCs w:val="24"/>
              </w:rPr>
              <w:t>29,903,002.56</w:t>
            </w:r>
          </w:p>
        </w:tc>
        <w:tc>
          <w:tcPr>
            <w:vAlign w:val="center"/>
          </w:tcPr>
          <w:p>
            <w:pPr>
              <w:jc w:val="right"/>
            </w:pPr>
            <w:r>
              <w:rPr>
                <w:color w:val="000000"/>
                <w:sz w:val="24"/>
                <w:szCs w:val="24"/>
              </w:rPr>
              <w:t>3.59</w:t>
            </w:r>
          </w:p>
        </w:tc>
      </w:tr>
      <w:tr>
        <w:tc>
          <w:tcPr>
            <w:vAlign w:val="center"/>
          </w:tcPr>
          <w:p>
            <w:pPr>
              <w:jc w:val="center"/>
            </w:pPr>
            <w:r>
              <w:rPr>
                <w:color w:val="000000"/>
                <w:sz w:val="24"/>
                <w:szCs w:val="24"/>
              </w:rPr>
              <w:t>9</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1,103,400</w:t>
            </w:r>
          </w:p>
        </w:tc>
        <w:tc>
          <w:tcPr>
            <w:vAlign w:val="center"/>
          </w:tcPr>
          <w:p>
            <w:pPr>
              <w:jc w:val="right"/>
            </w:pPr>
            <w:r>
              <w:rPr>
                <w:color w:val="000000"/>
                <w:sz w:val="24"/>
                <w:szCs w:val="24"/>
              </w:rPr>
              <w:t>28,898,046.00</w:t>
            </w:r>
          </w:p>
        </w:tc>
        <w:tc>
          <w:tcPr>
            <w:vAlign w:val="center"/>
          </w:tcPr>
          <w:p>
            <w:pPr>
              <w:jc w:val="right"/>
            </w:pPr>
            <w:r>
              <w:rPr>
                <w:color w:val="000000"/>
                <w:sz w:val="24"/>
                <w:szCs w:val="24"/>
              </w:rPr>
              <w:t>3.47</w:t>
            </w:r>
          </w:p>
        </w:tc>
      </w:tr>
      <w:tr>
        <w:tc>
          <w:tcPr>
            <w:vAlign w:val="center"/>
          </w:tcPr>
          <w:p>
            <w:pPr>
              <w:jc w:val="center"/>
            </w:pPr>
            <w:r>
              <w:rPr>
                <w:color w:val="000000"/>
                <w:sz w:val="24"/>
                <w:szCs w:val="24"/>
              </w:rPr>
              <w:t>10</w:t>
            </w:r>
          </w:p>
        </w:tc>
        <w:tc>
          <w:tcPr>
            <w:vAlign w:val="center"/>
          </w:tcPr>
          <w:p>
            <w:pPr>
              <w:jc w:val="center"/>
            </w:pPr>
            <w:r>
              <w:rPr>
                <w:color w:val="000000"/>
                <w:sz w:val="24"/>
                <w:szCs w:val="24"/>
              </w:rPr>
              <w:t>000596</w:t>
            </w:r>
          </w:p>
        </w:tc>
        <w:tc>
          <w:tcPr>
            <w:vAlign w:val="center"/>
          </w:tcPr>
          <w:p>
            <w:pPr>
              <w:jc w:val="center"/>
            </w:pPr>
            <w:r>
              <w:rPr>
                <w:color w:val="000000"/>
                <w:sz w:val="24"/>
                <w:szCs w:val="24"/>
              </w:rPr>
              <w:t>古井贡酒</w:t>
            </w:r>
          </w:p>
        </w:tc>
        <w:tc>
          <w:tcPr>
            <w:vAlign w:val="center"/>
          </w:tcPr>
          <w:p>
            <w:pPr>
              <w:jc w:val="right"/>
            </w:pPr>
            <w:r>
              <w:rPr>
                <w:color w:val="000000"/>
                <w:sz w:val="24"/>
                <w:szCs w:val="24"/>
              </w:rPr>
              <w:t>305,505</w:t>
            </w:r>
          </w:p>
        </w:tc>
        <w:tc>
          <w:tcPr>
            <w:vAlign w:val="center"/>
          </w:tcPr>
          <w:p>
            <w:pPr>
              <w:jc w:val="right"/>
            </w:pPr>
            <w:r>
              <w:rPr>
                <w:color w:val="000000"/>
                <w:sz w:val="24"/>
                <w:szCs w:val="24"/>
              </w:rPr>
              <w:t>25,427,181.15</w:t>
            </w:r>
          </w:p>
        </w:tc>
        <w:tc>
          <w:tcPr>
            <w:vAlign w:val="center"/>
          </w:tcPr>
          <w:p>
            <w:pPr>
              <w:jc w:val="right"/>
            </w:pPr>
            <w:r>
              <w:rPr>
                <w:color w:val="000000"/>
                <w:sz w:val="24"/>
                <w:szCs w:val="24"/>
              </w:rPr>
              <w:t>3.06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211,512.67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73,170.26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150,715.59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435,398.52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552,021,035.86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194,615,981.66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58,233,638.21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688,403,379.31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2018/7/1-2018/9/30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172,561,691.11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172,561,691.11</w:t>
            </w:r>
          </w:p>
        </w:tc>
        <w:tc>
          <w:tcPr>
            <w:vAlign w:val="center"/>
          </w:tcPr>
          <w:p>
            <w:pPr>
              <w:jc w:val="center"/>
            </w:pPr>
            <w:r>
              <w:rPr>
                <w:rFonts w:ascii="宋体" w:hAnsi="宋体"/>
                <w:color w:val="000000"/>
                <w:kern w:val="0"/>
              </w:rPr>
              <w:t>25.07%</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1、中国证监会批准交银施罗德荣安保本混合型证券投资基金募集的文件；</w:t>
      </w:r>
    </w:p>
    <w:p>
      <w:pPr>
        <w:spacing w:before="29" w:line="288" w:lineRule="auto"/>
        <w:ind w:firstLine="480" w:firstLineChars="200"/>
        <w:rPr>
          <w:color w:val="000000"/>
          <w:sz w:val="24"/>
          <w:szCs w:val="24"/>
        </w:rPr>
      </w:pPr>
      <w:r>
        <w:rPr>
          <w:color w:val="000000"/>
          <w:sz w:val="24"/>
          <w:szCs w:val="24"/>
        </w:rPr>
        <w:t>2、《交银施罗德策略回报灵活配置混合型证券投资基金基金合同》；</w:t>
      </w:r>
    </w:p>
    <w:p>
      <w:pPr>
        <w:spacing w:before="29" w:line="288" w:lineRule="auto"/>
        <w:ind w:firstLine="480" w:firstLineChars="200"/>
        <w:rPr>
          <w:color w:val="000000"/>
          <w:sz w:val="24"/>
          <w:szCs w:val="24"/>
        </w:rPr>
      </w:pPr>
      <w:r>
        <w:rPr>
          <w:color w:val="000000"/>
          <w:sz w:val="24"/>
          <w:szCs w:val="24"/>
        </w:rPr>
        <w:t>3、《交银施罗德策略回报灵活配置混合型证券投资基金招募说明书》；</w:t>
      </w:r>
    </w:p>
    <w:p>
      <w:pPr>
        <w:spacing w:before="29" w:line="288" w:lineRule="auto"/>
        <w:ind w:firstLine="480" w:firstLineChars="200"/>
        <w:rPr>
          <w:color w:val="000000"/>
          <w:sz w:val="24"/>
          <w:szCs w:val="24"/>
        </w:rPr>
      </w:pPr>
      <w:r>
        <w:rPr>
          <w:color w:val="000000"/>
          <w:sz w:val="24"/>
          <w:szCs w:val="24"/>
        </w:rPr>
        <w:t>4、《交银施罗德策略回报灵活配置混合型证券投资基金托管协议》；</w:t>
      </w:r>
    </w:p>
    <w:p>
      <w:pPr>
        <w:spacing w:before="29" w:line="288" w:lineRule="auto"/>
        <w:ind w:firstLine="480" w:firstLineChars="200"/>
        <w:rPr>
          <w:color w:val="000000"/>
          <w:sz w:val="24"/>
          <w:szCs w:val="24"/>
        </w:rPr>
      </w:pPr>
      <w:r>
        <w:rPr>
          <w:color w:val="000000"/>
          <w:sz w:val="24"/>
          <w:szCs w:val="24"/>
        </w:rPr>
        <w:t>5、《交银施罗德荣安保本混合型证券投资基金基金合同》；</w:t>
      </w:r>
    </w:p>
    <w:p>
      <w:pPr>
        <w:spacing w:before="29" w:line="288" w:lineRule="auto"/>
        <w:ind w:firstLine="480" w:firstLineChars="200"/>
        <w:rPr>
          <w:color w:val="000000"/>
          <w:sz w:val="24"/>
          <w:szCs w:val="24"/>
        </w:rPr>
      </w:pPr>
      <w:r>
        <w:rPr>
          <w:color w:val="000000"/>
          <w:sz w:val="24"/>
          <w:szCs w:val="24"/>
        </w:rPr>
        <w:t>6、《交银施罗德荣安保本混合型证券投资基金招募说明书》；</w:t>
      </w:r>
    </w:p>
    <w:p>
      <w:pPr>
        <w:spacing w:before="29" w:line="288" w:lineRule="auto"/>
        <w:ind w:firstLine="480" w:firstLineChars="200"/>
        <w:rPr>
          <w:color w:val="000000"/>
          <w:sz w:val="24"/>
          <w:szCs w:val="24"/>
        </w:rPr>
      </w:pPr>
      <w:r>
        <w:rPr>
          <w:color w:val="000000"/>
          <w:sz w:val="24"/>
          <w:szCs w:val="24"/>
        </w:rPr>
        <w:t>7、《交银施罗德荣安保本混合型证券投资基金托管协议》；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8、《交银施罗德荣安保本混合型证券投资基金保证合同》；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11、关于申请募集交银施罗德荣安保本混合型证券投资基金之法律意见书；</w:t>
      </w:r>
    </w:p>
    <w:p>
      <w:pPr>
        <w:spacing w:before="29" w:line="288" w:lineRule="auto"/>
        <w:ind w:firstLine="480" w:firstLineChars="200"/>
        <w:rPr>
          <w:color w:val="000000"/>
          <w:sz w:val="24"/>
          <w:szCs w:val="24"/>
        </w:rPr>
      </w:pPr>
      <w:r>
        <w:rPr>
          <w:color w:val="000000"/>
          <w:sz w:val="24"/>
          <w:szCs w:val="24"/>
        </w:rPr>
        <w:t>12、关于修改《交银施罗德荣安保本混合型证券投资基金基金合同》的法律意见；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13、报告期内交银施罗德策略回报灵活配置混合型证券投资基金在指定报刊上各项公告的原稿。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交银施罗德策略回报灵活配置混合型证券投资基金2018年第3季度报告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