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二〇一八年十月二十六日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0C2F06" w:rsidRDefault="00D638A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C2F06" w:rsidRDefault="00D638A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C2F06" w:rsidRDefault="00D638A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C2F06" w:rsidRDefault="00D638A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C2F06" w:rsidRDefault="00D638A1">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42,781,098.20</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D638A1" w:rsidRPr="00324C76" w:rsidTr="00D63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D638A1" w:rsidRPr="00324C76" w:rsidTr="00D63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-191,889.26</w:t>
            </w:r>
          </w:p>
        </w:tc>
      </w:tr>
      <w:tr w:rsidR="00D638A1" w:rsidRPr="00324C76" w:rsidTr="00D63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-5,403,690.87</w:t>
            </w:r>
          </w:p>
        </w:tc>
      </w:tr>
      <w:tr w:rsidR="00D638A1" w:rsidRPr="00324C76" w:rsidTr="00D63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-0.1283</w:t>
            </w:r>
          </w:p>
        </w:tc>
      </w:tr>
      <w:tr w:rsidR="00D638A1" w:rsidRPr="00324C76" w:rsidTr="00D63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61,702,039.74</w:t>
            </w:r>
          </w:p>
        </w:tc>
      </w:tr>
      <w:tr w:rsidR="00D638A1" w:rsidRPr="00324C76" w:rsidTr="00D638A1">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1.442</w:t>
            </w:r>
          </w:p>
        </w:tc>
      </w:tr>
    </w:tbl>
    <w:p w:rsidR="000C2F06" w:rsidRDefault="00D638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0C2F06">
        <w:trPr>
          <w:jc w:val="center"/>
        </w:trPr>
        <w:tc>
          <w:tcPr>
            <w:tcW w:w="1469" w:type="dxa"/>
            <w:vAlign w:val="center"/>
          </w:tcPr>
          <w:p w:rsidR="000C2F06" w:rsidRDefault="00D638A1">
            <w:pPr>
              <w:jc w:val="left"/>
            </w:pPr>
            <w:r>
              <w:rPr>
                <w:color w:val="000000"/>
                <w:sz w:val="24"/>
              </w:rPr>
              <w:t>过去三个月</w:t>
            </w:r>
          </w:p>
        </w:tc>
        <w:tc>
          <w:tcPr>
            <w:tcW w:w="1150" w:type="dxa"/>
            <w:vAlign w:val="center"/>
          </w:tcPr>
          <w:p w:rsidR="000C2F06" w:rsidRDefault="00D638A1">
            <w:pPr>
              <w:jc w:val="center"/>
            </w:pPr>
            <w:r>
              <w:rPr>
                <w:color w:val="000000"/>
                <w:sz w:val="24"/>
              </w:rPr>
              <w:t>-8.27%</w:t>
            </w:r>
          </w:p>
        </w:tc>
        <w:tc>
          <w:tcPr>
            <w:tcW w:w="1223" w:type="dxa"/>
            <w:vAlign w:val="center"/>
          </w:tcPr>
          <w:p w:rsidR="000C2F06" w:rsidRDefault="00D638A1">
            <w:pPr>
              <w:jc w:val="center"/>
            </w:pPr>
            <w:r>
              <w:rPr>
                <w:color w:val="000000"/>
                <w:sz w:val="24"/>
              </w:rPr>
              <w:t>1.39%</w:t>
            </w:r>
          </w:p>
        </w:tc>
        <w:tc>
          <w:tcPr>
            <w:tcW w:w="1244" w:type="dxa"/>
            <w:vAlign w:val="center"/>
          </w:tcPr>
          <w:p w:rsidR="000C2F06" w:rsidRDefault="00D638A1">
            <w:pPr>
              <w:jc w:val="center"/>
            </w:pPr>
            <w:r>
              <w:rPr>
                <w:color w:val="000000"/>
                <w:sz w:val="24"/>
              </w:rPr>
              <w:t>-8.86%</w:t>
            </w:r>
          </w:p>
        </w:tc>
        <w:tc>
          <w:tcPr>
            <w:tcW w:w="1251" w:type="dxa"/>
            <w:vAlign w:val="center"/>
          </w:tcPr>
          <w:p w:rsidR="000C2F06" w:rsidRDefault="00D638A1">
            <w:pPr>
              <w:jc w:val="center"/>
            </w:pPr>
            <w:r>
              <w:rPr>
                <w:color w:val="000000"/>
                <w:sz w:val="24"/>
              </w:rPr>
              <w:t>1.44%</w:t>
            </w:r>
          </w:p>
        </w:tc>
        <w:tc>
          <w:tcPr>
            <w:tcW w:w="1263" w:type="dxa"/>
            <w:vAlign w:val="center"/>
          </w:tcPr>
          <w:p w:rsidR="000C2F06" w:rsidRDefault="00D638A1">
            <w:pPr>
              <w:jc w:val="center"/>
            </w:pPr>
            <w:r>
              <w:rPr>
                <w:color w:val="000000"/>
                <w:sz w:val="24"/>
              </w:rPr>
              <w:t>0.59%</w:t>
            </w:r>
          </w:p>
        </w:tc>
        <w:tc>
          <w:tcPr>
            <w:tcW w:w="1268" w:type="dxa"/>
            <w:vAlign w:val="center"/>
          </w:tcPr>
          <w:p w:rsidR="000C2F06" w:rsidRDefault="00D638A1">
            <w:pPr>
              <w:jc w:val="center"/>
            </w:pPr>
            <w:r>
              <w:rPr>
                <w:color w:val="000000"/>
                <w:sz w:val="24"/>
              </w:rPr>
              <w:t>-0.05%</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lastRenderedPageBreak/>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0C2F06">
        <w:trPr>
          <w:jc w:val="center"/>
        </w:trPr>
        <w:tc>
          <w:tcPr>
            <w:tcW w:w="846" w:type="dxa"/>
            <w:vAlign w:val="center"/>
          </w:tcPr>
          <w:p w:rsidR="000C2F06" w:rsidRDefault="00D638A1">
            <w:pPr>
              <w:jc w:val="center"/>
            </w:pPr>
            <w:r>
              <w:rPr>
                <w:color w:val="000000"/>
                <w:sz w:val="24"/>
              </w:rPr>
              <w:t>蔡铮</w:t>
            </w:r>
          </w:p>
        </w:tc>
        <w:tc>
          <w:tcPr>
            <w:tcW w:w="845" w:type="dxa"/>
            <w:vAlign w:val="center"/>
          </w:tcPr>
          <w:p w:rsidR="000C2F06" w:rsidRDefault="00D638A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w:t>
            </w:r>
            <w:r>
              <w:rPr>
                <w:color w:val="000000"/>
                <w:sz w:val="24"/>
              </w:rPr>
              <w:lastRenderedPageBreak/>
              <w:t>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w:t>
            </w:r>
            <w:r>
              <w:rPr>
                <w:color w:val="000000"/>
                <w:sz w:val="24"/>
              </w:rPr>
              <w:lastRenderedPageBreak/>
              <w:t>监</w:t>
            </w:r>
          </w:p>
        </w:tc>
        <w:tc>
          <w:tcPr>
            <w:tcW w:w="1549" w:type="dxa"/>
            <w:vAlign w:val="center"/>
          </w:tcPr>
          <w:p w:rsidR="000C2F06" w:rsidRDefault="00D638A1">
            <w:pPr>
              <w:jc w:val="center"/>
            </w:pPr>
            <w:r>
              <w:rPr>
                <w:color w:val="000000"/>
                <w:sz w:val="24"/>
              </w:rPr>
              <w:lastRenderedPageBreak/>
              <w:t>2012-12-27</w:t>
            </w:r>
          </w:p>
        </w:tc>
        <w:tc>
          <w:tcPr>
            <w:tcW w:w="1548" w:type="dxa"/>
            <w:vAlign w:val="center"/>
          </w:tcPr>
          <w:p w:rsidR="000C2F06" w:rsidRDefault="00D638A1">
            <w:pPr>
              <w:jc w:val="center"/>
            </w:pPr>
            <w:r>
              <w:rPr>
                <w:color w:val="000000"/>
                <w:sz w:val="24"/>
              </w:rPr>
              <w:t>-</w:t>
            </w:r>
          </w:p>
        </w:tc>
        <w:tc>
          <w:tcPr>
            <w:tcW w:w="1407" w:type="dxa"/>
            <w:vAlign w:val="center"/>
          </w:tcPr>
          <w:p w:rsidR="000C2F06" w:rsidRDefault="00D638A1">
            <w:pPr>
              <w:jc w:val="center"/>
            </w:pPr>
            <w:r>
              <w:rPr>
                <w:color w:val="000000"/>
                <w:sz w:val="24"/>
              </w:rPr>
              <w:t>9</w:t>
            </w:r>
            <w:r>
              <w:rPr>
                <w:color w:val="000000"/>
                <w:sz w:val="24"/>
              </w:rPr>
              <w:t>年</w:t>
            </w:r>
          </w:p>
        </w:tc>
        <w:tc>
          <w:tcPr>
            <w:tcW w:w="2673" w:type="dxa"/>
            <w:vAlign w:val="center"/>
          </w:tcPr>
          <w:p w:rsidR="000C2F06" w:rsidRDefault="00D638A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w:t>
            </w:r>
            <w:r>
              <w:rPr>
                <w:color w:val="000000"/>
                <w:sz w:val="24"/>
              </w:rPr>
              <w:lastRenderedPageBreak/>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0C2F06" w:rsidRDefault="00D638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2F06" w:rsidRDefault="00D638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2F06" w:rsidRDefault="00D638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0C2F06" w:rsidRDefault="00D638A1">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年三季度国内经济回落趋势显现，与此对应的托底政策也不断出台，但受到中美贸易摩擦反复加剧、美元加息、汇率波动等各因素频发的负面影响，三季度</w:t>
      </w:r>
      <w:r>
        <w:rPr>
          <w:color w:val="000000"/>
          <w:sz w:val="24"/>
        </w:rPr>
        <w:t>A</w:t>
      </w:r>
      <w:r>
        <w:rPr>
          <w:color w:val="000000"/>
          <w:sz w:val="24"/>
        </w:rPr>
        <w:t>股</w:t>
      </w:r>
      <w:r>
        <w:rPr>
          <w:color w:val="000000"/>
          <w:sz w:val="24"/>
        </w:rPr>
        <w:lastRenderedPageBreak/>
        <w:t>市场波动加大，表现出阶段性下行。作为跟踪基准指数的指数基金，三季度基金总体呈现出震荡的走势。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324C76">
        <w:rPr>
          <w:color w:val="000000"/>
          <w:sz w:val="24"/>
        </w:rPr>
        <w:t>A</w:t>
      </w:r>
      <w:r w:rsidRPr="00324C76">
        <w:rPr>
          <w:color w:val="000000"/>
          <w:sz w:val="24"/>
        </w:rPr>
        <w:t>股市场仍维持谨慎中性的看法。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1,864,792.00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2.94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1,864,792.00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2.94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56,123,812.50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88.42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330D14">
            <w:pPr>
              <w:spacing w:before="29" w:line="360" w:lineRule="auto"/>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w:t>
            </w:r>
            <w:r w:rsidRPr="00AE0465">
              <w:rPr>
                <w:rFonts w:eastAsiaTheme="minorEastAsia"/>
                <w:color w:val="000000" w:themeColor="text1"/>
                <w:sz w:val="24"/>
              </w:rPr>
              <w:lastRenderedPageBreak/>
              <w:t>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lastRenderedPageBreak/>
              <w:t>5,459,092.24</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8.60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28,433.27</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63,476,130.01</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0C2F06">
        <w:trPr>
          <w:jc w:val="center"/>
        </w:trPr>
        <w:tc>
          <w:tcPr>
            <w:tcW w:w="1265" w:type="dxa"/>
            <w:vAlign w:val="center"/>
          </w:tcPr>
          <w:p w:rsidR="000C2F06" w:rsidRDefault="00D638A1">
            <w:pPr>
              <w:jc w:val="center"/>
            </w:pPr>
            <w:r>
              <w:rPr>
                <w:sz w:val="24"/>
              </w:rPr>
              <w:t>1</w:t>
            </w:r>
          </w:p>
        </w:tc>
        <w:tc>
          <w:tcPr>
            <w:tcW w:w="1266" w:type="dxa"/>
            <w:vAlign w:val="center"/>
          </w:tcPr>
          <w:p w:rsidR="000C2F06" w:rsidRDefault="00D638A1">
            <w:pPr>
              <w:jc w:val="center"/>
            </w:pPr>
            <w:r>
              <w:rPr>
                <w:sz w:val="24"/>
              </w:rPr>
              <w:t>深证</w:t>
            </w:r>
            <w:r>
              <w:rPr>
                <w:sz w:val="24"/>
              </w:rPr>
              <w:t>300</w:t>
            </w:r>
            <w:r>
              <w:rPr>
                <w:sz w:val="24"/>
              </w:rPr>
              <w:t>价值交易型开放式指数证券投资基金</w:t>
            </w:r>
          </w:p>
        </w:tc>
        <w:tc>
          <w:tcPr>
            <w:tcW w:w="1267" w:type="dxa"/>
            <w:vAlign w:val="center"/>
          </w:tcPr>
          <w:p w:rsidR="000C2F06" w:rsidRDefault="00D638A1">
            <w:pPr>
              <w:jc w:val="center"/>
            </w:pPr>
            <w:r>
              <w:rPr>
                <w:sz w:val="24"/>
              </w:rPr>
              <w:t>股票型</w:t>
            </w:r>
          </w:p>
        </w:tc>
        <w:tc>
          <w:tcPr>
            <w:tcW w:w="1267" w:type="dxa"/>
            <w:vAlign w:val="center"/>
          </w:tcPr>
          <w:p w:rsidR="000C2F06" w:rsidRDefault="00D638A1">
            <w:pPr>
              <w:jc w:val="center"/>
            </w:pPr>
            <w:r>
              <w:rPr>
                <w:sz w:val="24"/>
              </w:rPr>
              <w:t>交易型开放式</w:t>
            </w:r>
          </w:p>
        </w:tc>
        <w:tc>
          <w:tcPr>
            <w:tcW w:w="1267" w:type="dxa"/>
            <w:vAlign w:val="center"/>
          </w:tcPr>
          <w:p w:rsidR="000C2F06" w:rsidRDefault="00D638A1">
            <w:pPr>
              <w:jc w:val="center"/>
            </w:pPr>
            <w:r>
              <w:rPr>
                <w:sz w:val="24"/>
              </w:rPr>
              <w:t>交银施罗德基金管理有限公司</w:t>
            </w:r>
          </w:p>
        </w:tc>
        <w:tc>
          <w:tcPr>
            <w:tcW w:w="1268" w:type="dxa"/>
            <w:vAlign w:val="center"/>
          </w:tcPr>
          <w:p w:rsidR="000C2F06" w:rsidRDefault="00D638A1">
            <w:pPr>
              <w:jc w:val="right"/>
            </w:pPr>
            <w:r>
              <w:rPr>
                <w:sz w:val="24"/>
              </w:rPr>
              <w:t>56,123,812.50</w:t>
            </w:r>
          </w:p>
        </w:tc>
        <w:tc>
          <w:tcPr>
            <w:tcW w:w="1268" w:type="dxa"/>
            <w:vAlign w:val="center"/>
          </w:tcPr>
          <w:p w:rsidR="000C2F06" w:rsidRDefault="00D638A1">
            <w:pPr>
              <w:jc w:val="right"/>
            </w:pPr>
            <w:r>
              <w:rPr>
                <w:sz w:val="24"/>
              </w:rPr>
              <w:t>90.96</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90,026.00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16,627.00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1,123,464.00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29,798.00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16,036.00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48,147.00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4,265.00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13,390.00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167,236.00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287,759.00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32,844.00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35,200.00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1,864,792.00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3.02</w:t>
            </w:r>
          </w:p>
        </w:tc>
      </w:tr>
    </w:tbl>
    <w:p w:rsidR="006D654B" w:rsidRDefault="006D654B"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0C2F06">
        <w:trPr>
          <w:jc w:val="center"/>
        </w:trPr>
        <w:tc>
          <w:tcPr>
            <w:tcW w:w="849" w:type="dxa"/>
            <w:vAlign w:val="center"/>
          </w:tcPr>
          <w:p w:rsidR="000C2F06" w:rsidRDefault="00D638A1">
            <w:pPr>
              <w:jc w:val="center"/>
            </w:pPr>
            <w:r>
              <w:rPr>
                <w:color w:val="000000"/>
                <w:sz w:val="24"/>
              </w:rPr>
              <w:t>1</w:t>
            </w:r>
          </w:p>
        </w:tc>
        <w:tc>
          <w:tcPr>
            <w:tcW w:w="1327" w:type="dxa"/>
            <w:vAlign w:val="center"/>
          </w:tcPr>
          <w:p w:rsidR="000C2F06" w:rsidRDefault="00D638A1">
            <w:pPr>
              <w:jc w:val="center"/>
            </w:pPr>
            <w:r>
              <w:rPr>
                <w:color w:val="000000"/>
                <w:sz w:val="24"/>
              </w:rPr>
              <w:t>000651</w:t>
            </w:r>
          </w:p>
        </w:tc>
        <w:tc>
          <w:tcPr>
            <w:tcW w:w="1621" w:type="dxa"/>
            <w:vAlign w:val="center"/>
          </w:tcPr>
          <w:p w:rsidR="000C2F06" w:rsidRDefault="00D638A1">
            <w:pPr>
              <w:jc w:val="center"/>
            </w:pPr>
            <w:r>
              <w:rPr>
                <w:color w:val="000000"/>
                <w:sz w:val="24"/>
              </w:rPr>
              <w:t>格力电器</w:t>
            </w:r>
          </w:p>
        </w:tc>
        <w:tc>
          <w:tcPr>
            <w:tcW w:w="1769" w:type="dxa"/>
            <w:vAlign w:val="center"/>
          </w:tcPr>
          <w:p w:rsidR="000C2F06" w:rsidRDefault="00D638A1">
            <w:pPr>
              <w:jc w:val="right"/>
            </w:pPr>
            <w:r>
              <w:rPr>
                <w:color w:val="000000"/>
                <w:sz w:val="24"/>
              </w:rPr>
              <w:t>4,000</w:t>
            </w:r>
          </w:p>
        </w:tc>
        <w:tc>
          <w:tcPr>
            <w:tcW w:w="2211" w:type="dxa"/>
            <w:vAlign w:val="center"/>
          </w:tcPr>
          <w:p w:rsidR="000C2F06" w:rsidRDefault="00D638A1">
            <w:pPr>
              <w:jc w:val="right"/>
            </w:pPr>
            <w:r>
              <w:rPr>
                <w:color w:val="000000"/>
                <w:sz w:val="24"/>
              </w:rPr>
              <w:t>160,800.00</w:t>
            </w:r>
          </w:p>
        </w:tc>
        <w:tc>
          <w:tcPr>
            <w:tcW w:w="1091" w:type="dxa"/>
            <w:vAlign w:val="center"/>
          </w:tcPr>
          <w:p w:rsidR="000C2F06" w:rsidRDefault="00D638A1">
            <w:pPr>
              <w:jc w:val="right"/>
            </w:pPr>
            <w:r>
              <w:rPr>
                <w:color w:val="000000"/>
                <w:sz w:val="24"/>
              </w:rPr>
              <w:t>0.26</w:t>
            </w:r>
          </w:p>
        </w:tc>
      </w:tr>
      <w:tr w:rsidR="000C2F06">
        <w:trPr>
          <w:jc w:val="center"/>
        </w:trPr>
        <w:tc>
          <w:tcPr>
            <w:tcW w:w="849" w:type="dxa"/>
            <w:vAlign w:val="center"/>
          </w:tcPr>
          <w:p w:rsidR="000C2F06" w:rsidRDefault="00D638A1">
            <w:pPr>
              <w:jc w:val="center"/>
            </w:pPr>
            <w:r>
              <w:rPr>
                <w:color w:val="000000"/>
                <w:sz w:val="24"/>
              </w:rPr>
              <w:t>2</w:t>
            </w:r>
          </w:p>
        </w:tc>
        <w:tc>
          <w:tcPr>
            <w:tcW w:w="1327" w:type="dxa"/>
            <w:vAlign w:val="center"/>
          </w:tcPr>
          <w:p w:rsidR="000C2F06" w:rsidRDefault="00D638A1">
            <w:pPr>
              <w:jc w:val="center"/>
            </w:pPr>
            <w:r>
              <w:rPr>
                <w:color w:val="000000"/>
                <w:sz w:val="24"/>
              </w:rPr>
              <w:t>000858</w:t>
            </w:r>
          </w:p>
        </w:tc>
        <w:tc>
          <w:tcPr>
            <w:tcW w:w="1621" w:type="dxa"/>
            <w:vAlign w:val="center"/>
          </w:tcPr>
          <w:p w:rsidR="000C2F06" w:rsidRDefault="00D638A1">
            <w:pPr>
              <w:jc w:val="center"/>
            </w:pPr>
            <w:r>
              <w:rPr>
                <w:color w:val="000000"/>
                <w:sz w:val="24"/>
              </w:rPr>
              <w:t>五粮液</w:t>
            </w:r>
          </w:p>
        </w:tc>
        <w:tc>
          <w:tcPr>
            <w:tcW w:w="1769" w:type="dxa"/>
            <w:vAlign w:val="center"/>
          </w:tcPr>
          <w:p w:rsidR="000C2F06" w:rsidRDefault="00D638A1">
            <w:pPr>
              <w:jc w:val="right"/>
            </w:pPr>
            <w:r>
              <w:rPr>
                <w:color w:val="000000"/>
                <w:sz w:val="24"/>
              </w:rPr>
              <w:t>1,500</w:t>
            </w:r>
          </w:p>
        </w:tc>
        <w:tc>
          <w:tcPr>
            <w:tcW w:w="2211" w:type="dxa"/>
            <w:vAlign w:val="center"/>
          </w:tcPr>
          <w:p w:rsidR="000C2F06" w:rsidRDefault="00D638A1">
            <w:pPr>
              <w:jc w:val="right"/>
            </w:pPr>
            <w:r>
              <w:rPr>
                <w:color w:val="000000"/>
                <w:sz w:val="24"/>
              </w:rPr>
              <w:t>101,925.00</w:t>
            </w:r>
          </w:p>
        </w:tc>
        <w:tc>
          <w:tcPr>
            <w:tcW w:w="1091" w:type="dxa"/>
            <w:vAlign w:val="center"/>
          </w:tcPr>
          <w:p w:rsidR="000C2F06" w:rsidRDefault="00D638A1">
            <w:pPr>
              <w:jc w:val="right"/>
            </w:pPr>
            <w:r>
              <w:rPr>
                <w:color w:val="000000"/>
                <w:sz w:val="24"/>
              </w:rPr>
              <w:t>0.17</w:t>
            </w:r>
          </w:p>
        </w:tc>
      </w:tr>
      <w:tr w:rsidR="000C2F06">
        <w:trPr>
          <w:jc w:val="center"/>
        </w:trPr>
        <w:tc>
          <w:tcPr>
            <w:tcW w:w="849" w:type="dxa"/>
            <w:vAlign w:val="center"/>
          </w:tcPr>
          <w:p w:rsidR="000C2F06" w:rsidRDefault="00D638A1">
            <w:pPr>
              <w:jc w:val="center"/>
            </w:pPr>
            <w:r>
              <w:rPr>
                <w:color w:val="000000"/>
                <w:sz w:val="24"/>
              </w:rPr>
              <w:t>3</w:t>
            </w:r>
          </w:p>
        </w:tc>
        <w:tc>
          <w:tcPr>
            <w:tcW w:w="1327" w:type="dxa"/>
            <w:vAlign w:val="center"/>
          </w:tcPr>
          <w:p w:rsidR="000C2F06" w:rsidRDefault="00D638A1">
            <w:pPr>
              <w:jc w:val="center"/>
            </w:pPr>
            <w:r>
              <w:rPr>
                <w:color w:val="000000"/>
                <w:sz w:val="24"/>
              </w:rPr>
              <w:t>000540</w:t>
            </w:r>
          </w:p>
        </w:tc>
        <w:tc>
          <w:tcPr>
            <w:tcW w:w="1621" w:type="dxa"/>
            <w:vAlign w:val="center"/>
          </w:tcPr>
          <w:p w:rsidR="000C2F06" w:rsidRDefault="00D638A1">
            <w:pPr>
              <w:jc w:val="center"/>
            </w:pPr>
            <w:r>
              <w:rPr>
                <w:color w:val="000000"/>
                <w:sz w:val="24"/>
              </w:rPr>
              <w:t>中天金融</w:t>
            </w:r>
          </w:p>
        </w:tc>
        <w:tc>
          <w:tcPr>
            <w:tcW w:w="1769" w:type="dxa"/>
            <w:vAlign w:val="center"/>
          </w:tcPr>
          <w:p w:rsidR="000C2F06" w:rsidRDefault="00D638A1">
            <w:pPr>
              <w:jc w:val="right"/>
            </w:pPr>
            <w:r>
              <w:rPr>
                <w:color w:val="000000"/>
                <w:sz w:val="24"/>
              </w:rPr>
              <w:t>19,900</w:t>
            </w:r>
          </w:p>
        </w:tc>
        <w:tc>
          <w:tcPr>
            <w:tcW w:w="2211" w:type="dxa"/>
            <w:vAlign w:val="center"/>
          </w:tcPr>
          <w:p w:rsidR="000C2F06" w:rsidRDefault="00D638A1">
            <w:pPr>
              <w:jc w:val="right"/>
            </w:pPr>
            <w:r>
              <w:rPr>
                <w:color w:val="000000"/>
                <w:sz w:val="24"/>
              </w:rPr>
              <w:t>96,913.00</w:t>
            </w:r>
          </w:p>
        </w:tc>
        <w:tc>
          <w:tcPr>
            <w:tcW w:w="1091" w:type="dxa"/>
            <w:vAlign w:val="center"/>
          </w:tcPr>
          <w:p w:rsidR="000C2F06" w:rsidRDefault="00D638A1">
            <w:pPr>
              <w:jc w:val="right"/>
            </w:pPr>
            <w:r>
              <w:rPr>
                <w:color w:val="000000"/>
                <w:sz w:val="24"/>
              </w:rPr>
              <w:t>0.16</w:t>
            </w:r>
          </w:p>
        </w:tc>
      </w:tr>
      <w:tr w:rsidR="000C2F06">
        <w:trPr>
          <w:jc w:val="center"/>
        </w:trPr>
        <w:tc>
          <w:tcPr>
            <w:tcW w:w="849" w:type="dxa"/>
            <w:vAlign w:val="center"/>
          </w:tcPr>
          <w:p w:rsidR="000C2F06" w:rsidRDefault="00D638A1">
            <w:pPr>
              <w:jc w:val="center"/>
            </w:pPr>
            <w:r>
              <w:rPr>
                <w:color w:val="000000"/>
                <w:sz w:val="24"/>
              </w:rPr>
              <w:t>4</w:t>
            </w:r>
          </w:p>
        </w:tc>
        <w:tc>
          <w:tcPr>
            <w:tcW w:w="1327" w:type="dxa"/>
            <w:vAlign w:val="center"/>
          </w:tcPr>
          <w:p w:rsidR="000C2F06" w:rsidRDefault="00D638A1">
            <w:pPr>
              <w:jc w:val="center"/>
            </w:pPr>
            <w:r>
              <w:rPr>
                <w:color w:val="000000"/>
                <w:sz w:val="24"/>
              </w:rPr>
              <w:t>300146</w:t>
            </w:r>
          </w:p>
        </w:tc>
        <w:tc>
          <w:tcPr>
            <w:tcW w:w="1621" w:type="dxa"/>
            <w:vAlign w:val="center"/>
          </w:tcPr>
          <w:p w:rsidR="000C2F06" w:rsidRDefault="00D638A1">
            <w:pPr>
              <w:jc w:val="center"/>
            </w:pPr>
            <w:r>
              <w:rPr>
                <w:color w:val="000000"/>
                <w:sz w:val="24"/>
              </w:rPr>
              <w:t>汤臣倍健</w:t>
            </w:r>
          </w:p>
        </w:tc>
        <w:tc>
          <w:tcPr>
            <w:tcW w:w="1769" w:type="dxa"/>
            <w:vAlign w:val="center"/>
          </w:tcPr>
          <w:p w:rsidR="000C2F06" w:rsidRDefault="00D638A1">
            <w:pPr>
              <w:jc w:val="right"/>
            </w:pPr>
            <w:r>
              <w:rPr>
                <w:color w:val="000000"/>
                <w:sz w:val="24"/>
              </w:rPr>
              <w:t>4,200</w:t>
            </w:r>
          </w:p>
        </w:tc>
        <w:tc>
          <w:tcPr>
            <w:tcW w:w="2211" w:type="dxa"/>
            <w:vAlign w:val="center"/>
          </w:tcPr>
          <w:p w:rsidR="000C2F06" w:rsidRDefault="00D638A1">
            <w:pPr>
              <w:jc w:val="right"/>
            </w:pPr>
            <w:r>
              <w:rPr>
                <w:color w:val="000000"/>
                <w:sz w:val="24"/>
              </w:rPr>
              <w:t>86,100.00</w:t>
            </w:r>
          </w:p>
        </w:tc>
        <w:tc>
          <w:tcPr>
            <w:tcW w:w="1091" w:type="dxa"/>
            <w:vAlign w:val="center"/>
          </w:tcPr>
          <w:p w:rsidR="000C2F06" w:rsidRDefault="00D638A1">
            <w:pPr>
              <w:jc w:val="right"/>
            </w:pPr>
            <w:r>
              <w:rPr>
                <w:color w:val="000000"/>
                <w:sz w:val="24"/>
              </w:rPr>
              <w:t>0.14</w:t>
            </w:r>
          </w:p>
        </w:tc>
      </w:tr>
      <w:tr w:rsidR="000C2F06">
        <w:trPr>
          <w:jc w:val="center"/>
        </w:trPr>
        <w:tc>
          <w:tcPr>
            <w:tcW w:w="849" w:type="dxa"/>
            <w:vAlign w:val="center"/>
          </w:tcPr>
          <w:p w:rsidR="000C2F06" w:rsidRDefault="00D638A1">
            <w:pPr>
              <w:jc w:val="center"/>
            </w:pPr>
            <w:r>
              <w:rPr>
                <w:color w:val="000000"/>
                <w:sz w:val="24"/>
              </w:rPr>
              <w:t>5</w:t>
            </w:r>
          </w:p>
        </w:tc>
        <w:tc>
          <w:tcPr>
            <w:tcW w:w="1327" w:type="dxa"/>
            <w:vAlign w:val="center"/>
          </w:tcPr>
          <w:p w:rsidR="000C2F06" w:rsidRDefault="00D638A1">
            <w:pPr>
              <w:jc w:val="center"/>
            </w:pPr>
            <w:r>
              <w:rPr>
                <w:color w:val="000000"/>
                <w:sz w:val="24"/>
              </w:rPr>
              <w:t>002415</w:t>
            </w:r>
          </w:p>
        </w:tc>
        <w:tc>
          <w:tcPr>
            <w:tcW w:w="1621" w:type="dxa"/>
            <w:vAlign w:val="center"/>
          </w:tcPr>
          <w:p w:rsidR="000C2F06" w:rsidRDefault="00D638A1">
            <w:pPr>
              <w:jc w:val="center"/>
            </w:pPr>
            <w:r>
              <w:rPr>
                <w:color w:val="000000"/>
                <w:sz w:val="24"/>
              </w:rPr>
              <w:t>海康威视</w:t>
            </w:r>
          </w:p>
        </w:tc>
        <w:tc>
          <w:tcPr>
            <w:tcW w:w="1769" w:type="dxa"/>
            <w:vAlign w:val="center"/>
          </w:tcPr>
          <w:p w:rsidR="000C2F06" w:rsidRDefault="00D638A1">
            <w:pPr>
              <w:jc w:val="right"/>
            </w:pPr>
            <w:r>
              <w:rPr>
                <w:color w:val="000000"/>
                <w:sz w:val="24"/>
              </w:rPr>
              <w:t>2,900</w:t>
            </w:r>
          </w:p>
        </w:tc>
        <w:tc>
          <w:tcPr>
            <w:tcW w:w="2211" w:type="dxa"/>
            <w:vAlign w:val="center"/>
          </w:tcPr>
          <w:p w:rsidR="000C2F06" w:rsidRDefault="00D638A1">
            <w:pPr>
              <w:jc w:val="right"/>
            </w:pPr>
            <w:r>
              <w:rPr>
                <w:color w:val="000000"/>
                <w:sz w:val="24"/>
              </w:rPr>
              <w:t>83,346.00</w:t>
            </w:r>
          </w:p>
        </w:tc>
        <w:tc>
          <w:tcPr>
            <w:tcW w:w="1091" w:type="dxa"/>
            <w:vAlign w:val="center"/>
          </w:tcPr>
          <w:p w:rsidR="000C2F06" w:rsidRDefault="00D638A1">
            <w:pPr>
              <w:jc w:val="right"/>
            </w:pPr>
            <w:r>
              <w:rPr>
                <w:color w:val="000000"/>
                <w:sz w:val="24"/>
              </w:rPr>
              <w:t>0.14</w:t>
            </w:r>
          </w:p>
        </w:tc>
      </w:tr>
      <w:tr w:rsidR="000C2F06">
        <w:trPr>
          <w:jc w:val="center"/>
        </w:trPr>
        <w:tc>
          <w:tcPr>
            <w:tcW w:w="849" w:type="dxa"/>
            <w:vAlign w:val="center"/>
          </w:tcPr>
          <w:p w:rsidR="000C2F06" w:rsidRDefault="00D638A1">
            <w:pPr>
              <w:jc w:val="center"/>
            </w:pPr>
            <w:r>
              <w:rPr>
                <w:color w:val="000000"/>
                <w:sz w:val="24"/>
              </w:rPr>
              <w:t>6</w:t>
            </w:r>
          </w:p>
        </w:tc>
        <w:tc>
          <w:tcPr>
            <w:tcW w:w="1327" w:type="dxa"/>
            <w:vAlign w:val="center"/>
          </w:tcPr>
          <w:p w:rsidR="000C2F06" w:rsidRDefault="00D638A1">
            <w:pPr>
              <w:jc w:val="center"/>
            </w:pPr>
            <w:r>
              <w:rPr>
                <w:color w:val="000000"/>
                <w:sz w:val="24"/>
              </w:rPr>
              <w:t>000002</w:t>
            </w:r>
          </w:p>
        </w:tc>
        <w:tc>
          <w:tcPr>
            <w:tcW w:w="1621" w:type="dxa"/>
            <w:vAlign w:val="center"/>
          </w:tcPr>
          <w:p w:rsidR="000C2F06" w:rsidRDefault="00D638A1">
            <w:pPr>
              <w:jc w:val="center"/>
            </w:pPr>
            <w:r>
              <w:rPr>
                <w:color w:val="000000"/>
                <w:sz w:val="24"/>
              </w:rPr>
              <w:t>万科</w:t>
            </w:r>
            <w:r>
              <w:rPr>
                <w:color w:val="000000"/>
                <w:sz w:val="24"/>
              </w:rPr>
              <w:t>A</w:t>
            </w:r>
          </w:p>
        </w:tc>
        <w:tc>
          <w:tcPr>
            <w:tcW w:w="1769" w:type="dxa"/>
            <w:vAlign w:val="center"/>
          </w:tcPr>
          <w:p w:rsidR="000C2F06" w:rsidRDefault="00D638A1">
            <w:pPr>
              <w:jc w:val="right"/>
            </w:pPr>
            <w:r>
              <w:rPr>
                <w:color w:val="000000"/>
                <w:sz w:val="24"/>
              </w:rPr>
              <w:t>3,400</w:t>
            </w:r>
          </w:p>
        </w:tc>
        <w:tc>
          <w:tcPr>
            <w:tcW w:w="2211" w:type="dxa"/>
            <w:vAlign w:val="center"/>
          </w:tcPr>
          <w:p w:rsidR="000C2F06" w:rsidRDefault="00D638A1">
            <w:pPr>
              <w:jc w:val="right"/>
            </w:pPr>
            <w:r>
              <w:rPr>
                <w:color w:val="000000"/>
                <w:sz w:val="24"/>
              </w:rPr>
              <w:t>82,620.00</w:t>
            </w:r>
          </w:p>
        </w:tc>
        <w:tc>
          <w:tcPr>
            <w:tcW w:w="1091" w:type="dxa"/>
            <w:vAlign w:val="center"/>
          </w:tcPr>
          <w:p w:rsidR="000C2F06" w:rsidRDefault="00D638A1">
            <w:pPr>
              <w:jc w:val="right"/>
            </w:pPr>
            <w:r>
              <w:rPr>
                <w:color w:val="000000"/>
                <w:sz w:val="24"/>
              </w:rPr>
              <w:t>0.13</w:t>
            </w:r>
          </w:p>
        </w:tc>
      </w:tr>
      <w:tr w:rsidR="000C2F06">
        <w:trPr>
          <w:jc w:val="center"/>
        </w:trPr>
        <w:tc>
          <w:tcPr>
            <w:tcW w:w="849" w:type="dxa"/>
            <w:vAlign w:val="center"/>
          </w:tcPr>
          <w:p w:rsidR="000C2F06" w:rsidRDefault="00D638A1">
            <w:pPr>
              <w:jc w:val="center"/>
            </w:pPr>
            <w:r>
              <w:rPr>
                <w:color w:val="000000"/>
                <w:sz w:val="24"/>
              </w:rPr>
              <w:t>7</w:t>
            </w:r>
          </w:p>
        </w:tc>
        <w:tc>
          <w:tcPr>
            <w:tcW w:w="1327" w:type="dxa"/>
            <w:vAlign w:val="center"/>
          </w:tcPr>
          <w:p w:rsidR="000C2F06" w:rsidRDefault="00D638A1">
            <w:pPr>
              <w:jc w:val="center"/>
            </w:pPr>
            <w:r>
              <w:rPr>
                <w:color w:val="000000"/>
                <w:sz w:val="24"/>
              </w:rPr>
              <w:t>000001</w:t>
            </w:r>
          </w:p>
        </w:tc>
        <w:tc>
          <w:tcPr>
            <w:tcW w:w="1621" w:type="dxa"/>
            <w:vAlign w:val="center"/>
          </w:tcPr>
          <w:p w:rsidR="000C2F06" w:rsidRDefault="00D638A1">
            <w:pPr>
              <w:jc w:val="center"/>
            </w:pPr>
            <w:r>
              <w:rPr>
                <w:color w:val="000000"/>
                <w:sz w:val="24"/>
              </w:rPr>
              <w:t>平安银行</w:t>
            </w:r>
          </w:p>
        </w:tc>
        <w:tc>
          <w:tcPr>
            <w:tcW w:w="1769" w:type="dxa"/>
            <w:vAlign w:val="center"/>
          </w:tcPr>
          <w:p w:rsidR="000C2F06" w:rsidRDefault="00D638A1">
            <w:pPr>
              <w:jc w:val="right"/>
            </w:pPr>
            <w:r>
              <w:rPr>
                <w:color w:val="000000"/>
                <w:sz w:val="24"/>
              </w:rPr>
              <w:t>7,100</w:t>
            </w:r>
          </w:p>
        </w:tc>
        <w:tc>
          <w:tcPr>
            <w:tcW w:w="2211" w:type="dxa"/>
            <w:vAlign w:val="center"/>
          </w:tcPr>
          <w:p w:rsidR="000C2F06" w:rsidRDefault="00D638A1">
            <w:pPr>
              <w:jc w:val="right"/>
            </w:pPr>
            <w:r>
              <w:rPr>
                <w:color w:val="000000"/>
                <w:sz w:val="24"/>
              </w:rPr>
              <w:t>78,455.00</w:t>
            </w:r>
          </w:p>
        </w:tc>
        <w:tc>
          <w:tcPr>
            <w:tcW w:w="1091" w:type="dxa"/>
            <w:vAlign w:val="center"/>
          </w:tcPr>
          <w:p w:rsidR="000C2F06" w:rsidRDefault="00D638A1">
            <w:pPr>
              <w:jc w:val="right"/>
            </w:pPr>
            <w:r>
              <w:rPr>
                <w:color w:val="000000"/>
                <w:sz w:val="24"/>
              </w:rPr>
              <w:t>0.13</w:t>
            </w:r>
          </w:p>
        </w:tc>
      </w:tr>
      <w:tr w:rsidR="000C2F06">
        <w:trPr>
          <w:jc w:val="center"/>
        </w:trPr>
        <w:tc>
          <w:tcPr>
            <w:tcW w:w="849" w:type="dxa"/>
            <w:vAlign w:val="center"/>
          </w:tcPr>
          <w:p w:rsidR="000C2F06" w:rsidRDefault="00D638A1">
            <w:pPr>
              <w:jc w:val="center"/>
            </w:pPr>
            <w:r>
              <w:rPr>
                <w:color w:val="000000"/>
                <w:sz w:val="24"/>
              </w:rPr>
              <w:t>8</w:t>
            </w:r>
          </w:p>
        </w:tc>
        <w:tc>
          <w:tcPr>
            <w:tcW w:w="1327" w:type="dxa"/>
            <w:vAlign w:val="center"/>
          </w:tcPr>
          <w:p w:rsidR="000C2F06" w:rsidRDefault="00D638A1">
            <w:pPr>
              <w:jc w:val="center"/>
            </w:pPr>
            <w:r>
              <w:rPr>
                <w:color w:val="000000"/>
                <w:sz w:val="24"/>
              </w:rPr>
              <w:t>300498</w:t>
            </w:r>
          </w:p>
        </w:tc>
        <w:tc>
          <w:tcPr>
            <w:tcW w:w="1621" w:type="dxa"/>
            <w:vAlign w:val="center"/>
          </w:tcPr>
          <w:p w:rsidR="000C2F06" w:rsidRDefault="00D638A1">
            <w:pPr>
              <w:jc w:val="center"/>
            </w:pPr>
            <w:r>
              <w:rPr>
                <w:color w:val="000000"/>
                <w:sz w:val="24"/>
              </w:rPr>
              <w:t>温氏股份</w:t>
            </w:r>
          </w:p>
        </w:tc>
        <w:tc>
          <w:tcPr>
            <w:tcW w:w="1769" w:type="dxa"/>
            <w:vAlign w:val="center"/>
          </w:tcPr>
          <w:p w:rsidR="000C2F06" w:rsidRDefault="00D638A1">
            <w:pPr>
              <w:jc w:val="right"/>
            </w:pPr>
            <w:r>
              <w:rPr>
                <w:color w:val="000000"/>
                <w:sz w:val="24"/>
              </w:rPr>
              <w:t>3,200</w:t>
            </w:r>
          </w:p>
        </w:tc>
        <w:tc>
          <w:tcPr>
            <w:tcW w:w="2211" w:type="dxa"/>
            <w:vAlign w:val="center"/>
          </w:tcPr>
          <w:p w:rsidR="000C2F06" w:rsidRDefault="00D638A1">
            <w:pPr>
              <w:jc w:val="right"/>
            </w:pPr>
            <w:r>
              <w:rPr>
                <w:color w:val="000000"/>
                <w:sz w:val="24"/>
              </w:rPr>
              <w:t>74,304.00</w:t>
            </w:r>
          </w:p>
        </w:tc>
        <w:tc>
          <w:tcPr>
            <w:tcW w:w="1091" w:type="dxa"/>
            <w:vAlign w:val="center"/>
          </w:tcPr>
          <w:p w:rsidR="000C2F06" w:rsidRDefault="00D638A1">
            <w:pPr>
              <w:jc w:val="right"/>
            </w:pPr>
            <w:r>
              <w:rPr>
                <w:color w:val="000000"/>
                <w:sz w:val="24"/>
              </w:rPr>
              <w:t>0.12</w:t>
            </w:r>
          </w:p>
        </w:tc>
      </w:tr>
      <w:tr w:rsidR="000C2F06">
        <w:trPr>
          <w:jc w:val="center"/>
        </w:trPr>
        <w:tc>
          <w:tcPr>
            <w:tcW w:w="849" w:type="dxa"/>
            <w:vAlign w:val="center"/>
          </w:tcPr>
          <w:p w:rsidR="000C2F06" w:rsidRDefault="00D638A1">
            <w:pPr>
              <w:jc w:val="center"/>
            </w:pPr>
            <w:r>
              <w:rPr>
                <w:color w:val="000000"/>
                <w:sz w:val="24"/>
              </w:rPr>
              <w:t>9</w:t>
            </w:r>
          </w:p>
        </w:tc>
        <w:tc>
          <w:tcPr>
            <w:tcW w:w="1327" w:type="dxa"/>
            <w:vAlign w:val="center"/>
          </w:tcPr>
          <w:p w:rsidR="000C2F06" w:rsidRDefault="00D638A1">
            <w:pPr>
              <w:jc w:val="center"/>
            </w:pPr>
            <w:r>
              <w:rPr>
                <w:color w:val="000000"/>
                <w:sz w:val="24"/>
              </w:rPr>
              <w:t>000725</w:t>
            </w:r>
          </w:p>
        </w:tc>
        <w:tc>
          <w:tcPr>
            <w:tcW w:w="1621" w:type="dxa"/>
            <w:vAlign w:val="center"/>
          </w:tcPr>
          <w:p w:rsidR="000C2F06" w:rsidRDefault="00D638A1">
            <w:pPr>
              <w:jc w:val="center"/>
            </w:pPr>
            <w:r>
              <w:rPr>
                <w:color w:val="000000"/>
                <w:sz w:val="24"/>
              </w:rPr>
              <w:t>京东方</w:t>
            </w:r>
            <w:r>
              <w:rPr>
                <w:color w:val="000000"/>
                <w:sz w:val="24"/>
              </w:rPr>
              <w:t>A</w:t>
            </w:r>
          </w:p>
        </w:tc>
        <w:tc>
          <w:tcPr>
            <w:tcW w:w="1769" w:type="dxa"/>
            <w:vAlign w:val="center"/>
          </w:tcPr>
          <w:p w:rsidR="000C2F06" w:rsidRDefault="00D638A1">
            <w:pPr>
              <w:jc w:val="right"/>
            </w:pPr>
            <w:r>
              <w:rPr>
                <w:color w:val="000000"/>
                <w:sz w:val="24"/>
              </w:rPr>
              <w:t>22,200</w:t>
            </w:r>
          </w:p>
        </w:tc>
        <w:tc>
          <w:tcPr>
            <w:tcW w:w="2211" w:type="dxa"/>
            <w:vAlign w:val="center"/>
          </w:tcPr>
          <w:p w:rsidR="000C2F06" w:rsidRDefault="00D638A1">
            <w:pPr>
              <w:jc w:val="right"/>
            </w:pPr>
            <w:r>
              <w:rPr>
                <w:color w:val="000000"/>
                <w:sz w:val="24"/>
              </w:rPr>
              <w:t>69,930.00</w:t>
            </w:r>
          </w:p>
        </w:tc>
        <w:tc>
          <w:tcPr>
            <w:tcW w:w="1091" w:type="dxa"/>
            <w:vAlign w:val="center"/>
          </w:tcPr>
          <w:p w:rsidR="000C2F06" w:rsidRDefault="00D638A1">
            <w:pPr>
              <w:jc w:val="right"/>
            </w:pPr>
            <w:r>
              <w:rPr>
                <w:color w:val="000000"/>
                <w:sz w:val="24"/>
              </w:rPr>
              <w:t>0.11</w:t>
            </w:r>
          </w:p>
        </w:tc>
      </w:tr>
      <w:tr w:rsidR="000C2F06">
        <w:trPr>
          <w:jc w:val="center"/>
        </w:trPr>
        <w:tc>
          <w:tcPr>
            <w:tcW w:w="849" w:type="dxa"/>
            <w:vAlign w:val="center"/>
          </w:tcPr>
          <w:p w:rsidR="000C2F06" w:rsidRDefault="00D638A1">
            <w:pPr>
              <w:jc w:val="center"/>
            </w:pPr>
            <w:r>
              <w:rPr>
                <w:color w:val="000000"/>
                <w:sz w:val="24"/>
              </w:rPr>
              <w:t>10</w:t>
            </w:r>
          </w:p>
        </w:tc>
        <w:tc>
          <w:tcPr>
            <w:tcW w:w="1327" w:type="dxa"/>
            <w:vAlign w:val="center"/>
          </w:tcPr>
          <w:p w:rsidR="000C2F06" w:rsidRDefault="00D638A1">
            <w:pPr>
              <w:jc w:val="center"/>
            </w:pPr>
            <w:r>
              <w:rPr>
                <w:color w:val="000000"/>
                <w:sz w:val="24"/>
              </w:rPr>
              <w:t>002304</w:t>
            </w:r>
          </w:p>
        </w:tc>
        <w:tc>
          <w:tcPr>
            <w:tcW w:w="1621" w:type="dxa"/>
            <w:vAlign w:val="center"/>
          </w:tcPr>
          <w:p w:rsidR="000C2F06" w:rsidRDefault="00D638A1">
            <w:pPr>
              <w:jc w:val="center"/>
            </w:pPr>
            <w:r>
              <w:rPr>
                <w:color w:val="000000"/>
                <w:sz w:val="24"/>
              </w:rPr>
              <w:t>洋河股份</w:t>
            </w:r>
          </w:p>
        </w:tc>
        <w:tc>
          <w:tcPr>
            <w:tcW w:w="1769" w:type="dxa"/>
            <w:vAlign w:val="center"/>
          </w:tcPr>
          <w:p w:rsidR="000C2F06" w:rsidRDefault="00D638A1">
            <w:pPr>
              <w:jc w:val="right"/>
            </w:pPr>
            <w:r>
              <w:rPr>
                <w:color w:val="000000"/>
                <w:sz w:val="24"/>
              </w:rPr>
              <w:t>400</w:t>
            </w:r>
          </w:p>
        </w:tc>
        <w:tc>
          <w:tcPr>
            <w:tcW w:w="2211" w:type="dxa"/>
            <w:vAlign w:val="center"/>
          </w:tcPr>
          <w:p w:rsidR="000C2F06" w:rsidRDefault="00D638A1">
            <w:pPr>
              <w:jc w:val="right"/>
            </w:pPr>
            <w:r>
              <w:rPr>
                <w:color w:val="000000"/>
                <w:sz w:val="24"/>
              </w:rPr>
              <w:t>51,200.00</w:t>
            </w:r>
          </w:p>
        </w:tc>
        <w:tc>
          <w:tcPr>
            <w:tcW w:w="1091" w:type="dxa"/>
            <w:vAlign w:val="center"/>
          </w:tcPr>
          <w:p w:rsidR="000C2F06" w:rsidRDefault="00D638A1">
            <w:pPr>
              <w:jc w:val="right"/>
            </w:pPr>
            <w:r>
              <w:rPr>
                <w:color w:val="000000"/>
                <w:sz w:val="24"/>
              </w:rPr>
              <w:t>0.08</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1,792.52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1,084.68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25,556.07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28,433.27</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lastRenderedPageBreak/>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0C2F06">
        <w:trPr>
          <w:jc w:val="center"/>
        </w:trPr>
        <w:tc>
          <w:tcPr>
            <w:tcW w:w="1129" w:type="dxa"/>
            <w:vAlign w:val="center"/>
          </w:tcPr>
          <w:p w:rsidR="000C2F06" w:rsidRDefault="00D638A1">
            <w:pPr>
              <w:jc w:val="center"/>
            </w:pPr>
            <w:r>
              <w:rPr>
                <w:color w:val="000000"/>
                <w:sz w:val="24"/>
              </w:rPr>
              <w:t>1</w:t>
            </w:r>
          </w:p>
        </w:tc>
        <w:tc>
          <w:tcPr>
            <w:tcW w:w="1356" w:type="dxa"/>
            <w:vAlign w:val="center"/>
          </w:tcPr>
          <w:p w:rsidR="000C2F06" w:rsidRDefault="00D638A1">
            <w:pPr>
              <w:jc w:val="center"/>
            </w:pPr>
            <w:r>
              <w:rPr>
                <w:color w:val="000000"/>
                <w:sz w:val="24"/>
              </w:rPr>
              <w:t>000540</w:t>
            </w:r>
          </w:p>
        </w:tc>
        <w:tc>
          <w:tcPr>
            <w:tcW w:w="1355" w:type="dxa"/>
            <w:vAlign w:val="center"/>
          </w:tcPr>
          <w:p w:rsidR="000C2F06" w:rsidRDefault="00D638A1">
            <w:pPr>
              <w:jc w:val="center"/>
            </w:pPr>
            <w:r>
              <w:rPr>
                <w:color w:val="000000"/>
                <w:sz w:val="24"/>
              </w:rPr>
              <w:t>中天金融</w:t>
            </w:r>
          </w:p>
        </w:tc>
        <w:tc>
          <w:tcPr>
            <w:tcW w:w="1880" w:type="dxa"/>
            <w:vAlign w:val="center"/>
          </w:tcPr>
          <w:p w:rsidR="000C2F06" w:rsidRDefault="00D638A1">
            <w:pPr>
              <w:jc w:val="right"/>
            </w:pPr>
            <w:r>
              <w:rPr>
                <w:color w:val="000000"/>
                <w:sz w:val="24"/>
              </w:rPr>
              <w:t>96,913.00</w:t>
            </w:r>
          </w:p>
        </w:tc>
        <w:tc>
          <w:tcPr>
            <w:tcW w:w="1724" w:type="dxa"/>
            <w:vAlign w:val="center"/>
          </w:tcPr>
          <w:p w:rsidR="000C2F06" w:rsidRDefault="00D638A1">
            <w:pPr>
              <w:jc w:val="right"/>
            </w:pPr>
            <w:r>
              <w:rPr>
                <w:color w:val="000000"/>
                <w:sz w:val="24"/>
              </w:rPr>
              <w:t>0.16</w:t>
            </w:r>
          </w:p>
        </w:tc>
        <w:tc>
          <w:tcPr>
            <w:tcW w:w="1424" w:type="dxa"/>
            <w:vAlign w:val="center"/>
          </w:tcPr>
          <w:p w:rsidR="000C2F06" w:rsidRDefault="00D638A1">
            <w:pPr>
              <w:jc w:val="right"/>
            </w:pPr>
            <w:r>
              <w:rPr>
                <w:rFonts w:hint="eastAsia"/>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F977B5" w:rsidRDefault="00F977B5" w:rsidP="00820FB9">
      <w:pPr>
        <w:pStyle w:val="1"/>
        <w:spacing w:beforeLines="100" w:before="312" w:afterLines="100" w:after="312" w:line="360" w:lineRule="auto"/>
        <w:jc w:val="center"/>
        <w:rPr>
          <w:rFonts w:eastAsiaTheme="minorEastAsia"/>
          <w:color w:val="000000" w:themeColor="text1"/>
          <w:kern w:val="0"/>
          <w:sz w:val="24"/>
          <w:szCs w:val="24"/>
        </w:rPr>
      </w:pPr>
      <w:r w:rsidRPr="006469DC">
        <w:rPr>
          <w:rFonts w:eastAsiaTheme="minorEastAsia"/>
          <w:color w:val="000000" w:themeColor="text1"/>
          <w:kern w:val="0"/>
          <w:sz w:val="24"/>
          <w:szCs w:val="24"/>
        </w:rPr>
        <w:t>§6</w:t>
      </w:r>
      <w:r w:rsidRPr="006469DC">
        <w:rPr>
          <w:rFonts w:eastAsiaTheme="minorEastAsia" w:hint="eastAsia"/>
          <w:color w:val="000000" w:themeColor="text1"/>
          <w:kern w:val="0"/>
          <w:sz w:val="24"/>
          <w:szCs w:val="24"/>
        </w:rPr>
        <w:t xml:space="preserve">  </w:t>
      </w:r>
      <w:r w:rsidRPr="006469DC">
        <w:rPr>
          <w:rFonts w:eastAsiaTheme="minorEastAsia" w:hint="eastAsia"/>
          <w:color w:val="000000" w:themeColor="text1"/>
          <w:kern w:val="0"/>
          <w:sz w:val="24"/>
          <w:szCs w:val="24"/>
        </w:rPr>
        <w:t>基金中基金</w:t>
      </w:r>
    </w:p>
    <w:p w:rsidR="004D2F39" w:rsidRPr="006469DC" w:rsidRDefault="004D2F39" w:rsidP="004D2F39">
      <w:pPr>
        <w:adjustRightInd w:val="0"/>
        <w:snapToGrid w:val="0"/>
        <w:spacing w:line="360" w:lineRule="auto"/>
        <w:rPr>
          <w:rFonts w:eastAsiaTheme="minorEastAsia"/>
          <w:b/>
          <w:color w:val="000000" w:themeColor="text1"/>
          <w:kern w:val="0"/>
          <w:sz w:val="24"/>
        </w:rPr>
      </w:pPr>
      <w:r w:rsidRPr="006469DC">
        <w:rPr>
          <w:rFonts w:eastAsiaTheme="minorEastAsia"/>
          <w:b/>
          <w:color w:val="000000" w:themeColor="text1"/>
          <w:kern w:val="0"/>
          <w:sz w:val="24"/>
        </w:rPr>
        <w:t>6.1</w:t>
      </w:r>
      <w:r w:rsidRPr="006469DC">
        <w:rPr>
          <w:rFonts w:eastAsiaTheme="minorEastAsia" w:hint="eastAsia"/>
          <w:b/>
          <w:color w:val="000000" w:themeColor="text1"/>
          <w:kern w:val="0"/>
          <w:sz w:val="24"/>
        </w:rPr>
        <w:t xml:space="preserve"> </w:t>
      </w:r>
      <w:r w:rsidRPr="006469DC">
        <w:rPr>
          <w:rFonts w:eastAsiaTheme="minorEastAsia" w:hint="eastAsia"/>
          <w:b/>
          <w:color w:val="000000" w:themeColor="text1"/>
          <w:kern w:val="0"/>
          <w:sz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18"/>
        <w:gridCol w:w="1177"/>
        <w:gridCol w:w="1233"/>
        <w:gridCol w:w="1275"/>
        <w:gridCol w:w="974"/>
        <w:gridCol w:w="1305"/>
        <w:gridCol w:w="1161"/>
        <w:gridCol w:w="1299"/>
      </w:tblGrid>
      <w:tr w:rsidR="004D2F39" w:rsidRPr="006469DC" w:rsidTr="00671266">
        <w:tc>
          <w:tcPr>
            <w:tcW w:w="442" w:type="pct"/>
            <w:vAlign w:val="center"/>
          </w:tcPr>
          <w:p w:rsidR="004D2F39" w:rsidRPr="006469DC" w:rsidRDefault="004D2F39" w:rsidP="00671266">
            <w:pPr>
              <w:pStyle w:val="Default"/>
              <w:spacing w:line="276" w:lineRule="auto"/>
              <w:rPr>
                <w:rFonts w:ascii="Times New Roman" w:hAnsi="Times New Roman" w:cs="Times New Roman"/>
              </w:rPr>
            </w:pPr>
            <w:r>
              <w:rPr>
                <w:rFonts w:ascii="Times New Roman" w:hAnsi="Times New Roman" w:cs="Times New Roman" w:hint="eastAsia"/>
              </w:rPr>
              <w:t>序号</w:t>
            </w:r>
          </w:p>
        </w:tc>
        <w:tc>
          <w:tcPr>
            <w:tcW w:w="637" w:type="pct"/>
            <w:vAlign w:val="center"/>
          </w:tcPr>
          <w:p w:rsidR="004D2F39" w:rsidRPr="006469DC" w:rsidRDefault="004D2F39" w:rsidP="00671266">
            <w:pPr>
              <w:pStyle w:val="Default"/>
              <w:spacing w:line="276" w:lineRule="auto"/>
              <w:jc w:val="left"/>
              <w:rPr>
                <w:rFonts w:ascii="Times New Roman" w:hAnsi="Times New Roman" w:cs="Times New Roman"/>
              </w:rPr>
            </w:pPr>
            <w:r>
              <w:rPr>
                <w:rFonts w:ascii="Times New Roman" w:hAnsi="Times New Roman" w:cs="Times New Roman" w:hint="eastAsia"/>
              </w:rPr>
              <w:t>基金</w:t>
            </w:r>
            <w:r>
              <w:rPr>
                <w:rFonts w:ascii="Times New Roman" w:hAnsi="Times New Roman" w:cs="Times New Roman"/>
              </w:rPr>
              <w:t>代码</w:t>
            </w:r>
          </w:p>
        </w:tc>
        <w:tc>
          <w:tcPr>
            <w:tcW w:w="667" w:type="pct"/>
            <w:vAlign w:val="center"/>
          </w:tcPr>
          <w:p w:rsidR="004D2F39" w:rsidRPr="006469DC" w:rsidRDefault="004D2F39" w:rsidP="00671266">
            <w:pPr>
              <w:pStyle w:val="Default"/>
              <w:spacing w:line="276" w:lineRule="auto"/>
              <w:jc w:val="left"/>
              <w:rPr>
                <w:rFonts w:ascii="Times New Roman" w:hAnsi="Times New Roman" w:cs="Times New Roman"/>
              </w:rPr>
            </w:pPr>
            <w:r>
              <w:rPr>
                <w:rFonts w:ascii="Times New Roman" w:hAnsi="Times New Roman" w:cs="Times New Roman" w:hint="eastAsia"/>
              </w:rPr>
              <w:t>基金</w:t>
            </w:r>
            <w:r>
              <w:rPr>
                <w:rFonts w:ascii="Times New Roman" w:hAnsi="Times New Roman" w:cs="Times New Roman"/>
              </w:rPr>
              <w:t>名称</w:t>
            </w:r>
          </w:p>
        </w:tc>
        <w:tc>
          <w:tcPr>
            <w:tcW w:w="690" w:type="pct"/>
            <w:vAlign w:val="center"/>
          </w:tcPr>
          <w:p w:rsidR="004D2F39" w:rsidRPr="006469DC" w:rsidRDefault="004D2F39" w:rsidP="00671266">
            <w:pPr>
              <w:pStyle w:val="Default"/>
              <w:spacing w:line="276" w:lineRule="auto"/>
              <w:jc w:val="left"/>
              <w:rPr>
                <w:rFonts w:ascii="Times New Roman" w:hAnsi="Times New Roman" w:cs="Times New Roman"/>
              </w:rPr>
            </w:pPr>
            <w:r>
              <w:rPr>
                <w:rFonts w:ascii="Times New Roman" w:hAnsi="Times New Roman" w:cs="Times New Roman" w:hint="eastAsia"/>
              </w:rPr>
              <w:t>运作</w:t>
            </w:r>
            <w:r>
              <w:rPr>
                <w:rFonts w:ascii="Times New Roman" w:hAnsi="Times New Roman" w:cs="Times New Roman"/>
              </w:rPr>
              <w:t>方式</w:t>
            </w:r>
          </w:p>
        </w:tc>
        <w:tc>
          <w:tcPr>
            <w:tcW w:w="527" w:type="pct"/>
            <w:vAlign w:val="center"/>
          </w:tcPr>
          <w:p w:rsidR="004D2F39" w:rsidRPr="006469DC" w:rsidRDefault="004D2F39" w:rsidP="00671266">
            <w:pPr>
              <w:pStyle w:val="Default"/>
              <w:spacing w:line="276" w:lineRule="auto"/>
              <w:jc w:val="left"/>
              <w:rPr>
                <w:rFonts w:ascii="Times New Roman" w:hAnsi="Times New Roman" w:cs="Times New Roman"/>
              </w:rPr>
            </w:pPr>
            <w:r>
              <w:rPr>
                <w:rFonts w:ascii="Times New Roman" w:hAnsi="Times New Roman" w:cs="Times New Roman" w:hint="eastAsia"/>
              </w:rPr>
              <w:t>持有</w:t>
            </w:r>
            <w:r>
              <w:rPr>
                <w:rFonts w:ascii="Times New Roman" w:hAnsi="Times New Roman" w:cs="Times New Roman"/>
              </w:rPr>
              <w:t>份额（</w:t>
            </w:r>
            <w:r>
              <w:rPr>
                <w:rFonts w:ascii="Times New Roman" w:hAnsi="Times New Roman" w:cs="Times New Roman" w:hint="eastAsia"/>
              </w:rPr>
              <w:t>份</w:t>
            </w:r>
            <w:r>
              <w:rPr>
                <w:rFonts w:ascii="Times New Roman" w:hAnsi="Times New Roman" w:cs="Times New Roman"/>
              </w:rPr>
              <w:t>）</w:t>
            </w:r>
          </w:p>
        </w:tc>
        <w:tc>
          <w:tcPr>
            <w:tcW w:w="706" w:type="pct"/>
            <w:vAlign w:val="center"/>
          </w:tcPr>
          <w:p w:rsidR="004D2F39" w:rsidRPr="006469DC" w:rsidRDefault="004D2F39" w:rsidP="00671266">
            <w:pPr>
              <w:pStyle w:val="Default"/>
              <w:spacing w:line="276" w:lineRule="auto"/>
              <w:jc w:val="left"/>
              <w:rPr>
                <w:rFonts w:ascii="Times New Roman" w:hAnsi="Times New Roman" w:cs="Times New Roman"/>
              </w:rPr>
            </w:pPr>
            <w:r>
              <w:rPr>
                <w:rFonts w:ascii="Times New Roman" w:hAnsi="Times New Roman" w:cs="Times New Roman" w:hint="eastAsia"/>
              </w:rPr>
              <w:t>公允价值</w:t>
            </w:r>
            <w:r>
              <w:rPr>
                <w:rFonts w:ascii="Times New Roman" w:hAnsi="Times New Roman" w:cs="Times New Roman"/>
              </w:rPr>
              <w:t>（</w:t>
            </w:r>
            <w:r>
              <w:rPr>
                <w:rFonts w:ascii="Times New Roman" w:hAnsi="Times New Roman" w:cs="Times New Roman" w:hint="eastAsia"/>
              </w:rPr>
              <w:t>元</w:t>
            </w:r>
            <w:r>
              <w:rPr>
                <w:rFonts w:ascii="Times New Roman" w:hAnsi="Times New Roman" w:cs="Times New Roman"/>
              </w:rPr>
              <w:t>）</w:t>
            </w:r>
          </w:p>
        </w:tc>
        <w:tc>
          <w:tcPr>
            <w:tcW w:w="628" w:type="pct"/>
            <w:vAlign w:val="center"/>
          </w:tcPr>
          <w:p w:rsidR="004D2F39" w:rsidRPr="006469DC" w:rsidRDefault="004D2F39" w:rsidP="00671266">
            <w:pPr>
              <w:pStyle w:val="Default"/>
              <w:spacing w:line="276" w:lineRule="auto"/>
              <w:rPr>
                <w:rFonts w:ascii="Times New Roman" w:hAnsi="Times New Roman" w:cs="Times New Roman"/>
              </w:rPr>
            </w:pPr>
            <w:r>
              <w:rPr>
                <w:rFonts w:ascii="Times New Roman" w:hAnsi="Times New Roman" w:cs="Times New Roman" w:hint="eastAsia"/>
              </w:rPr>
              <w:t>基金资产</w:t>
            </w:r>
            <w:r>
              <w:rPr>
                <w:rFonts w:ascii="Times New Roman" w:hAnsi="Times New Roman" w:cs="Times New Roman"/>
              </w:rPr>
              <w:t>净值比例</w:t>
            </w:r>
          </w:p>
        </w:tc>
        <w:tc>
          <w:tcPr>
            <w:tcW w:w="703" w:type="pct"/>
            <w:vAlign w:val="center"/>
          </w:tcPr>
          <w:p w:rsidR="004D2F39" w:rsidRPr="006469DC" w:rsidRDefault="004D2F39" w:rsidP="00671266">
            <w:pPr>
              <w:pStyle w:val="Default"/>
              <w:spacing w:line="276" w:lineRule="auto"/>
              <w:rPr>
                <w:rFonts w:ascii="Times New Roman" w:hAnsi="Times New Roman" w:cs="Times New Roman"/>
              </w:rPr>
            </w:pPr>
            <w:r>
              <w:rPr>
                <w:rFonts w:ascii="Times New Roman" w:hAnsi="Times New Roman" w:cs="Times New Roman" w:hint="eastAsia"/>
              </w:rPr>
              <w:t>是否</w:t>
            </w:r>
            <w:r>
              <w:rPr>
                <w:rFonts w:ascii="Times New Roman" w:hAnsi="Times New Roman" w:cs="Times New Roman"/>
              </w:rPr>
              <w:t>属于基金管理人及管理人关联方所管理的基金</w:t>
            </w:r>
          </w:p>
        </w:tc>
      </w:tr>
      <w:tr w:rsidR="004D2F39" w:rsidTr="00671266">
        <w:tc>
          <w:tcPr>
            <w:tcW w:w="818" w:type="dxa"/>
            <w:vAlign w:val="center"/>
          </w:tcPr>
          <w:p w:rsidR="004D2F39" w:rsidRDefault="004D2F39" w:rsidP="00671266">
            <w:pPr>
              <w:jc w:val="center"/>
            </w:pPr>
            <w:r>
              <w:rPr>
                <w:sz w:val="24"/>
              </w:rPr>
              <w:t>1</w:t>
            </w:r>
          </w:p>
        </w:tc>
        <w:tc>
          <w:tcPr>
            <w:tcW w:w="1177" w:type="dxa"/>
            <w:vAlign w:val="center"/>
          </w:tcPr>
          <w:p w:rsidR="004D2F39" w:rsidRDefault="004D2F39" w:rsidP="00671266">
            <w:pPr>
              <w:jc w:val="center"/>
            </w:pPr>
            <w:r>
              <w:rPr>
                <w:sz w:val="24"/>
              </w:rPr>
              <w:t>159913</w:t>
            </w:r>
          </w:p>
        </w:tc>
        <w:tc>
          <w:tcPr>
            <w:tcW w:w="1233" w:type="dxa"/>
            <w:vAlign w:val="center"/>
          </w:tcPr>
          <w:p w:rsidR="004D2F39" w:rsidRDefault="004D2F39" w:rsidP="00671266">
            <w:pPr>
              <w:jc w:val="center"/>
            </w:pPr>
            <w:r>
              <w:rPr>
                <w:sz w:val="24"/>
              </w:rPr>
              <w:t>深证</w:t>
            </w:r>
            <w:r>
              <w:rPr>
                <w:sz w:val="24"/>
              </w:rPr>
              <w:t>300</w:t>
            </w:r>
            <w:r>
              <w:rPr>
                <w:sz w:val="24"/>
              </w:rPr>
              <w:t>价值交易型开放式指数证券投资基金</w:t>
            </w:r>
          </w:p>
        </w:tc>
        <w:tc>
          <w:tcPr>
            <w:tcW w:w="1275" w:type="dxa"/>
            <w:vAlign w:val="center"/>
          </w:tcPr>
          <w:p w:rsidR="004D2F39" w:rsidRDefault="004D2F39" w:rsidP="00671266">
            <w:pPr>
              <w:jc w:val="center"/>
            </w:pPr>
            <w:r>
              <w:rPr>
                <w:sz w:val="24"/>
              </w:rPr>
              <w:t>交易型开放式</w:t>
            </w:r>
          </w:p>
        </w:tc>
        <w:tc>
          <w:tcPr>
            <w:tcW w:w="974" w:type="dxa"/>
            <w:vAlign w:val="center"/>
          </w:tcPr>
          <w:p w:rsidR="004D2F39" w:rsidRDefault="004D2F39" w:rsidP="00671266">
            <w:pPr>
              <w:jc w:val="center"/>
            </w:pPr>
            <w:r>
              <w:rPr>
                <w:sz w:val="24"/>
              </w:rPr>
              <w:t>36,802,500.00</w:t>
            </w:r>
          </w:p>
        </w:tc>
        <w:tc>
          <w:tcPr>
            <w:tcW w:w="1305" w:type="dxa"/>
            <w:vAlign w:val="center"/>
          </w:tcPr>
          <w:p w:rsidR="004D2F39" w:rsidRDefault="004D2F39" w:rsidP="00671266">
            <w:pPr>
              <w:jc w:val="center"/>
            </w:pPr>
            <w:r>
              <w:rPr>
                <w:sz w:val="24"/>
              </w:rPr>
              <w:t>56,123,812.50</w:t>
            </w:r>
          </w:p>
        </w:tc>
        <w:tc>
          <w:tcPr>
            <w:tcW w:w="1161" w:type="dxa"/>
            <w:vAlign w:val="center"/>
          </w:tcPr>
          <w:p w:rsidR="004D2F39" w:rsidRDefault="004D2F39" w:rsidP="00671266">
            <w:pPr>
              <w:jc w:val="center"/>
            </w:pPr>
            <w:r>
              <w:rPr>
                <w:sz w:val="24"/>
              </w:rPr>
              <w:t>90.96%</w:t>
            </w:r>
          </w:p>
        </w:tc>
        <w:tc>
          <w:tcPr>
            <w:tcW w:w="1299" w:type="dxa"/>
            <w:vAlign w:val="center"/>
          </w:tcPr>
          <w:p w:rsidR="004D2F39" w:rsidRDefault="004D2F39" w:rsidP="00671266">
            <w:pPr>
              <w:jc w:val="center"/>
            </w:pPr>
            <w:r>
              <w:rPr>
                <w:sz w:val="24"/>
              </w:rPr>
              <w:t>是</w:t>
            </w:r>
          </w:p>
        </w:tc>
      </w:tr>
    </w:tbl>
    <w:p w:rsidR="004D2F39" w:rsidRPr="00330D14" w:rsidRDefault="004D2F39" w:rsidP="00330D14"/>
    <w:p w:rsidR="00F977B5" w:rsidRPr="006469DC" w:rsidRDefault="00F977B5" w:rsidP="00820FB9">
      <w:pPr>
        <w:adjustRightInd w:val="0"/>
        <w:snapToGrid w:val="0"/>
        <w:spacing w:beforeLines="50" w:before="156" w:line="360" w:lineRule="auto"/>
        <w:rPr>
          <w:rFonts w:eastAsiaTheme="minorEastAsia"/>
          <w:b/>
          <w:color w:val="000000" w:themeColor="text1"/>
          <w:kern w:val="0"/>
          <w:sz w:val="24"/>
        </w:rPr>
      </w:pPr>
      <w:r w:rsidRPr="006469DC">
        <w:rPr>
          <w:rFonts w:eastAsiaTheme="minorEastAsia"/>
          <w:b/>
          <w:color w:val="000000" w:themeColor="text1"/>
          <w:kern w:val="0"/>
          <w:sz w:val="24"/>
        </w:rPr>
        <w:t>6.</w:t>
      </w:r>
      <w:r w:rsidR="004D2F39">
        <w:rPr>
          <w:rFonts w:eastAsiaTheme="minorEastAsia"/>
          <w:b/>
          <w:color w:val="000000" w:themeColor="text1"/>
          <w:kern w:val="0"/>
          <w:sz w:val="24"/>
        </w:rPr>
        <w:t>2</w:t>
      </w:r>
      <w:r w:rsidRPr="006469DC">
        <w:rPr>
          <w:rFonts w:eastAsiaTheme="minorEastAsia" w:hint="eastAsia"/>
          <w:b/>
          <w:color w:val="000000" w:themeColor="text1"/>
          <w:kern w:val="0"/>
          <w:sz w:val="24"/>
        </w:rPr>
        <w:t xml:space="preserve"> </w:t>
      </w:r>
      <w:r w:rsidRPr="006469DC">
        <w:rPr>
          <w:rFonts w:eastAsiaTheme="minorEastAsia" w:hint="eastAsia"/>
          <w:b/>
          <w:color w:val="000000" w:themeColor="text1"/>
          <w:kern w:val="0"/>
          <w:sz w:val="24"/>
        </w:rPr>
        <w:t>当期交易及持有基金产生的费用</w:t>
      </w:r>
    </w:p>
    <w:p w:rsidR="00F977B5" w:rsidRPr="006469DC" w:rsidRDefault="00F977B5" w:rsidP="00F977B5">
      <w:pPr>
        <w:autoSpaceDE w:val="0"/>
        <w:autoSpaceDN w:val="0"/>
        <w:adjustRightInd w:val="0"/>
        <w:spacing w:line="360" w:lineRule="auto"/>
        <w:ind w:firstLineChars="200" w:firstLine="480"/>
        <w:jc w:val="left"/>
        <w:rPr>
          <w:rFonts w:eastAsiaTheme="minorEastAsia"/>
          <w:color w:val="000000" w:themeColor="text1"/>
          <w:sz w:val="24"/>
        </w:rPr>
      </w:pPr>
      <w:r w:rsidRPr="006469DC">
        <w:rPr>
          <w:rFonts w:eastAsiaTheme="minorEastAsia"/>
          <w:color w:val="000000" w:themeColor="text1"/>
          <w:sz w:val="24"/>
        </w:rPr>
        <w:t>无。</w:t>
      </w:r>
    </w:p>
    <w:p w:rsidR="00F977B5" w:rsidRPr="006469DC" w:rsidRDefault="00F977B5" w:rsidP="00820FB9">
      <w:pPr>
        <w:adjustRightInd w:val="0"/>
        <w:snapToGrid w:val="0"/>
        <w:spacing w:beforeLines="50" w:before="156" w:line="360" w:lineRule="auto"/>
        <w:rPr>
          <w:rFonts w:eastAsiaTheme="minorEastAsia"/>
          <w:b/>
          <w:color w:val="000000" w:themeColor="text1"/>
          <w:kern w:val="0"/>
          <w:sz w:val="24"/>
        </w:rPr>
      </w:pPr>
      <w:r w:rsidRPr="006469DC">
        <w:rPr>
          <w:rFonts w:eastAsiaTheme="minorEastAsia"/>
          <w:b/>
          <w:color w:val="000000" w:themeColor="text1"/>
          <w:kern w:val="0"/>
          <w:sz w:val="24"/>
        </w:rPr>
        <w:t>6.</w:t>
      </w:r>
      <w:r w:rsidR="004D2F39">
        <w:rPr>
          <w:rFonts w:eastAsiaTheme="minorEastAsia"/>
          <w:b/>
          <w:color w:val="000000" w:themeColor="text1"/>
          <w:kern w:val="0"/>
          <w:sz w:val="24"/>
        </w:rPr>
        <w:t>3</w:t>
      </w:r>
      <w:r w:rsidRPr="006469DC">
        <w:rPr>
          <w:rFonts w:eastAsiaTheme="minorEastAsia" w:hint="eastAsia"/>
          <w:b/>
          <w:color w:val="000000" w:themeColor="text1"/>
          <w:kern w:val="0"/>
          <w:sz w:val="24"/>
        </w:rPr>
        <w:t xml:space="preserve"> </w:t>
      </w:r>
      <w:r w:rsidRPr="006469DC">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F977B5" w:rsidRPr="006469DC" w:rsidTr="00454F86">
        <w:tc>
          <w:tcPr>
            <w:tcW w:w="9036" w:type="dxa"/>
          </w:tcPr>
          <w:p w:rsidR="00F977B5" w:rsidRPr="006469DC" w:rsidRDefault="00F977B5" w:rsidP="00805F23">
            <w:pPr>
              <w:autoSpaceDE w:val="0"/>
              <w:autoSpaceDN w:val="0"/>
              <w:adjustRightInd w:val="0"/>
              <w:spacing w:line="360" w:lineRule="auto"/>
              <w:ind w:firstLineChars="200" w:firstLine="480"/>
              <w:jc w:val="left"/>
              <w:rPr>
                <w:rFonts w:eastAsiaTheme="minorEastAsia"/>
                <w:color w:val="000000" w:themeColor="text1"/>
                <w:sz w:val="24"/>
              </w:rPr>
            </w:pPr>
            <w:r w:rsidRPr="006469DC">
              <w:rPr>
                <w:rFonts w:eastAsiaTheme="minorEastAsia" w:hint="eastAsia"/>
                <w:color w:val="000000" w:themeColor="text1"/>
                <w:sz w:val="24"/>
              </w:rPr>
              <w:t>请见《深证</w:t>
            </w:r>
            <w:r w:rsidRPr="006469DC">
              <w:rPr>
                <w:rFonts w:eastAsiaTheme="minorEastAsia" w:hint="eastAsia"/>
                <w:color w:val="000000" w:themeColor="text1"/>
                <w:sz w:val="24"/>
              </w:rPr>
              <w:t>300</w:t>
            </w:r>
            <w:r w:rsidRPr="006469DC">
              <w:rPr>
                <w:rFonts w:eastAsiaTheme="minorEastAsia" w:hint="eastAsia"/>
                <w:color w:val="000000" w:themeColor="text1"/>
                <w:sz w:val="24"/>
              </w:rPr>
              <w:t>价值交易型开放式指数证券投资基金》当期定期报告披露。</w:t>
            </w:r>
          </w:p>
        </w:tc>
      </w:tr>
    </w:tbl>
    <w:p w:rsidR="00220542" w:rsidRPr="00324C76" w:rsidRDefault="00805F23" w:rsidP="00820FB9">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t>§7</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41,111,125.24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3,158,106.09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1,488,133.13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lastRenderedPageBreak/>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42,781,098.20</w:t>
            </w:r>
          </w:p>
        </w:tc>
      </w:tr>
    </w:tbl>
    <w:p w:rsidR="000C2F06" w:rsidRDefault="00D638A1">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8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8.1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30.67</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8.2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820FB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0C2F06">
        <w:tc>
          <w:tcPr>
            <w:tcW w:w="992" w:type="dxa"/>
          </w:tcPr>
          <w:p w:rsidR="000C2F06" w:rsidRDefault="000C2F06"/>
          <w:p w:rsidR="000C2F06" w:rsidRDefault="00D638A1" w:rsidP="006D654B">
            <w:pPr>
              <w:jc w:val="center"/>
            </w:pPr>
            <w:r>
              <w:rPr>
                <w:rFonts w:ascii="宋体" w:hAnsi="宋体" w:hint="eastAsia"/>
                <w:bCs/>
                <w:color w:val="000000"/>
                <w:kern w:val="0"/>
                <w:sz w:val="24"/>
              </w:rPr>
              <w:t>机构</w:t>
            </w:r>
          </w:p>
        </w:tc>
        <w:tc>
          <w:tcPr>
            <w:tcW w:w="991" w:type="dxa"/>
            <w:vAlign w:val="center"/>
          </w:tcPr>
          <w:p w:rsidR="000C2F06" w:rsidRDefault="00D638A1">
            <w:pPr>
              <w:jc w:val="center"/>
            </w:pPr>
            <w:r>
              <w:rPr>
                <w:rFonts w:ascii="宋体" w:hAnsi="宋体" w:hint="eastAsia"/>
                <w:color w:val="000000"/>
                <w:kern w:val="0"/>
                <w:sz w:val="24"/>
              </w:rPr>
              <w:t>1</w:t>
            </w:r>
          </w:p>
        </w:tc>
        <w:tc>
          <w:tcPr>
            <w:tcW w:w="1843" w:type="dxa"/>
            <w:vAlign w:val="center"/>
          </w:tcPr>
          <w:p w:rsidR="000C2F06" w:rsidRDefault="00D638A1">
            <w:pPr>
              <w:jc w:val="center"/>
            </w:pPr>
            <w:r>
              <w:rPr>
                <w:rFonts w:ascii="宋体" w:hAnsi="宋体" w:hint="eastAsia"/>
                <w:color w:val="000000"/>
                <w:kern w:val="0"/>
                <w:sz w:val="24"/>
              </w:rPr>
              <w:t>2018/7/1-2018/9/30</w:t>
            </w:r>
          </w:p>
        </w:tc>
        <w:tc>
          <w:tcPr>
            <w:tcW w:w="851" w:type="dxa"/>
            <w:vAlign w:val="center"/>
          </w:tcPr>
          <w:p w:rsidR="000C2F06" w:rsidRDefault="00D638A1">
            <w:pPr>
              <w:jc w:val="center"/>
            </w:pPr>
            <w:r>
              <w:rPr>
                <w:rFonts w:ascii="宋体" w:hAnsi="宋体" w:hint="eastAsia"/>
                <w:color w:val="000000"/>
                <w:kern w:val="0"/>
                <w:sz w:val="24"/>
              </w:rPr>
              <w:t>13,122,703.41</w:t>
            </w:r>
          </w:p>
        </w:tc>
        <w:tc>
          <w:tcPr>
            <w:tcW w:w="850" w:type="dxa"/>
            <w:vAlign w:val="center"/>
          </w:tcPr>
          <w:p w:rsidR="000C2F06" w:rsidRDefault="00D638A1">
            <w:pPr>
              <w:jc w:val="center"/>
            </w:pPr>
            <w:r>
              <w:rPr>
                <w:rFonts w:ascii="宋体" w:hAnsi="宋体" w:hint="eastAsia"/>
                <w:color w:val="000000"/>
                <w:kern w:val="0"/>
                <w:sz w:val="24"/>
              </w:rPr>
              <w:t>-</w:t>
            </w:r>
          </w:p>
        </w:tc>
        <w:tc>
          <w:tcPr>
            <w:tcW w:w="1134" w:type="dxa"/>
            <w:vAlign w:val="center"/>
          </w:tcPr>
          <w:p w:rsidR="000C2F06" w:rsidRDefault="00D638A1">
            <w:pPr>
              <w:jc w:val="center"/>
            </w:pPr>
            <w:r>
              <w:rPr>
                <w:rFonts w:ascii="宋体" w:hAnsi="宋体" w:hint="eastAsia"/>
                <w:color w:val="000000"/>
                <w:kern w:val="0"/>
                <w:sz w:val="24"/>
              </w:rPr>
              <w:t>-</w:t>
            </w:r>
          </w:p>
        </w:tc>
        <w:tc>
          <w:tcPr>
            <w:tcW w:w="1419" w:type="dxa"/>
            <w:vAlign w:val="center"/>
          </w:tcPr>
          <w:p w:rsidR="000C2F06" w:rsidRDefault="00D638A1">
            <w:pPr>
              <w:jc w:val="center"/>
            </w:pPr>
            <w:r>
              <w:rPr>
                <w:rFonts w:ascii="宋体" w:hAnsi="宋体" w:hint="eastAsia"/>
                <w:color w:val="000000"/>
                <w:kern w:val="0"/>
                <w:sz w:val="24"/>
              </w:rPr>
              <w:t>13,122,703.41</w:t>
            </w:r>
          </w:p>
        </w:tc>
        <w:tc>
          <w:tcPr>
            <w:tcW w:w="1130" w:type="dxa"/>
            <w:vAlign w:val="center"/>
          </w:tcPr>
          <w:p w:rsidR="000C2F06" w:rsidRDefault="00D638A1">
            <w:pPr>
              <w:jc w:val="center"/>
            </w:pPr>
            <w:r>
              <w:rPr>
                <w:rFonts w:ascii="宋体" w:hAnsi="宋体" w:hint="eastAsia"/>
                <w:color w:val="000000"/>
                <w:kern w:val="0"/>
                <w:sz w:val="24"/>
              </w:rPr>
              <w:t>30.67%</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lastRenderedPageBreak/>
        <w:t>§</w:t>
      </w:r>
      <w:r w:rsidR="00B31ADE" w:rsidRPr="00324C76">
        <w:rPr>
          <w:kern w:val="0"/>
          <w:sz w:val="24"/>
          <w:szCs w:val="24"/>
        </w:rPr>
        <w:t>10</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10</w:t>
      </w:r>
      <w:r w:rsidR="00220542" w:rsidRPr="00324C76">
        <w:rPr>
          <w:b/>
          <w:sz w:val="24"/>
        </w:rPr>
        <w:t>.</w:t>
      </w:r>
      <w:r w:rsidR="0083066D" w:rsidRPr="00324C76">
        <w:rPr>
          <w:b/>
          <w:sz w:val="24"/>
        </w:rPr>
        <w:t>1</w:t>
      </w:r>
      <w:r w:rsidR="00220542" w:rsidRPr="00324C76">
        <w:rPr>
          <w:b/>
          <w:sz w:val="24"/>
        </w:rPr>
        <w:t>备查文件目录</w:t>
      </w:r>
    </w:p>
    <w:p w:rsidR="000C2F06" w:rsidRDefault="00D638A1">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0C2F06" w:rsidRDefault="00D638A1">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0C2F06" w:rsidRDefault="00D638A1">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0C2F06" w:rsidRDefault="00D638A1">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0C2F06" w:rsidRDefault="00D638A1">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0C2F06" w:rsidRDefault="00D638A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C2F06" w:rsidRDefault="00D638A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10.2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10.3</w:t>
      </w:r>
      <w:r w:rsidR="00220542" w:rsidRPr="00324C76">
        <w:rPr>
          <w:b/>
          <w:sz w:val="24"/>
        </w:rPr>
        <w:t>查阅方式</w:t>
      </w:r>
    </w:p>
    <w:p w:rsidR="000C2F06" w:rsidRDefault="00D638A1">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C0" w:rsidRDefault="00362EC0">
      <w:r>
        <w:separator/>
      </w:r>
    </w:p>
  </w:endnote>
  <w:endnote w:type="continuationSeparator" w:id="0">
    <w:p w:rsidR="00362EC0" w:rsidRDefault="0036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330D14">
      <w:rPr>
        <w:noProof/>
        <w:kern w:val="0"/>
        <w:szCs w:val="21"/>
      </w:rPr>
      <w:t>12</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330D14">
      <w:rPr>
        <w:noProof/>
        <w:kern w:val="0"/>
        <w:szCs w:val="21"/>
      </w:rPr>
      <w:t>14</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C0" w:rsidRDefault="00362EC0">
      <w:r>
        <w:separator/>
      </w:r>
    </w:p>
  </w:footnote>
  <w:footnote w:type="continuationSeparator" w:id="0">
    <w:p w:rsidR="00362EC0" w:rsidRDefault="0036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2F06"/>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0D14"/>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2EC0"/>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2F39"/>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D654B"/>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86E59"/>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47E"/>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8A1"/>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B7C04"/>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532773D-E87F-4C61-BCC1-5ECE1993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DEEE-A41B-4D6D-AB1C-C71A5C4B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349</TotalTime>
  <Pages>1</Pages>
  <Words>1193</Words>
  <Characters>6801</Characters>
  <Application>Microsoft Office Word</Application>
  <DocSecurity>0</DocSecurity>
  <Lines>56</Lines>
  <Paragraphs>15</Paragraphs>
  <ScaleCrop>false</ScaleCrop>
  <Company>TRT. Ltd. Co.</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420</cp:revision>
  <cp:lastPrinted>2007-07-19T00:46:00Z</cp:lastPrinted>
  <dcterms:created xsi:type="dcterms:W3CDTF">2012-11-13T02:08:00Z</dcterms:created>
  <dcterms:modified xsi:type="dcterms:W3CDTF">2018-10-22T08:04:00Z</dcterms:modified>
</cp:coreProperties>
</file>