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交银施罗德先进制造混合型证券投资基金</w:t>
      </w:r>
    </w:p>
    <w:p w:rsidP="00C15CAC" w:rsidR="002279D3" w:rsidRDefault="002279D3" w:rsidRPr="0081286B">
      <w:pPr>
        <w:spacing w:before="29" w:line="288" w:lineRule="auto"/>
        <w:jc w:val="center"/>
        <w:rPr>
          <w:b/>
          <w:sz w:val="36"/>
          <w:szCs w:val="36"/>
        </w:rPr>
      </w:pPr>
      <w:r w:rsidRPr="0081286B">
        <w:rPr>
          <w:b/>
          <w:sz w:val="36"/>
          <w:szCs w:val="36"/>
        </w:rPr>
        <w:t>2018年第3季度报告</w:t>
      </w:r>
    </w:p>
    <w:p w:rsidP="00C15CAC" w:rsidR="004061AC" w:rsidRDefault="00655CD8" w:rsidRPr="0081286B">
      <w:pPr>
        <w:spacing w:before="29" w:line="288" w:lineRule="auto"/>
        <w:jc w:val="center"/>
        <w:rPr>
          <w:b/>
          <w:sz w:val="36"/>
          <w:szCs w:val="36"/>
        </w:rPr>
      </w:pPr>
      <w:r w:rsidRPr="0081286B">
        <w:rPr>
          <w:b/>
          <w:sz w:val="36"/>
          <w:szCs w:val="36"/>
        </w:rPr>
        <w:t>2018年9月30日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二〇一八年十月二十六日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基金托管人中国农业银行股份有限公司根据本基金合同规定，于2018年10月25日复核了本报告中的财务指标、净值表现和投资组合报告等内容，保证复核内容不存在虚假记载、误导性陈述或者重大遗漏。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交银先进制造混合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2011年6月22日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1,288,977,072.53</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本基金通过重点投资于与先进制造主题相关的优质企业，把握中国产业结构升级的投资机会，在控制风险并保持基金资产良好的流动性的前提下，力争实现基金资产的长期稳定增值。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先进制造主题相关的上市公司投资机会，以谋求良好收益。其中，本基金所指的先进制造，是指在中国经济和制造行业转型升级的大背景下，立足我国国情和科技、产业基础，通过信息化与工业化的深度融合，运用先进的科技技术、材料工艺以及生产方式，推进制造行业生产过程智能化、自动化和制造领域的互联网化，全面提升企业研发、生产、管理和服务水平等。</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2018年3月21日起，由“75%×申银万国装备制造指数收益率+25%×中证综合债券指数收益率”变更为“60%×沪深300指数收益率+40%×中证综合债券指数收益率”，详情见本基金管理人于2018年3月21日发布的《交银施罗德基金管理有限公司关于交银施罗德先进制造混合型证券投资基金基金份额持有人大会表决结果暨决议生效的公告》。</w:t>
      </w:r>
    </w:p>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(2018年7月1日-2018年9月30日)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-248,541,514.11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6,382,732.51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0.0050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2,275,073,174.64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1.765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0.34%</w:t>
            </w:r>
          </w:p>
        </w:tc>
        <w:tc>
          <w:tcPr>
            <w:vAlign w:val="center"/>
          </w:tcPr>
          <w:p>
            <w:pPr>
              <w:jc w:val="center"/>
            </w:pPr>
            <w:r>
              <w:rPr>
                <w:color w:val="000000"/>
                <w:sz w:val="24"/>
                <w:szCs w:val="24"/>
              </w:rPr>
              <w:t>1.38%</w:t>
            </w:r>
          </w:p>
        </w:tc>
        <w:tc>
          <w:tcPr>
            <w:vAlign w:val="center"/>
          </w:tcPr>
          <w:p>
            <w:pPr>
              <w:jc w:val="center"/>
            </w:pPr>
            <w:r>
              <w:rPr>
                <w:color w:val="000000"/>
                <w:sz w:val="24"/>
                <w:szCs w:val="24"/>
              </w:rPr>
              <w:t>-0.58%</w:t>
            </w:r>
          </w:p>
        </w:tc>
        <w:tc>
          <w:tcPr>
            <w:vAlign w:val="center"/>
          </w:tcPr>
          <w:p>
            <w:pPr>
              <w:jc w:val="center"/>
            </w:pPr>
            <w:r>
              <w:rPr>
                <w:color w:val="000000"/>
                <w:sz w:val="24"/>
                <w:szCs w:val="24"/>
              </w:rPr>
              <w:t>0.81%</w:t>
            </w:r>
          </w:p>
        </w:tc>
        <w:tc>
          <w:tcPr>
            <w:vAlign w:val="center"/>
          </w:tcPr>
          <w:p>
            <w:pPr>
              <w:jc w:val="center"/>
            </w:pPr>
            <w:r>
              <w:rPr>
                <w:color w:val="000000"/>
                <w:sz w:val="24"/>
                <w:szCs w:val="24"/>
              </w:rPr>
              <w:t>0.92%</w:t>
            </w:r>
          </w:p>
        </w:tc>
        <w:tc>
          <w:tcPr>
            <w:vAlign w:val="center"/>
          </w:tcPr>
          <w:p>
            <w:pPr>
              <w:jc w:val="center"/>
            </w:pPr>
            <w:r>
              <w:rPr>
                <w:color w:val="000000"/>
                <w:sz w:val="24"/>
                <w:szCs w:val="24"/>
              </w:rPr>
              <w:t>0.57%</w:t>
            </w:r>
          </w:p>
        </w:tc>
      </w:tr>
    </w:tbl>
    <w:p>
      <w:pPr>
        <w:autoSpaceDE w:val="0"/>
        <w:autoSpaceDN w:val="0"/>
        <w:adjustRightInd w:val="0"/>
        <w:spacing w:before="29" w:line="288" w:lineRule="auto"/>
        <w:jc w:val="left"/>
        <w:rPr>
          <w:color w:val="000000"/>
          <w:sz w:val="24"/>
          <w:szCs w:val="24"/>
        </w:rPr>
      </w:pPr>
      <w:r>
        <w:rPr>
          <w:color w:val="000000"/>
          <w:sz w:val="24"/>
          <w:szCs w:val="24"/>
        </w:rPr>
        <w:t>注：1、本基金业绩比较基准自2015年10月1日起，由“75%×申银万国装备制造指数收益率+25%×中信标普全债指数收益率”变更为“75%×申银万国装备制造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基金业绩比较基准自2018年3月21日起，由“75%×申银万国装备制造指数收益率+25%×中证综合债券指数收益率”变更为“60%×沪深300指数收益率+40%×中证综合债券指数收益率”，3.2.2同。详情见本基金管理人于2018年3月21日发布的《交银施罗德基金管理有限公司关于交银施罗德先进制造混合型证券投资基金基金份额持有人大会表决结果暨决议生效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交银施罗德先进制造混合型证券投资基金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2011年6月22日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刘鹏</w:t>
            </w:r>
          </w:p>
        </w:tc>
        <w:tc>
          <w:tcPr>
            <w:vAlign w:val="center"/>
          </w:tcPr>
          <w:p>
            <w:pPr>
              <w:jc w:val="center"/>
            </w:pPr>
            <w:r>
              <w:rPr>
                <w:color w:val="000000"/>
                <w:sz w:val="24"/>
                <w:szCs w:val="24"/>
              </w:rPr>
              <w:t>交银先进制造混合的基金经理</w:t>
            </w:r>
          </w:p>
        </w:tc>
        <w:tc>
          <w:tcPr>
            <w:vAlign w:val="center"/>
          </w:tcPr>
          <w:p>
            <w:pPr>
              <w:jc w:val="center"/>
            </w:pPr>
            <w:r>
              <w:rPr>
                <w:color w:val="000000"/>
                <w:sz w:val="24"/>
                <w:szCs w:val="24"/>
              </w:rPr>
              <w:t>2018-05-29</w:t>
            </w:r>
          </w:p>
        </w:tc>
        <w:tc>
          <w:tcPr>
            <w:vAlign w:val="center"/>
          </w:tcPr>
          <w:p>
            <w:pPr>
              <w:jc w:val="center"/>
            </w:pPr>
            <w:r>
              <w:rPr>
                <w:color w:val="000000"/>
                <w:sz w:val="24"/>
                <w:szCs w:val="24"/>
              </w:rPr>
              <w:t>-</w:t>
            </w:r>
          </w:p>
        </w:tc>
        <w:tc>
          <w:tcPr>
            <w:vAlign w:val="center"/>
          </w:tcPr>
          <w:p>
            <w:pPr>
              <w:jc w:val="center"/>
            </w:pPr>
            <w:r>
              <w:rPr>
                <w:color w:val="000000"/>
                <w:sz w:val="24"/>
                <w:szCs w:val="24"/>
              </w:rPr>
              <w:t>4年</w:t>
            </w:r>
          </w:p>
        </w:tc>
        <w:tc>
          <w:tcPr>
            <w:vAlign w:val="center"/>
          </w:tcPr>
          <w:p>
            <w:pPr>
              <w:jc w:val="both"/>
            </w:pPr>
            <w:r>
              <w:rPr>
                <w:color w:val="000000"/>
                <w:sz w:val="24"/>
                <w:szCs w:val="24"/>
              </w:rPr>
              <w:t>刘鹏先生，中国人民大学金融学硕士，北京理工大学经济学学士。2014年6月加入交银施罗德基金管理有限公司，历任行业分析师。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三季度市场显著分化，银行板块带动上证50在三季度上涨5.11%，而创业板、中小板指均有两位数下跌。</w:t>
      </w:r>
    </w:p>
    <w:p>
      <w:pPr>
        <w:spacing w:before="29" w:line="288" w:lineRule="auto"/>
        <w:ind w:firstLine="480" w:firstLineChars="200"/>
        <w:rPr>
          <w:color w:val="000000"/>
          <w:sz w:val="24"/>
          <w:szCs w:val="24"/>
        </w:rPr>
      </w:pPr>
      <w:r>
        <w:rPr>
          <w:color w:val="000000"/>
          <w:sz w:val="24"/>
          <w:szCs w:val="24"/>
        </w:rPr>
        <w:t>2018年是国内经济历史积压问题显现的一年，二季报提及的去杠杆、贸易战、人民币贬值预期、全球经济回落四个外部风险看，国内的去杠杆在趋缓，汇率在资本管制和央行预期引导下暂时稳定，但其他两大风险进一步放大。</w:t>
      </w:r>
    </w:p>
    <w:p>
      <w:pPr>
        <w:spacing w:before="29" w:line="288" w:lineRule="auto"/>
        <w:ind w:firstLine="480" w:firstLineChars="200"/>
        <w:rPr>
          <w:color w:val="000000"/>
          <w:sz w:val="24"/>
          <w:szCs w:val="24"/>
        </w:rPr>
      </w:pPr>
      <w:r>
        <w:rPr>
          <w:color w:val="000000"/>
          <w:sz w:val="24"/>
          <w:szCs w:val="24"/>
        </w:rPr>
        <w:t>在此背景下，我们认为还没有明显看到经济基本面快速下行预期，业绩仍有下行空间。但无论从估值角度还是历史相对位置，A股整体或处于底部区域。因此，我们积极寻找抗周期的方向和标的以及代表中国制造业未来的战略性标的，并保持中性仓位。</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未来，短期我们依然会保持二季度的配置策略，等待基本面风险释放。中长期，我们依然看好中国制造的持续升级，并以此为主线选择和储备标的。本基金对主动仓位择时保持审慎态度，并保持组合良好流动性。力求控制好业绩回撤，努力为持有人取得稳健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1,832,889,676.66</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80.05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1,832,889,676.66</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80.05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114,413,500.00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5.00</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114,413,500.00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5.00</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289,618,705.35</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12.65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52,817,288.59</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2.31</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2,289,739,170.60</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166,262,435.68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7.31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1,295,546,857.91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56.95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24,498,267.65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73,307,992.80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22,647,443.00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23,101,163.08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169,380,773.38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7.45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22,602,768.08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0.99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35,541,975.08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1,832,889,676.66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80.56</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601100</w:t>
            </w:r>
          </w:p>
        </w:tc>
        <w:tc>
          <w:tcPr>
            <w:vAlign w:val="center"/>
          </w:tcPr>
          <w:p>
            <w:pPr>
              <w:jc w:val="center"/>
            </w:pPr>
            <w:r>
              <w:rPr>
                <w:color w:val="000000"/>
                <w:sz w:val="24"/>
                <w:szCs w:val="24"/>
              </w:rPr>
              <w:t>恒立液压</w:t>
            </w:r>
          </w:p>
        </w:tc>
        <w:tc>
          <w:tcPr>
            <w:vAlign w:val="center"/>
          </w:tcPr>
          <w:p>
            <w:pPr>
              <w:jc w:val="right"/>
            </w:pPr>
            <w:r>
              <w:rPr>
                <w:color w:val="000000"/>
                <w:sz w:val="24"/>
                <w:szCs w:val="24"/>
              </w:rPr>
              <w:t>9,716,526</w:t>
            </w:r>
          </w:p>
        </w:tc>
        <w:tc>
          <w:tcPr>
            <w:vAlign w:val="center"/>
          </w:tcPr>
          <w:p>
            <w:pPr>
              <w:jc w:val="right"/>
            </w:pPr>
            <w:r>
              <w:rPr>
                <w:color w:val="000000"/>
                <w:sz w:val="24"/>
                <w:szCs w:val="24"/>
              </w:rPr>
              <w:t>216,970,025.58</w:t>
            </w:r>
          </w:p>
        </w:tc>
        <w:tc>
          <w:tcPr>
            <w:vAlign w:val="center"/>
          </w:tcPr>
          <w:p>
            <w:pPr>
              <w:jc w:val="right"/>
            </w:pPr>
            <w:r>
              <w:rPr>
                <w:color w:val="000000"/>
                <w:sz w:val="24"/>
                <w:szCs w:val="24"/>
              </w:rPr>
              <w:t>9.54</w:t>
            </w:r>
          </w:p>
        </w:tc>
      </w:tr>
      <w:tr>
        <w:tc>
          <w:tcPr>
            <w:vAlign w:val="center"/>
          </w:tcPr>
          <w:p>
            <w:pPr>
              <w:jc w:val="center"/>
            </w:pPr>
            <w:r>
              <w:rPr>
                <w:color w:val="000000"/>
                <w:sz w:val="24"/>
                <w:szCs w:val="24"/>
              </w:rPr>
              <w:t>2</w:t>
            </w:r>
          </w:p>
        </w:tc>
        <w:tc>
          <w:tcPr>
            <w:vAlign w:val="center"/>
          </w:tcPr>
          <w:p>
            <w:pPr>
              <w:jc w:val="center"/>
            </w:pPr>
            <w:r>
              <w:rPr>
                <w:color w:val="000000"/>
                <w:sz w:val="24"/>
                <w:szCs w:val="24"/>
              </w:rPr>
              <w:t>600967</w:t>
            </w:r>
          </w:p>
        </w:tc>
        <w:tc>
          <w:tcPr>
            <w:vAlign w:val="center"/>
          </w:tcPr>
          <w:p>
            <w:pPr>
              <w:jc w:val="center"/>
            </w:pPr>
            <w:r>
              <w:rPr>
                <w:color w:val="000000"/>
                <w:sz w:val="24"/>
                <w:szCs w:val="24"/>
              </w:rPr>
              <w:t>内蒙一机</w:t>
            </w:r>
          </w:p>
        </w:tc>
        <w:tc>
          <w:tcPr>
            <w:vAlign w:val="center"/>
          </w:tcPr>
          <w:p>
            <w:pPr>
              <w:jc w:val="right"/>
            </w:pPr>
            <w:r>
              <w:rPr>
                <w:color w:val="000000"/>
                <w:sz w:val="24"/>
                <w:szCs w:val="24"/>
              </w:rPr>
              <w:t>13,389,849</w:t>
            </w:r>
          </w:p>
        </w:tc>
        <w:tc>
          <w:tcPr>
            <w:vAlign w:val="center"/>
          </w:tcPr>
          <w:p>
            <w:pPr>
              <w:jc w:val="right"/>
            </w:pPr>
            <w:r>
              <w:rPr>
                <w:color w:val="000000"/>
                <w:sz w:val="24"/>
                <w:szCs w:val="24"/>
              </w:rPr>
              <w:t>185,315,510.16</w:t>
            </w:r>
          </w:p>
        </w:tc>
        <w:tc>
          <w:tcPr>
            <w:vAlign w:val="center"/>
          </w:tcPr>
          <w:p>
            <w:pPr>
              <w:jc w:val="right"/>
            </w:pPr>
            <w:r>
              <w:rPr>
                <w:color w:val="000000"/>
                <w:sz w:val="24"/>
                <w:szCs w:val="24"/>
              </w:rPr>
              <w:t>8.15</w:t>
            </w:r>
          </w:p>
        </w:tc>
      </w:tr>
      <w:tr>
        <w:tc>
          <w:tcPr>
            <w:vAlign w:val="center"/>
          </w:tcPr>
          <w:p>
            <w:pPr>
              <w:jc w:val="center"/>
            </w:pPr>
            <w:r>
              <w:rPr>
                <w:color w:val="000000"/>
                <w:sz w:val="24"/>
                <w:szCs w:val="24"/>
              </w:rPr>
              <w:t>3</w:t>
            </w:r>
          </w:p>
        </w:tc>
        <w:tc>
          <w:tcPr>
            <w:vAlign w:val="center"/>
          </w:tcPr>
          <w:p>
            <w:pPr>
              <w:jc w:val="center"/>
            </w:pPr>
            <w:r>
              <w:rPr>
                <w:color w:val="000000"/>
                <w:sz w:val="24"/>
                <w:szCs w:val="24"/>
              </w:rPr>
              <w:t>600038</w:t>
            </w:r>
          </w:p>
        </w:tc>
        <w:tc>
          <w:tcPr>
            <w:vAlign w:val="center"/>
          </w:tcPr>
          <w:p>
            <w:pPr>
              <w:jc w:val="center"/>
            </w:pPr>
            <w:r>
              <w:rPr>
                <w:color w:val="000000"/>
                <w:sz w:val="24"/>
                <w:szCs w:val="24"/>
              </w:rPr>
              <w:t>中直股份</w:t>
            </w:r>
          </w:p>
        </w:tc>
        <w:tc>
          <w:tcPr>
            <w:vAlign w:val="center"/>
          </w:tcPr>
          <w:p>
            <w:pPr>
              <w:jc w:val="right"/>
            </w:pPr>
            <w:r>
              <w:rPr>
                <w:color w:val="000000"/>
                <w:sz w:val="24"/>
                <w:szCs w:val="24"/>
              </w:rPr>
              <w:t>4,142,231</w:t>
            </w:r>
          </w:p>
        </w:tc>
        <w:tc>
          <w:tcPr>
            <w:vAlign w:val="center"/>
          </w:tcPr>
          <w:p>
            <w:pPr>
              <w:jc w:val="right"/>
            </w:pPr>
            <w:r>
              <w:rPr>
                <w:color w:val="000000"/>
                <w:sz w:val="24"/>
                <w:szCs w:val="24"/>
              </w:rPr>
              <w:t>165,109,327.66</w:t>
            </w:r>
          </w:p>
        </w:tc>
        <w:tc>
          <w:tcPr>
            <w:vAlign w:val="center"/>
          </w:tcPr>
          <w:p>
            <w:pPr>
              <w:jc w:val="right"/>
            </w:pPr>
            <w:r>
              <w:rPr>
                <w:color w:val="000000"/>
                <w:sz w:val="24"/>
                <w:szCs w:val="24"/>
              </w:rPr>
              <w:t>7.26</w:t>
            </w:r>
          </w:p>
        </w:tc>
      </w:tr>
      <w:tr>
        <w:tc>
          <w:tcPr>
            <w:vAlign w:val="center"/>
          </w:tcPr>
          <w:p>
            <w:pPr>
              <w:jc w:val="center"/>
            </w:pPr>
            <w:r>
              <w:rPr>
                <w:color w:val="000000"/>
                <w:sz w:val="24"/>
                <w:szCs w:val="24"/>
              </w:rPr>
              <w:t>4</w:t>
            </w:r>
          </w:p>
        </w:tc>
        <w:tc>
          <w:tcPr>
            <w:vAlign w:val="center"/>
          </w:tcPr>
          <w:p>
            <w:pPr>
              <w:jc w:val="center"/>
            </w:pPr>
            <w:r>
              <w:rPr>
                <w:color w:val="000000"/>
                <w:sz w:val="24"/>
                <w:szCs w:val="24"/>
              </w:rPr>
              <w:t>600256</w:t>
            </w:r>
          </w:p>
        </w:tc>
        <w:tc>
          <w:tcPr>
            <w:vAlign w:val="center"/>
          </w:tcPr>
          <w:p>
            <w:pPr>
              <w:jc w:val="center"/>
            </w:pPr>
            <w:r>
              <w:rPr>
                <w:color w:val="000000"/>
                <w:sz w:val="24"/>
                <w:szCs w:val="24"/>
              </w:rPr>
              <w:t>广汇能源</w:t>
            </w:r>
          </w:p>
        </w:tc>
        <w:tc>
          <w:tcPr>
            <w:vAlign w:val="center"/>
          </w:tcPr>
          <w:p>
            <w:pPr>
              <w:jc w:val="right"/>
            </w:pPr>
            <w:r>
              <w:rPr>
                <w:color w:val="000000"/>
                <w:sz w:val="24"/>
                <w:szCs w:val="24"/>
              </w:rPr>
              <w:t>27,305,888</w:t>
            </w:r>
          </w:p>
        </w:tc>
        <w:tc>
          <w:tcPr>
            <w:vAlign w:val="center"/>
          </w:tcPr>
          <w:p>
            <w:pPr>
              <w:jc w:val="right"/>
            </w:pPr>
            <w:r>
              <w:rPr>
                <w:color w:val="000000"/>
                <w:sz w:val="24"/>
                <w:szCs w:val="24"/>
              </w:rPr>
              <w:t>139,533,087.68</w:t>
            </w:r>
          </w:p>
        </w:tc>
        <w:tc>
          <w:tcPr>
            <w:vAlign w:val="center"/>
          </w:tcPr>
          <w:p>
            <w:pPr>
              <w:jc w:val="right"/>
            </w:pPr>
            <w:r>
              <w:rPr>
                <w:color w:val="000000"/>
                <w:sz w:val="24"/>
                <w:szCs w:val="24"/>
              </w:rPr>
              <w:t>6.13</w:t>
            </w:r>
          </w:p>
        </w:tc>
      </w:tr>
      <w:tr>
        <w:tc>
          <w:tcPr>
            <w:vAlign w:val="center"/>
          </w:tcPr>
          <w:p>
            <w:pPr>
              <w:jc w:val="center"/>
            </w:pPr>
            <w:r>
              <w:rPr>
                <w:color w:val="000000"/>
                <w:sz w:val="24"/>
                <w:szCs w:val="24"/>
              </w:rPr>
              <w:t>5</w:t>
            </w:r>
          </w:p>
        </w:tc>
        <w:tc>
          <w:tcPr>
            <w:vAlign w:val="center"/>
          </w:tcPr>
          <w:p>
            <w:pPr>
              <w:jc w:val="center"/>
            </w:pPr>
            <w:r>
              <w:rPr>
                <w:color w:val="000000"/>
                <w:sz w:val="24"/>
                <w:szCs w:val="24"/>
              </w:rPr>
              <w:t>000768</w:t>
            </w:r>
          </w:p>
        </w:tc>
        <w:tc>
          <w:tcPr>
            <w:vAlign w:val="center"/>
          </w:tcPr>
          <w:p>
            <w:pPr>
              <w:jc w:val="center"/>
            </w:pPr>
            <w:r>
              <w:rPr>
                <w:color w:val="000000"/>
                <w:sz w:val="24"/>
                <w:szCs w:val="24"/>
              </w:rPr>
              <w:t>中航飞机</w:t>
            </w:r>
          </w:p>
        </w:tc>
        <w:tc>
          <w:tcPr>
            <w:vAlign w:val="center"/>
          </w:tcPr>
          <w:p>
            <w:pPr>
              <w:jc w:val="right"/>
            </w:pPr>
            <w:r>
              <w:rPr>
                <w:color w:val="000000"/>
                <w:sz w:val="24"/>
                <w:szCs w:val="24"/>
              </w:rPr>
              <w:t>8,662,034</w:t>
            </w:r>
          </w:p>
        </w:tc>
        <w:tc>
          <w:tcPr>
            <w:vAlign w:val="center"/>
          </w:tcPr>
          <w:p>
            <w:pPr>
              <w:jc w:val="right"/>
            </w:pPr>
            <w:r>
              <w:rPr>
                <w:color w:val="000000"/>
                <w:sz w:val="24"/>
                <w:szCs w:val="24"/>
              </w:rPr>
              <w:t>137,553,099.92</w:t>
            </w:r>
          </w:p>
        </w:tc>
        <w:tc>
          <w:tcPr>
            <w:vAlign w:val="center"/>
          </w:tcPr>
          <w:p>
            <w:pPr>
              <w:jc w:val="right"/>
            </w:pPr>
            <w:r>
              <w:rPr>
                <w:color w:val="000000"/>
                <w:sz w:val="24"/>
                <w:szCs w:val="24"/>
              </w:rPr>
              <w:t>6.05</w:t>
            </w:r>
          </w:p>
        </w:tc>
      </w:tr>
      <w:tr>
        <w:tc>
          <w:tcPr>
            <w:vAlign w:val="center"/>
          </w:tcPr>
          <w:p>
            <w:pPr>
              <w:jc w:val="center"/>
            </w:pPr>
            <w:r>
              <w:rPr>
                <w:color w:val="000000"/>
                <w:sz w:val="24"/>
                <w:szCs w:val="24"/>
              </w:rPr>
              <w:t>6</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7,136,132</w:t>
            </w:r>
          </w:p>
        </w:tc>
        <w:tc>
          <w:tcPr>
            <w:vAlign w:val="center"/>
          </w:tcPr>
          <w:p>
            <w:pPr>
              <w:jc w:val="right"/>
            </w:pPr>
            <w:r>
              <w:rPr>
                <w:color w:val="000000"/>
                <w:sz w:val="24"/>
                <w:szCs w:val="24"/>
              </w:rPr>
              <w:t>86,846,726.44</w:t>
            </w:r>
          </w:p>
        </w:tc>
        <w:tc>
          <w:tcPr>
            <w:vAlign w:val="center"/>
          </w:tcPr>
          <w:p>
            <w:pPr>
              <w:jc w:val="right"/>
            </w:pPr>
            <w:r>
              <w:rPr>
                <w:color w:val="000000"/>
                <w:sz w:val="24"/>
                <w:szCs w:val="24"/>
              </w:rPr>
              <w:t>3.82</w:t>
            </w:r>
          </w:p>
        </w:tc>
      </w:tr>
      <w:tr>
        <w:tc>
          <w:tcPr>
            <w:vAlign w:val="center"/>
          </w:tcPr>
          <w:p>
            <w:pPr>
              <w:jc w:val="center"/>
            </w:pPr>
            <w:r>
              <w:rPr>
                <w:color w:val="000000"/>
                <w:sz w:val="24"/>
                <w:szCs w:val="24"/>
              </w:rPr>
              <w:t>7</w:t>
            </w:r>
          </w:p>
        </w:tc>
        <w:tc>
          <w:tcPr>
            <w:vAlign w:val="center"/>
          </w:tcPr>
          <w:p>
            <w:pPr>
              <w:jc w:val="center"/>
            </w:pPr>
            <w:r>
              <w:rPr>
                <w:color w:val="000000"/>
                <w:sz w:val="24"/>
                <w:szCs w:val="24"/>
              </w:rPr>
              <w:t>603338</w:t>
            </w:r>
          </w:p>
        </w:tc>
        <w:tc>
          <w:tcPr>
            <w:vAlign w:val="center"/>
          </w:tcPr>
          <w:p>
            <w:pPr>
              <w:jc w:val="center"/>
            </w:pPr>
            <w:r>
              <w:rPr>
                <w:color w:val="000000"/>
                <w:sz w:val="24"/>
                <w:szCs w:val="24"/>
              </w:rPr>
              <w:t>浙江鼎力</w:t>
            </w:r>
          </w:p>
        </w:tc>
        <w:tc>
          <w:tcPr>
            <w:vAlign w:val="center"/>
          </w:tcPr>
          <w:p>
            <w:pPr>
              <w:jc w:val="right"/>
            </w:pPr>
            <w:r>
              <w:rPr>
                <w:color w:val="000000"/>
                <w:sz w:val="24"/>
                <w:szCs w:val="24"/>
              </w:rPr>
              <w:t>1,425,048</w:t>
            </w:r>
          </w:p>
        </w:tc>
        <w:tc>
          <w:tcPr>
            <w:vAlign w:val="center"/>
          </w:tcPr>
          <w:p>
            <w:pPr>
              <w:jc w:val="right"/>
            </w:pPr>
            <w:r>
              <w:rPr>
                <w:color w:val="000000"/>
                <w:sz w:val="24"/>
                <w:szCs w:val="24"/>
              </w:rPr>
              <w:t>77,237,601.60</w:t>
            </w:r>
          </w:p>
        </w:tc>
        <w:tc>
          <w:tcPr>
            <w:vAlign w:val="center"/>
          </w:tcPr>
          <w:p>
            <w:pPr>
              <w:jc w:val="right"/>
            </w:pPr>
            <w:r>
              <w:rPr>
                <w:color w:val="000000"/>
                <w:sz w:val="24"/>
                <w:szCs w:val="24"/>
              </w:rPr>
              <w:t>3.39</w:t>
            </w:r>
          </w:p>
        </w:tc>
      </w:tr>
      <w:tr>
        <w:tc>
          <w:tcPr>
            <w:vAlign w:val="center"/>
          </w:tcPr>
          <w:p>
            <w:pPr>
              <w:jc w:val="center"/>
            </w:pPr>
            <w:r>
              <w:rPr>
                <w:color w:val="000000"/>
                <w:sz w:val="24"/>
                <w:szCs w:val="24"/>
              </w:rPr>
              <w:t>8</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3,338,414</w:t>
            </w:r>
          </w:p>
        </w:tc>
        <w:tc>
          <w:tcPr>
            <w:vAlign w:val="center"/>
          </w:tcPr>
          <w:p>
            <w:pPr>
              <w:jc w:val="right"/>
            </w:pPr>
            <w:r>
              <w:rPr>
                <w:color w:val="000000"/>
                <w:sz w:val="24"/>
                <w:szCs w:val="24"/>
              </w:rPr>
              <w:t>68,437,487.00</w:t>
            </w:r>
          </w:p>
        </w:tc>
        <w:tc>
          <w:tcPr>
            <w:vAlign w:val="center"/>
          </w:tcPr>
          <w:p>
            <w:pPr>
              <w:jc w:val="right"/>
            </w:pPr>
            <w:r>
              <w:rPr>
                <w:color w:val="000000"/>
                <w:sz w:val="24"/>
                <w:szCs w:val="24"/>
              </w:rPr>
              <w:t>3.01</w:t>
            </w:r>
          </w:p>
        </w:tc>
      </w:tr>
      <w:tr>
        <w:tc>
          <w:tcPr>
            <w:vAlign w:val="center"/>
          </w:tcPr>
          <w:p>
            <w:pPr>
              <w:jc w:val="center"/>
            </w:pPr>
            <w:r>
              <w:rPr>
                <w:color w:val="000000"/>
                <w:sz w:val="24"/>
                <w:szCs w:val="24"/>
              </w:rPr>
              <w:t>9</w:t>
            </w:r>
          </w:p>
        </w:tc>
        <w:tc>
          <w:tcPr>
            <w:vAlign w:val="center"/>
          </w:tcPr>
          <w:p>
            <w:pPr>
              <w:jc w:val="center"/>
            </w:pPr>
            <w:r>
              <w:rPr>
                <w:color w:val="000000"/>
                <w:sz w:val="24"/>
                <w:szCs w:val="24"/>
              </w:rPr>
              <w:t>600990</w:t>
            </w:r>
          </w:p>
        </w:tc>
        <w:tc>
          <w:tcPr>
            <w:vAlign w:val="center"/>
          </w:tcPr>
          <w:p>
            <w:pPr>
              <w:jc w:val="center"/>
            </w:pPr>
            <w:r>
              <w:rPr>
                <w:color w:val="000000"/>
                <w:sz w:val="24"/>
                <w:szCs w:val="24"/>
              </w:rPr>
              <w:t>四创电子</w:t>
            </w:r>
          </w:p>
        </w:tc>
        <w:tc>
          <w:tcPr>
            <w:vAlign w:val="center"/>
          </w:tcPr>
          <w:p>
            <w:pPr>
              <w:jc w:val="right"/>
            </w:pPr>
            <w:r>
              <w:rPr>
                <w:color w:val="000000"/>
                <w:sz w:val="24"/>
                <w:szCs w:val="24"/>
              </w:rPr>
              <w:t>1,534,605</w:t>
            </w:r>
          </w:p>
        </w:tc>
        <w:tc>
          <w:tcPr>
            <w:vAlign w:val="center"/>
          </w:tcPr>
          <w:p>
            <w:pPr>
              <w:jc w:val="right"/>
            </w:pPr>
            <w:r>
              <w:rPr>
                <w:color w:val="000000"/>
                <w:sz w:val="24"/>
                <w:szCs w:val="24"/>
              </w:rPr>
              <w:t>65,988,015.00</w:t>
            </w:r>
          </w:p>
        </w:tc>
        <w:tc>
          <w:tcPr>
            <w:vAlign w:val="center"/>
          </w:tcPr>
          <w:p>
            <w:pPr>
              <w:jc w:val="right"/>
            </w:pPr>
            <w:r>
              <w:rPr>
                <w:color w:val="000000"/>
                <w:sz w:val="24"/>
                <w:szCs w:val="24"/>
              </w:rPr>
              <w:t>2.90</w:t>
            </w:r>
          </w:p>
        </w:tc>
      </w:tr>
      <w:tr>
        <w:tc>
          <w:tcPr>
            <w:vAlign w:val="center"/>
          </w:tcPr>
          <w:p>
            <w:pPr>
              <w:jc w:val="center"/>
            </w:pPr>
            <w:r>
              <w:rPr>
                <w:color w:val="000000"/>
                <w:sz w:val="24"/>
                <w:szCs w:val="24"/>
              </w:rPr>
              <w:t>10</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2,628,853</w:t>
            </w:r>
          </w:p>
        </w:tc>
        <w:tc>
          <w:tcPr>
            <w:vAlign w:val="center"/>
          </w:tcPr>
          <w:p>
            <w:pPr>
              <w:jc w:val="right"/>
            </w:pPr>
            <w:r>
              <w:rPr>
                <w:color w:val="000000"/>
                <w:sz w:val="24"/>
                <w:szCs w:val="24"/>
              </w:rPr>
              <w:t>63,881,127.90</w:t>
            </w:r>
          </w:p>
        </w:tc>
        <w:tc>
          <w:tcPr>
            <w:vAlign w:val="center"/>
          </w:tcPr>
          <w:p>
            <w:pPr>
              <w:jc w:val="right"/>
            </w:pPr>
            <w:r>
              <w:rPr>
                <w:color w:val="000000"/>
                <w:sz w:val="24"/>
                <w:szCs w:val="24"/>
              </w:rPr>
              <w:t>2.81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114,413,500.00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5.03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114,413,500.00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5.03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189937</w:t>
            </w:r>
          </w:p>
        </w:tc>
        <w:tc>
          <w:tcPr>
            <w:vAlign w:val="center"/>
          </w:tcPr>
          <w:p>
            <w:pPr>
              <w:jc w:val="center"/>
            </w:pPr>
            <w:r>
              <w:rPr>
                <w:color w:val="000000"/>
                <w:sz w:val="24"/>
                <w:szCs w:val="24"/>
              </w:rPr>
              <w:t>18贴现国债37</w:t>
            </w:r>
          </w:p>
        </w:tc>
        <w:tc>
          <w:tcPr>
            <w:vAlign w:val="center"/>
          </w:tcPr>
          <w:p>
            <w:pPr>
              <w:jc w:val="right"/>
            </w:pPr>
            <w:r>
              <w:rPr>
                <w:color w:val="000000"/>
                <w:sz w:val="24"/>
                <w:szCs w:val="24"/>
              </w:rPr>
              <w:t>1,150,000</w:t>
            </w:r>
          </w:p>
        </w:tc>
        <w:tc>
          <w:tcPr>
            <w:vAlign w:val="center"/>
          </w:tcPr>
          <w:p>
            <w:pPr>
              <w:jc w:val="right"/>
            </w:pPr>
            <w:r>
              <w:rPr>
                <w:color w:val="000000"/>
                <w:sz w:val="24"/>
                <w:szCs w:val="24"/>
              </w:rPr>
              <w:t>114,413,500.00</w:t>
            </w:r>
          </w:p>
        </w:tc>
        <w:tc>
          <w:tcPr>
            <w:vAlign w:val="center"/>
          </w:tcPr>
          <w:p>
            <w:pPr>
              <w:jc w:val="right"/>
            </w:pPr>
            <w:r>
              <w:rPr>
                <w:color w:val="000000"/>
                <w:sz w:val="24"/>
                <w:szCs w:val="24"/>
              </w:rPr>
              <w:t>5.03</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2,220,289.85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47,121,058.29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357,178.63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3,118,761.82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52,817,288.59</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1,253,865,585.43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86,243,928.82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51,132,441.72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1,288,977,072.53</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1、中国证监会核准交银施罗德先进制造股票证券投资基金募集的文件；</w:t>
      </w:r>
    </w:p>
    <w:p>
      <w:pPr>
        <w:spacing w:before="29" w:line="288" w:lineRule="auto"/>
        <w:ind w:firstLine="480" w:firstLineChars="200"/>
        <w:rPr>
          <w:color w:val="000000"/>
          <w:sz w:val="24"/>
          <w:szCs w:val="24"/>
        </w:rPr>
      </w:pPr>
      <w:r>
        <w:rPr>
          <w:color w:val="000000"/>
          <w:sz w:val="24"/>
          <w:szCs w:val="24"/>
        </w:rPr>
        <w:t>2、中国证监会准予交银施罗德先进制造混合型证券投资基金变更注册的文件；</w:t>
      </w:r>
    </w:p>
    <w:p>
      <w:pPr>
        <w:spacing w:before="29" w:line="288" w:lineRule="auto"/>
        <w:ind w:firstLine="480" w:firstLineChars="200"/>
        <w:rPr>
          <w:color w:val="000000"/>
          <w:sz w:val="24"/>
          <w:szCs w:val="24"/>
        </w:rPr>
      </w:pPr>
      <w:r>
        <w:rPr>
          <w:color w:val="000000"/>
          <w:sz w:val="24"/>
          <w:szCs w:val="24"/>
        </w:rPr>
        <w:t xml:space="preserve">3、《交银施罗德先进制造混合型证券投资基金基金合同》； </w:t>
      </w:r>
    </w:p>
    <w:p>
      <w:pPr>
        <w:spacing w:before="29" w:line="288" w:lineRule="auto"/>
        <w:ind w:firstLine="480" w:firstLineChars="200"/>
        <w:rPr>
          <w:color w:val="000000"/>
          <w:sz w:val="24"/>
          <w:szCs w:val="24"/>
        </w:rPr>
      </w:pPr>
      <w:r>
        <w:rPr>
          <w:color w:val="000000"/>
          <w:sz w:val="24"/>
          <w:szCs w:val="24"/>
        </w:rPr>
        <w:t>4、《交银施罗德先进制造混合型证券投资基金招募说明书》；</w:t>
      </w:r>
    </w:p>
    <w:p>
      <w:pPr>
        <w:spacing w:before="29" w:line="288" w:lineRule="auto"/>
        <w:ind w:firstLine="480" w:firstLineChars="200"/>
        <w:rPr>
          <w:color w:val="000000"/>
          <w:sz w:val="24"/>
          <w:szCs w:val="24"/>
        </w:rPr>
      </w:pPr>
      <w:r>
        <w:rPr>
          <w:color w:val="000000"/>
          <w:sz w:val="24"/>
          <w:szCs w:val="24"/>
        </w:rPr>
        <w:t xml:space="preserve">5、《交银施罗德先进制造混合型证券投资基金托管协议》； </w:t>
      </w:r>
    </w:p>
    <w:p>
      <w:pPr>
        <w:spacing w:before="29" w:line="288" w:lineRule="auto"/>
        <w:ind w:firstLine="480" w:firstLineChars="200"/>
        <w:rPr>
          <w:color w:val="000000"/>
          <w:sz w:val="24"/>
          <w:szCs w:val="24"/>
        </w:rPr>
      </w:pPr>
      <w:r>
        <w:rPr>
          <w:color w:val="000000"/>
          <w:sz w:val="24"/>
          <w:szCs w:val="24"/>
        </w:rPr>
        <w:t>6、关于申请募集交银施罗德先进制造股票证券投资基金之法律意见书；</w:t>
      </w:r>
    </w:p>
    <w:p>
      <w:pPr>
        <w:spacing w:before="29" w:line="288" w:lineRule="auto"/>
        <w:ind w:firstLine="480" w:firstLineChars="200"/>
        <w:rPr>
          <w:color w:val="000000"/>
          <w:sz w:val="24"/>
          <w:szCs w:val="24"/>
        </w:rPr>
      </w:pPr>
      <w:r>
        <w:rPr>
          <w:color w:val="000000"/>
          <w:sz w:val="24"/>
          <w:szCs w:val="24"/>
        </w:rPr>
        <w:t>7、关于申请变更注册交银施罗德先进制造混合型证券投资基金的法律意见书；</w:t>
      </w:r>
    </w:p>
    <w:p>
      <w:pPr>
        <w:spacing w:before="29" w:line="288" w:lineRule="auto"/>
        <w:ind w:firstLine="480" w:firstLineChars="200"/>
        <w:rPr>
          <w:color w:val="000000"/>
          <w:sz w:val="24"/>
          <w:szCs w:val="24"/>
        </w:rPr>
      </w:pPr>
      <w:r>
        <w:rPr>
          <w:color w:val="000000"/>
          <w:sz w:val="24"/>
          <w:szCs w:val="24"/>
        </w:rPr>
        <w:t>8、基金管理人业务资格批件、营业执照；</w:t>
      </w:r>
    </w:p>
    <w:p>
      <w:pPr>
        <w:spacing w:before="29" w:line="288" w:lineRule="auto"/>
        <w:ind w:firstLine="480" w:firstLineChars="200"/>
        <w:rPr>
          <w:color w:val="000000"/>
          <w:sz w:val="24"/>
          <w:szCs w:val="24"/>
        </w:rPr>
      </w:pPr>
      <w:r>
        <w:rPr>
          <w:color w:val="000000"/>
          <w:sz w:val="24"/>
          <w:szCs w:val="24"/>
        </w:rPr>
        <w:t>9、基金托管人业务资格批件、营业执照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10、报告期内交银施罗德先进制造混合型证券投资基金在指定报刊上各项公告的原稿。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交银施罗德先进制造混合型证券投资基金2018年第3季度报告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