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交银施罗德先锋混合型证券投资基金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2009年4月10日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935,080,540.20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75%×中证700指数+25%×中证综合债券指数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-90,313,691.85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-33,750,031.26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-0.0396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1,101,990,240.38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1.1785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-2.73%</w:t>
            </w:r>
          </w:p>
        </w:tc>
        <w:tc>
          <w:tcPr>
            <w:vAlign w:val="center"/>
          </w:tcPr>
          <w:p>
            <w:pPr>
              <w:jc w:val="center"/>
            </w:pPr>
            <w:r>
              <w:rPr>
                <w:color w:val="000000"/>
                <w:sz w:val="24"/>
                <w:szCs w:val="24"/>
              </w:rPr>
              <w:t>1.88%</w:t>
            </w:r>
          </w:p>
        </w:tc>
        <w:tc>
          <w:tcPr>
            <w:vAlign w:val="center"/>
          </w:tcPr>
          <w:p>
            <w:pPr>
              <w:jc w:val="center"/>
            </w:pPr>
            <w:r>
              <w:rPr>
                <w:color w:val="000000"/>
                <w:sz w:val="24"/>
                <w:szCs w:val="24"/>
              </w:rPr>
              <w:t>-5.81%</w:t>
            </w:r>
          </w:p>
        </w:tc>
        <w:tc>
          <w:tcPr>
            <w:vAlign w:val="center"/>
          </w:tcPr>
          <w:p>
            <w:pPr>
              <w:jc w:val="center"/>
            </w:pPr>
            <w:r>
              <w:rPr>
                <w:color w:val="000000"/>
                <w:sz w:val="24"/>
                <w:szCs w:val="24"/>
              </w:rPr>
              <w:t>1.00%</w:t>
            </w:r>
          </w:p>
        </w:tc>
        <w:tc>
          <w:tcPr>
            <w:vAlign w:val="center"/>
          </w:tcPr>
          <w:p>
            <w:pPr>
              <w:jc w:val="center"/>
            </w:pPr>
            <w:r>
              <w:rPr>
                <w:color w:val="000000"/>
                <w:sz w:val="24"/>
                <w:szCs w:val="24"/>
              </w:rPr>
              <w:t>3.08%</w:t>
            </w:r>
          </w:p>
        </w:tc>
        <w:tc>
          <w:tcPr>
            <w:vAlign w:val="center"/>
          </w:tcPr>
          <w:p>
            <w:pPr>
              <w:jc w:val="center"/>
            </w:pPr>
            <w:r>
              <w:rPr>
                <w:color w:val="000000"/>
                <w:sz w:val="24"/>
                <w:szCs w:val="24"/>
              </w:rPr>
              <w:t>0.88%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700指数+25%×中信全债指数”变更为“75%×中证700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交银施罗德先锋混合型证券投资基金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2009年4月10日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交银先锋混合、交银科技创新灵活配置混合、交银数据产业灵活配置混合的基金经理</w:t>
            </w:r>
          </w:p>
        </w:tc>
        <w:tc>
          <w:tcPr>
            <w:vAlign w:val="center"/>
          </w:tcPr>
          <w:p>
            <w:pPr>
              <w:jc w:val="center"/>
            </w:pPr>
            <w:r>
              <w:rPr>
                <w:color w:val="000000"/>
                <w:sz w:val="24"/>
                <w:szCs w:val="24"/>
              </w:rPr>
              <w:t>2015-05-18</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三季度，中美贸易战恶化进一步压缩了市场的估值，我们看到股票市场上有很多板块和个股的估值已经非常具有吸引力，但是由于市场对未来抱有较为悲观的态度，建仓意愿较低。但我们认为中国市场的容量足够大，也有足够的自我调节能力。</w:t>
      </w:r>
    </w:p>
    <w:p>
      <w:pPr>
        <w:spacing w:before="29" w:line="288" w:lineRule="auto"/>
        <w:ind w:firstLine="480" w:firstLineChars="200"/>
        <w:rPr>
          <w:color w:val="000000"/>
          <w:sz w:val="24"/>
          <w:szCs w:val="24"/>
        </w:rPr>
      </w:pPr>
      <w:r>
        <w:rPr>
          <w:color w:val="000000"/>
          <w:sz w:val="24"/>
          <w:szCs w:val="24"/>
        </w:rPr>
        <w:t>现行的政策都在促使经济长期的良性发展，假以时日或可看到施行效果，比如抑制房地产投资和购买冲动、压缩负债、鼓励发展硬科技等。本组合大部分持仓与贸易战关联较小，主要选择子行业景气、业绩持续增长的个股，大部分集中于科技行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展望四季度，我们仍然看好现已布局的行业的景气度，计划维持持仓。</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1,043,576,427.16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94.13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1,043,576,427.16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94.13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51,954,400.00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51,954,400.00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4.69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8,845,910.94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0.80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4,242,927.49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0.38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1,108,619,665.59</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430,445,206.81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37,119,420.48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416,656,757.95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113,578,610.72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45,776,431.20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1,043,576,427.16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94.70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4,428,252</w:t>
            </w:r>
          </w:p>
        </w:tc>
        <w:tc>
          <w:tcPr>
            <w:vAlign w:val="center"/>
          </w:tcPr>
          <w:p>
            <w:pPr>
              <w:jc w:val="right"/>
            </w:pPr>
            <w:r>
              <w:rPr>
                <w:color w:val="000000"/>
                <w:sz w:val="24"/>
                <w:szCs w:val="24"/>
              </w:rPr>
              <w:t>109,289,259.36</w:t>
            </w:r>
          </w:p>
        </w:tc>
        <w:tc>
          <w:tcPr>
            <w:vAlign w:val="center"/>
          </w:tcPr>
          <w:p>
            <w:pPr>
              <w:jc w:val="right"/>
            </w:pPr>
            <w:r>
              <w:rPr>
                <w:color w:val="000000"/>
                <w:sz w:val="24"/>
                <w:szCs w:val="24"/>
              </w:rPr>
              <w:t>9.92</w:t>
            </w:r>
          </w:p>
        </w:tc>
      </w:tr>
      <w:tr>
        <w:tc>
          <w:tcPr>
            <w:vAlign w:val="center"/>
          </w:tcPr>
          <w:p>
            <w:pPr>
              <w:jc w:val="center"/>
            </w:pPr>
            <w:r>
              <w:rPr>
                <w:color w:val="000000"/>
                <w:sz w:val="24"/>
                <w:szCs w:val="24"/>
              </w:rPr>
              <w:t>2</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6,970,965</w:t>
            </w:r>
          </w:p>
        </w:tc>
        <w:tc>
          <w:tcPr>
            <w:vAlign w:val="center"/>
          </w:tcPr>
          <w:p>
            <w:pPr>
              <w:jc w:val="right"/>
            </w:pPr>
            <w:r>
              <w:rPr>
                <w:color w:val="000000"/>
                <w:sz w:val="24"/>
                <w:szCs w:val="24"/>
              </w:rPr>
              <w:t>100,521,315.30</w:t>
            </w:r>
          </w:p>
        </w:tc>
        <w:tc>
          <w:tcPr>
            <w:vAlign w:val="center"/>
          </w:tcPr>
          <w:p>
            <w:pPr>
              <w:jc w:val="right"/>
            </w:pPr>
            <w:r>
              <w:rPr>
                <w:color w:val="000000"/>
                <w:sz w:val="24"/>
                <w:szCs w:val="24"/>
              </w:rPr>
              <w:t>9.12</w:t>
            </w:r>
          </w:p>
        </w:tc>
      </w:tr>
      <w:tr>
        <w:tc>
          <w:tcPr>
            <w:vAlign w:val="center"/>
          </w:tcPr>
          <w:p>
            <w:pPr>
              <w:jc w:val="center"/>
            </w:pPr>
            <w:r>
              <w:rPr>
                <w:color w:val="000000"/>
                <w:sz w:val="24"/>
                <w:szCs w:val="24"/>
              </w:rPr>
              <w:t>3</w:t>
            </w:r>
          </w:p>
        </w:tc>
        <w:tc>
          <w:tcPr>
            <w:vAlign w:val="center"/>
          </w:tcPr>
          <w:p>
            <w:pPr>
              <w:jc w:val="center"/>
            </w:pPr>
            <w:r>
              <w:rPr>
                <w:color w:val="000000"/>
                <w:sz w:val="24"/>
                <w:szCs w:val="24"/>
              </w:rPr>
              <w:t>000977</w:t>
            </w:r>
          </w:p>
        </w:tc>
        <w:tc>
          <w:tcPr>
            <w:vAlign w:val="center"/>
          </w:tcPr>
          <w:p>
            <w:pPr>
              <w:jc w:val="center"/>
            </w:pPr>
            <w:r>
              <w:rPr>
                <w:color w:val="000000"/>
                <w:sz w:val="24"/>
                <w:szCs w:val="24"/>
              </w:rPr>
              <w:t>浪潮信息</w:t>
            </w:r>
          </w:p>
        </w:tc>
        <w:tc>
          <w:tcPr>
            <w:vAlign w:val="center"/>
          </w:tcPr>
          <w:p>
            <w:pPr>
              <w:jc w:val="right"/>
            </w:pPr>
            <w:r>
              <w:rPr>
                <w:color w:val="000000"/>
                <w:sz w:val="24"/>
                <w:szCs w:val="24"/>
              </w:rPr>
              <w:t>4,158,890</w:t>
            </w:r>
          </w:p>
        </w:tc>
        <w:tc>
          <w:tcPr>
            <w:vAlign w:val="center"/>
          </w:tcPr>
          <w:p>
            <w:pPr>
              <w:jc w:val="right"/>
            </w:pPr>
            <w:r>
              <w:rPr>
                <w:color w:val="000000"/>
                <w:sz w:val="24"/>
                <w:szCs w:val="24"/>
              </w:rPr>
              <w:t>100,146,071.20</w:t>
            </w:r>
          </w:p>
        </w:tc>
        <w:tc>
          <w:tcPr>
            <w:vAlign w:val="center"/>
          </w:tcPr>
          <w:p>
            <w:pPr>
              <w:jc w:val="right"/>
            </w:pPr>
            <w:r>
              <w:rPr>
                <w:color w:val="000000"/>
                <w:sz w:val="24"/>
                <w:szCs w:val="24"/>
              </w:rPr>
              <w:t>9.09</w:t>
            </w:r>
          </w:p>
        </w:tc>
      </w:tr>
      <w:tr>
        <w:tc>
          <w:tcPr>
            <w:vAlign w:val="center"/>
          </w:tcPr>
          <w:p>
            <w:pPr>
              <w:jc w:val="center"/>
            </w:pPr>
            <w:r>
              <w:rPr>
                <w:color w:val="000000"/>
                <w:sz w:val="24"/>
                <w:szCs w:val="24"/>
              </w:rPr>
              <w:t>4</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1,734,616</w:t>
            </w:r>
          </w:p>
        </w:tc>
        <w:tc>
          <w:tcPr>
            <w:vAlign w:val="center"/>
          </w:tcPr>
          <w:p>
            <w:pPr>
              <w:jc w:val="right"/>
            </w:pPr>
            <w:r>
              <w:rPr>
                <w:color w:val="000000"/>
                <w:sz w:val="24"/>
                <w:szCs w:val="24"/>
              </w:rPr>
              <w:t>76,617,988.72</w:t>
            </w:r>
          </w:p>
        </w:tc>
        <w:tc>
          <w:tcPr>
            <w:vAlign w:val="center"/>
          </w:tcPr>
          <w:p>
            <w:pPr>
              <w:jc w:val="right"/>
            </w:pPr>
            <w:r>
              <w:rPr>
                <w:color w:val="000000"/>
                <w:sz w:val="24"/>
                <w:szCs w:val="24"/>
              </w:rPr>
              <w:t>6.95</w:t>
            </w:r>
          </w:p>
        </w:tc>
      </w:tr>
      <w:tr>
        <w:tc>
          <w:tcPr>
            <w:vAlign w:val="center"/>
          </w:tcPr>
          <w:p>
            <w:pPr>
              <w:jc w:val="center"/>
            </w:pPr>
            <w:r>
              <w:rPr>
                <w:color w:val="000000"/>
                <w:sz w:val="24"/>
                <w:szCs w:val="24"/>
              </w:rPr>
              <w:t>5</w:t>
            </w:r>
          </w:p>
        </w:tc>
        <w:tc>
          <w:tcPr>
            <w:vAlign w:val="center"/>
          </w:tcPr>
          <w:p>
            <w:pPr>
              <w:jc w:val="center"/>
            </w:pPr>
            <w:r>
              <w:rPr>
                <w:color w:val="000000"/>
                <w:sz w:val="24"/>
                <w:szCs w:val="24"/>
              </w:rPr>
              <w:t>002371</w:t>
            </w:r>
          </w:p>
        </w:tc>
        <w:tc>
          <w:tcPr>
            <w:vAlign w:val="center"/>
          </w:tcPr>
          <w:p>
            <w:pPr>
              <w:jc w:val="center"/>
            </w:pPr>
            <w:r>
              <w:rPr>
                <w:color w:val="000000"/>
                <w:sz w:val="24"/>
                <w:szCs w:val="24"/>
              </w:rPr>
              <w:t>北方华创</w:t>
            </w:r>
          </w:p>
        </w:tc>
        <w:tc>
          <w:tcPr>
            <w:vAlign w:val="center"/>
          </w:tcPr>
          <w:p>
            <w:pPr>
              <w:jc w:val="right"/>
            </w:pPr>
            <w:r>
              <w:rPr>
                <w:color w:val="000000"/>
                <w:sz w:val="24"/>
                <w:szCs w:val="24"/>
              </w:rPr>
              <w:t>1,490,948</w:t>
            </w:r>
          </w:p>
        </w:tc>
        <w:tc>
          <w:tcPr>
            <w:vAlign w:val="center"/>
          </w:tcPr>
          <w:p>
            <w:pPr>
              <w:jc w:val="right"/>
            </w:pPr>
            <w:r>
              <w:rPr>
                <w:color w:val="000000"/>
                <w:sz w:val="24"/>
                <w:szCs w:val="24"/>
              </w:rPr>
              <w:t>70,164,012.88</w:t>
            </w:r>
          </w:p>
        </w:tc>
        <w:tc>
          <w:tcPr>
            <w:vAlign w:val="center"/>
          </w:tcPr>
          <w:p>
            <w:pPr>
              <w:jc w:val="right"/>
            </w:pPr>
            <w:r>
              <w:rPr>
                <w:color w:val="000000"/>
                <w:sz w:val="24"/>
                <w:szCs w:val="24"/>
              </w:rPr>
              <w:t>6.37</w:t>
            </w:r>
          </w:p>
        </w:tc>
      </w:tr>
      <w:tr>
        <w:tc>
          <w:tcPr>
            <w:vAlign w:val="center"/>
          </w:tcPr>
          <w:p>
            <w:pPr>
              <w:jc w:val="center"/>
            </w:pPr>
            <w:r>
              <w:rPr>
                <w:color w:val="000000"/>
                <w:sz w:val="24"/>
                <w:szCs w:val="24"/>
              </w:rPr>
              <w:t>6</w:t>
            </w:r>
          </w:p>
        </w:tc>
        <w:tc>
          <w:tcPr>
            <w:vAlign w:val="center"/>
          </w:tcPr>
          <w:p>
            <w:pPr>
              <w:jc w:val="center"/>
            </w:pPr>
            <w:r>
              <w:rPr>
                <w:color w:val="000000"/>
                <w:sz w:val="24"/>
                <w:szCs w:val="24"/>
              </w:rPr>
              <w:t>002599</w:t>
            </w:r>
          </w:p>
        </w:tc>
        <w:tc>
          <w:tcPr>
            <w:vAlign w:val="center"/>
          </w:tcPr>
          <w:p>
            <w:pPr>
              <w:jc w:val="center"/>
            </w:pPr>
            <w:r>
              <w:rPr>
                <w:color w:val="000000"/>
                <w:sz w:val="24"/>
                <w:szCs w:val="24"/>
              </w:rPr>
              <w:t>盛通股份</w:t>
            </w:r>
          </w:p>
        </w:tc>
        <w:tc>
          <w:tcPr>
            <w:vAlign w:val="center"/>
          </w:tcPr>
          <w:p>
            <w:pPr>
              <w:jc w:val="right"/>
            </w:pPr>
            <w:r>
              <w:rPr>
                <w:color w:val="000000"/>
                <w:sz w:val="24"/>
                <w:szCs w:val="24"/>
              </w:rPr>
              <w:t>7,032,280</w:t>
            </w:r>
          </w:p>
        </w:tc>
        <w:tc>
          <w:tcPr>
            <w:vAlign w:val="center"/>
          </w:tcPr>
          <w:p>
            <w:pPr>
              <w:jc w:val="right"/>
            </w:pPr>
            <w:r>
              <w:rPr>
                <w:color w:val="000000"/>
                <w:sz w:val="24"/>
                <w:szCs w:val="24"/>
              </w:rPr>
              <w:t>69,760,217.60</w:t>
            </w:r>
          </w:p>
        </w:tc>
        <w:tc>
          <w:tcPr>
            <w:vAlign w:val="center"/>
          </w:tcPr>
          <w:p>
            <w:pPr>
              <w:jc w:val="right"/>
            </w:pPr>
            <w:r>
              <w:rPr>
                <w:color w:val="000000"/>
                <w:sz w:val="24"/>
                <w:szCs w:val="24"/>
              </w:rPr>
              <w:t>6.33</w:t>
            </w:r>
          </w:p>
        </w:tc>
      </w:tr>
      <w:tr>
        <w:tc>
          <w:tcPr>
            <w:vAlign w:val="center"/>
          </w:tcPr>
          <w:p>
            <w:pPr>
              <w:jc w:val="center"/>
            </w:pPr>
            <w:r>
              <w:rPr>
                <w:color w:val="000000"/>
                <w:sz w:val="24"/>
                <w:szCs w:val="24"/>
              </w:rPr>
              <w:t>7</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4,926,517</w:t>
            </w:r>
          </w:p>
        </w:tc>
        <w:tc>
          <w:tcPr>
            <w:vAlign w:val="center"/>
          </w:tcPr>
          <w:p>
            <w:pPr>
              <w:jc w:val="right"/>
            </w:pPr>
            <w:r>
              <w:rPr>
                <w:color w:val="000000"/>
                <w:sz w:val="24"/>
                <w:szCs w:val="24"/>
              </w:rPr>
              <w:t>59,955,711.89</w:t>
            </w:r>
          </w:p>
        </w:tc>
        <w:tc>
          <w:tcPr>
            <w:vAlign w:val="center"/>
          </w:tcPr>
          <w:p>
            <w:pPr>
              <w:jc w:val="right"/>
            </w:pPr>
            <w:r>
              <w:rPr>
                <w:color w:val="000000"/>
                <w:sz w:val="24"/>
                <w:szCs w:val="24"/>
              </w:rPr>
              <w:t>5.44</w:t>
            </w:r>
          </w:p>
        </w:tc>
      </w:tr>
      <w:tr>
        <w:tc>
          <w:tcPr>
            <w:vAlign w:val="center"/>
          </w:tcPr>
          <w:p>
            <w:pPr>
              <w:jc w:val="center"/>
            </w:pPr>
            <w:r>
              <w:rPr>
                <w:color w:val="000000"/>
                <w:sz w:val="24"/>
                <w:szCs w:val="24"/>
              </w:rPr>
              <w:t>8</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2,047,457</w:t>
            </w:r>
          </w:p>
        </w:tc>
        <w:tc>
          <w:tcPr>
            <w:vAlign w:val="center"/>
          </w:tcPr>
          <w:p>
            <w:pPr>
              <w:jc w:val="right"/>
            </w:pPr>
            <w:r>
              <w:rPr>
                <w:color w:val="000000"/>
                <w:sz w:val="24"/>
                <w:szCs w:val="24"/>
              </w:rPr>
              <w:t>53,622,898.83</w:t>
            </w:r>
          </w:p>
        </w:tc>
        <w:tc>
          <w:tcPr>
            <w:vAlign w:val="center"/>
          </w:tcPr>
          <w:p>
            <w:pPr>
              <w:jc w:val="right"/>
            </w:pPr>
            <w:r>
              <w:rPr>
                <w:color w:val="000000"/>
                <w:sz w:val="24"/>
                <w:szCs w:val="24"/>
              </w:rPr>
              <w:t>4.87</w:t>
            </w:r>
          </w:p>
        </w:tc>
      </w:tr>
      <w:tr>
        <w:tc>
          <w:tcPr>
            <w:vAlign w:val="center"/>
          </w:tcPr>
          <w:p>
            <w:pPr>
              <w:jc w:val="center"/>
            </w:pPr>
            <w:r>
              <w:rPr>
                <w:color w:val="000000"/>
                <w:sz w:val="24"/>
                <w:szCs w:val="24"/>
              </w:rPr>
              <w:t>9</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7,838,430</w:t>
            </w:r>
          </w:p>
        </w:tc>
        <w:tc>
          <w:tcPr>
            <w:vAlign w:val="center"/>
          </w:tcPr>
          <w:p>
            <w:pPr>
              <w:jc w:val="right"/>
            </w:pPr>
            <w:r>
              <w:rPr>
                <w:color w:val="000000"/>
                <w:sz w:val="24"/>
                <w:szCs w:val="24"/>
              </w:rPr>
              <w:t>45,776,431.20</w:t>
            </w:r>
          </w:p>
        </w:tc>
        <w:tc>
          <w:tcPr>
            <w:vAlign w:val="center"/>
          </w:tcPr>
          <w:p>
            <w:pPr>
              <w:jc w:val="right"/>
            </w:pPr>
            <w:r>
              <w:rPr>
                <w:color w:val="000000"/>
                <w:sz w:val="24"/>
                <w:szCs w:val="24"/>
              </w:rPr>
              <w:t>4.15</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600536</w:t>
            </w:r>
          </w:p>
        </w:tc>
        <w:tc>
          <w:tcPr>
            <w:vAlign w:val="center"/>
          </w:tcPr>
          <w:p>
            <w:pPr>
              <w:jc w:val="center"/>
            </w:pPr>
            <w:r>
              <w:rPr>
                <w:color w:val="000000"/>
                <w:sz w:val="24"/>
                <w:szCs w:val="24"/>
              </w:rPr>
              <w:t>中国软件</w:t>
            </w:r>
          </w:p>
        </w:tc>
        <w:tc>
          <w:tcPr>
            <w:vAlign w:val="center"/>
          </w:tcPr>
          <w:p>
            <w:pPr>
              <w:jc w:val="right"/>
            </w:pPr>
            <w:r>
              <w:rPr>
                <w:color w:val="000000"/>
                <w:sz w:val="24"/>
                <w:szCs w:val="24"/>
              </w:rPr>
              <w:t>1,422,380</w:t>
            </w:r>
          </w:p>
        </w:tc>
        <w:tc>
          <w:tcPr>
            <w:vAlign w:val="center"/>
          </w:tcPr>
          <w:p>
            <w:pPr>
              <w:jc w:val="right"/>
            </w:pPr>
            <w:r>
              <w:rPr>
                <w:color w:val="000000"/>
                <w:sz w:val="24"/>
                <w:szCs w:val="24"/>
              </w:rPr>
              <w:t>41,462,377.00</w:t>
            </w:r>
          </w:p>
        </w:tc>
        <w:tc>
          <w:tcPr>
            <w:vAlign w:val="center"/>
          </w:tcPr>
          <w:p>
            <w:pPr>
              <w:jc w:val="right"/>
            </w:pPr>
            <w:r>
              <w:rPr>
                <w:color w:val="000000"/>
                <w:sz w:val="24"/>
                <w:szCs w:val="24"/>
              </w:rPr>
              <w:t>3.76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9,948,000.00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0.90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42,006,400.00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3.81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42,006,400.00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3.81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51,954,400.00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160301</w:t>
            </w:r>
          </w:p>
        </w:tc>
        <w:tc>
          <w:tcPr>
            <w:vAlign w:val="center"/>
          </w:tcPr>
          <w:p>
            <w:pPr>
              <w:jc w:val="center"/>
            </w:pPr>
            <w:r>
              <w:rPr>
                <w:color w:val="000000"/>
                <w:sz w:val="24"/>
                <w:szCs w:val="24"/>
              </w:rPr>
              <w:t>16进出01</w:t>
            </w:r>
          </w:p>
        </w:tc>
        <w:tc>
          <w:tcPr>
            <w:vAlign w:val="center"/>
          </w:tcPr>
          <w:p>
            <w:pPr>
              <w:jc w:val="right"/>
            </w:pPr>
            <w:r>
              <w:rPr>
                <w:color w:val="000000"/>
                <w:sz w:val="24"/>
                <w:szCs w:val="24"/>
              </w:rPr>
              <w:t>400,000</w:t>
            </w:r>
          </w:p>
        </w:tc>
        <w:tc>
          <w:tcPr>
            <w:vAlign w:val="center"/>
          </w:tcPr>
          <w:p>
            <w:pPr>
              <w:jc w:val="right"/>
            </w:pPr>
            <w:r>
              <w:rPr>
                <w:color w:val="000000"/>
                <w:sz w:val="24"/>
                <w:szCs w:val="24"/>
              </w:rPr>
              <w:t>39,992,000.00</w:t>
            </w:r>
          </w:p>
        </w:tc>
        <w:tc>
          <w:tcPr>
            <w:vAlign w:val="center"/>
          </w:tcPr>
          <w:p>
            <w:pPr>
              <w:jc w:val="right"/>
            </w:pPr>
            <w:r>
              <w:rPr>
                <w:color w:val="000000"/>
                <w:sz w:val="24"/>
                <w:szCs w:val="24"/>
              </w:rPr>
              <w:t>3.63</w:t>
            </w:r>
          </w:p>
        </w:tc>
      </w:tr>
      <w:tr>
        <w:tc>
          <w:tcPr>
            <w:vAlign w:val="center"/>
          </w:tcPr>
          <w:p>
            <w:pPr>
              <w:jc w:val="center"/>
            </w:pPr>
            <w:r>
              <w:rPr>
                <w:color w:val="000000"/>
                <w:sz w:val="24"/>
                <w:szCs w:val="24"/>
              </w:rPr>
              <w:t>2</w:t>
            </w:r>
          </w:p>
        </w:tc>
        <w:tc>
          <w:tcPr>
            <w:vAlign w:val="center"/>
          </w:tcPr>
          <w:p>
            <w:pPr>
              <w:jc w:val="center"/>
            </w:pPr>
            <w:r>
              <w:rPr>
                <w:color w:val="000000"/>
                <w:sz w:val="24"/>
                <w:szCs w:val="24"/>
              </w:rPr>
              <w:t>189939</w:t>
            </w:r>
          </w:p>
        </w:tc>
        <w:tc>
          <w:tcPr>
            <w:vAlign w:val="center"/>
          </w:tcPr>
          <w:p>
            <w:pPr>
              <w:jc w:val="center"/>
            </w:pPr>
            <w:r>
              <w:rPr>
                <w:color w:val="000000"/>
                <w:sz w:val="24"/>
                <w:szCs w:val="24"/>
              </w:rPr>
              <w:t>18贴现国债39</w:t>
            </w:r>
          </w:p>
        </w:tc>
        <w:tc>
          <w:tcPr>
            <w:vAlign w:val="center"/>
          </w:tcPr>
          <w:p>
            <w:pPr>
              <w:jc w:val="right"/>
            </w:pPr>
            <w:r>
              <w:rPr>
                <w:color w:val="000000"/>
                <w:sz w:val="24"/>
                <w:szCs w:val="24"/>
              </w:rPr>
              <w:t>100,000</w:t>
            </w:r>
          </w:p>
        </w:tc>
        <w:tc>
          <w:tcPr>
            <w:vAlign w:val="center"/>
          </w:tcPr>
          <w:p>
            <w:pPr>
              <w:jc w:val="right"/>
            </w:pPr>
            <w:r>
              <w:rPr>
                <w:color w:val="000000"/>
                <w:sz w:val="24"/>
                <w:szCs w:val="24"/>
              </w:rPr>
              <w:t>9,948,000.00</w:t>
            </w:r>
          </w:p>
        </w:tc>
        <w:tc>
          <w:tcPr>
            <w:vAlign w:val="center"/>
          </w:tcPr>
          <w:p>
            <w:pPr>
              <w:jc w:val="right"/>
            </w:pPr>
            <w:r>
              <w:rPr>
                <w:color w:val="000000"/>
                <w:sz w:val="24"/>
                <w:szCs w:val="24"/>
              </w:rPr>
              <w:t>0.90</w:t>
            </w:r>
          </w:p>
        </w:tc>
      </w:tr>
      <w:tr>
        <w:tc>
          <w:tcPr>
            <w:vAlign w:val="center"/>
          </w:tcPr>
          <w:p>
            <w:pPr>
              <w:jc w:val="center"/>
            </w:pPr>
            <w:r>
              <w:rPr>
                <w:color w:val="000000"/>
                <w:sz w:val="24"/>
                <w:szCs w:val="24"/>
              </w:rPr>
              <w:t>3</w:t>
            </w:r>
          </w:p>
        </w:tc>
        <w:tc>
          <w:tcPr>
            <w:vAlign w:val="center"/>
          </w:tcPr>
          <w:p>
            <w:pPr>
              <w:jc w:val="center"/>
            </w:pPr>
            <w:r>
              <w:rPr>
                <w:color w:val="000000"/>
                <w:sz w:val="24"/>
                <w:szCs w:val="24"/>
              </w:rPr>
              <w:t>018002</w:t>
            </w:r>
          </w:p>
        </w:tc>
        <w:tc>
          <w:tcPr>
            <w:vAlign w:val="center"/>
          </w:tcPr>
          <w:p>
            <w:pPr>
              <w:jc w:val="center"/>
            </w:pPr>
            <w:r>
              <w:rPr>
                <w:color w:val="000000"/>
                <w:sz w:val="24"/>
                <w:szCs w:val="24"/>
              </w:rPr>
              <w:t>国开1302</w:t>
            </w:r>
          </w:p>
        </w:tc>
        <w:tc>
          <w:tcPr>
            <w:vAlign w:val="center"/>
          </w:tcPr>
          <w:p>
            <w:pPr>
              <w:jc w:val="right"/>
            </w:pPr>
            <w:r>
              <w:rPr>
                <w:color w:val="000000"/>
                <w:sz w:val="24"/>
                <w:szCs w:val="24"/>
              </w:rPr>
              <w:t>10,000</w:t>
            </w:r>
          </w:p>
        </w:tc>
        <w:tc>
          <w:tcPr>
            <w:vAlign w:val="center"/>
          </w:tcPr>
          <w:p>
            <w:pPr>
              <w:jc w:val="right"/>
            </w:pPr>
            <w:r>
              <w:rPr>
                <w:color w:val="000000"/>
                <w:sz w:val="24"/>
                <w:szCs w:val="24"/>
              </w:rPr>
              <w:t>1,008,400.00</w:t>
            </w:r>
          </w:p>
        </w:tc>
        <w:tc>
          <w:tcPr>
            <w:vAlign w:val="center"/>
          </w:tcPr>
          <w:p>
            <w:pPr>
              <w:jc w:val="right"/>
            </w:pPr>
            <w:r>
              <w:rPr>
                <w:color w:val="000000"/>
                <w:sz w:val="24"/>
                <w:szCs w:val="24"/>
              </w:rPr>
              <w:t>0.09</w:t>
            </w:r>
          </w:p>
        </w:tc>
      </w:tr>
      <w:tr>
        <w:tc>
          <w:tcPr>
            <w:vAlign w:val="center"/>
          </w:tcPr>
          <w:p>
            <w:pPr>
              <w:jc w:val="center"/>
            </w:pPr>
            <w:r>
              <w:rPr>
                <w:color w:val="000000"/>
                <w:sz w:val="24"/>
                <w:szCs w:val="24"/>
              </w:rPr>
              <w:t>4</w:t>
            </w:r>
          </w:p>
        </w:tc>
        <w:tc>
          <w:tcPr>
            <w:vAlign w:val="center"/>
          </w:tcPr>
          <w:p>
            <w:pPr>
              <w:jc w:val="center"/>
            </w:pPr>
            <w:r>
              <w:rPr>
                <w:color w:val="000000"/>
                <w:sz w:val="24"/>
                <w:szCs w:val="24"/>
              </w:rPr>
              <w:t>018005</w:t>
            </w:r>
          </w:p>
        </w:tc>
        <w:tc>
          <w:tcPr>
            <w:vAlign w:val="center"/>
          </w:tcPr>
          <w:p>
            <w:pPr>
              <w:jc w:val="center"/>
            </w:pPr>
            <w:r>
              <w:rPr>
                <w:color w:val="000000"/>
                <w:sz w:val="24"/>
                <w:szCs w:val="24"/>
              </w:rPr>
              <w:t>国开1701</w:t>
            </w:r>
          </w:p>
        </w:tc>
        <w:tc>
          <w:tcPr>
            <w:vAlign w:val="center"/>
          </w:tcPr>
          <w:p>
            <w:pPr>
              <w:jc w:val="right"/>
            </w:pPr>
            <w:r>
              <w:rPr>
                <w:color w:val="000000"/>
                <w:sz w:val="24"/>
                <w:szCs w:val="24"/>
              </w:rPr>
              <w:t>10,000</w:t>
            </w:r>
          </w:p>
        </w:tc>
        <w:tc>
          <w:tcPr>
            <w:vAlign w:val="center"/>
          </w:tcPr>
          <w:p>
            <w:pPr>
              <w:jc w:val="right"/>
            </w:pPr>
            <w:r>
              <w:rPr>
                <w:color w:val="000000"/>
                <w:sz w:val="24"/>
                <w:szCs w:val="24"/>
              </w:rPr>
              <w:t>1,006,000.00</w:t>
            </w:r>
          </w:p>
        </w:tc>
        <w:tc>
          <w:tcPr>
            <w:vAlign w:val="center"/>
          </w:tcPr>
          <w:p>
            <w:pPr>
              <w:jc w:val="right"/>
            </w:pPr>
            <w:r>
              <w:rPr>
                <w:color w:val="000000"/>
                <w:sz w:val="24"/>
                <w:szCs w:val="24"/>
              </w:rPr>
              <w:t>0.09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288,580.18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2,200,088.34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779,206.68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975,052.29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4,242,927.49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723,522,709.84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333,185,554.58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121,627,724.22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935,080,540.20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1、中国证监会核准交银施罗德先锋股票证券投资基金募集的文件；</w:t>
      </w:r>
    </w:p>
    <w:p>
      <w:pPr>
        <w:spacing w:before="29" w:line="288" w:lineRule="auto"/>
        <w:ind w:firstLine="480" w:firstLineChars="200"/>
        <w:rPr>
          <w:color w:val="000000"/>
          <w:sz w:val="24"/>
          <w:szCs w:val="24"/>
        </w:rPr>
      </w:pPr>
      <w:r>
        <w:rPr>
          <w:color w:val="000000"/>
          <w:sz w:val="24"/>
          <w:szCs w:val="24"/>
        </w:rPr>
        <w:t>2、《交银施罗德先锋混合型证券投资基金基金合同》；</w:t>
      </w:r>
    </w:p>
    <w:p>
      <w:pPr>
        <w:spacing w:before="29" w:line="288" w:lineRule="auto"/>
        <w:ind w:firstLine="480" w:firstLineChars="200"/>
        <w:rPr>
          <w:color w:val="000000"/>
          <w:sz w:val="24"/>
          <w:szCs w:val="24"/>
        </w:rPr>
      </w:pPr>
      <w:r>
        <w:rPr>
          <w:color w:val="000000"/>
          <w:sz w:val="24"/>
          <w:szCs w:val="24"/>
        </w:rPr>
        <w:t>3、《交银施罗德先锋混合型证券投资基金招募说明书》；</w:t>
      </w:r>
    </w:p>
    <w:p>
      <w:pPr>
        <w:spacing w:before="29" w:line="288" w:lineRule="auto"/>
        <w:ind w:firstLine="480" w:firstLineChars="200"/>
        <w:rPr>
          <w:color w:val="000000"/>
          <w:sz w:val="24"/>
          <w:szCs w:val="24"/>
        </w:rPr>
      </w:pPr>
      <w:r>
        <w:rPr>
          <w:color w:val="000000"/>
          <w:sz w:val="24"/>
          <w:szCs w:val="24"/>
        </w:rPr>
        <w:t>4、《交银施罗德先锋混合型证券投资基金托管协议》；</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7、关于申请募集交银施罗德先锋股票证券投资基金之法律意见书；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8、报告期内交银施罗德先锋混合型证券投资基金在指定报刊上各项公告的原稿。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交银施罗德先锋混合型证券投资基金2018年第3季度报告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