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C71DD" w:rsidRDefault="006B068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942,259,860.01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B068C" w:rsidRPr="00414345" w:rsidTr="006B068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B068C" w:rsidRPr="00414345" w:rsidTr="006B06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-57,226,055.38</w:t>
            </w:r>
          </w:p>
        </w:tc>
      </w:tr>
      <w:tr w:rsidR="006B068C" w:rsidRPr="00414345" w:rsidTr="006B06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-96,013,694.83</w:t>
            </w:r>
          </w:p>
        </w:tc>
      </w:tr>
      <w:tr w:rsidR="006B068C" w:rsidRPr="00414345" w:rsidTr="006B06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-0.1162</w:t>
            </w:r>
          </w:p>
        </w:tc>
      </w:tr>
      <w:tr w:rsidR="006B068C" w:rsidRPr="00414345" w:rsidTr="006B06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2,926,720,234.50</w:t>
            </w:r>
          </w:p>
        </w:tc>
      </w:tr>
      <w:tr w:rsidR="006B068C" w:rsidRPr="00414345" w:rsidTr="006B068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3.106</w:t>
            </w:r>
          </w:p>
        </w:tc>
      </w:tr>
    </w:tbl>
    <w:p w:rsidR="003C71DD" w:rsidRDefault="006B068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C71DD">
        <w:trPr>
          <w:jc w:val="center"/>
        </w:trPr>
        <w:tc>
          <w:tcPr>
            <w:tcW w:w="1701" w:type="dxa"/>
            <w:vAlign w:val="center"/>
          </w:tcPr>
          <w:p w:rsidR="003C71DD" w:rsidRDefault="006B068C">
            <w:pPr>
              <w:jc w:val="left"/>
            </w:pPr>
            <w:r>
              <w:rPr>
                <w:color w:val="000000"/>
                <w:sz w:val="24"/>
                <w:szCs w:val="24"/>
              </w:rPr>
              <w:t>过去三个月</w:t>
            </w:r>
          </w:p>
        </w:tc>
        <w:tc>
          <w:tcPr>
            <w:tcW w:w="1045" w:type="dxa"/>
            <w:vAlign w:val="center"/>
          </w:tcPr>
          <w:p w:rsidR="003C71DD" w:rsidRDefault="006B068C">
            <w:pPr>
              <w:jc w:val="center"/>
            </w:pPr>
            <w:r>
              <w:rPr>
                <w:color w:val="000000"/>
                <w:sz w:val="24"/>
                <w:szCs w:val="24"/>
              </w:rPr>
              <w:t>-3.57%</w:t>
            </w:r>
          </w:p>
        </w:tc>
        <w:tc>
          <w:tcPr>
            <w:tcW w:w="1344" w:type="dxa"/>
            <w:vAlign w:val="center"/>
          </w:tcPr>
          <w:p w:rsidR="003C71DD" w:rsidRDefault="006B068C">
            <w:pPr>
              <w:jc w:val="center"/>
            </w:pPr>
            <w:r>
              <w:rPr>
                <w:color w:val="000000"/>
                <w:sz w:val="24"/>
                <w:szCs w:val="24"/>
              </w:rPr>
              <w:t>1.24%</w:t>
            </w:r>
          </w:p>
        </w:tc>
        <w:tc>
          <w:tcPr>
            <w:tcW w:w="1194" w:type="dxa"/>
            <w:vAlign w:val="center"/>
          </w:tcPr>
          <w:p w:rsidR="003C71DD" w:rsidRDefault="006B068C">
            <w:pPr>
              <w:jc w:val="center"/>
            </w:pPr>
            <w:r>
              <w:rPr>
                <w:color w:val="000000"/>
                <w:sz w:val="24"/>
                <w:szCs w:val="24"/>
              </w:rPr>
              <w:t>-0.58%</w:t>
            </w:r>
          </w:p>
        </w:tc>
        <w:tc>
          <w:tcPr>
            <w:tcW w:w="1492" w:type="dxa"/>
            <w:vAlign w:val="center"/>
          </w:tcPr>
          <w:p w:rsidR="003C71DD" w:rsidRDefault="006B068C">
            <w:pPr>
              <w:jc w:val="center"/>
            </w:pPr>
            <w:r>
              <w:rPr>
                <w:color w:val="000000"/>
                <w:sz w:val="24"/>
                <w:szCs w:val="24"/>
              </w:rPr>
              <w:t>0.81%</w:t>
            </w:r>
          </w:p>
        </w:tc>
        <w:tc>
          <w:tcPr>
            <w:tcW w:w="1194" w:type="dxa"/>
            <w:vAlign w:val="center"/>
          </w:tcPr>
          <w:p w:rsidR="003C71DD" w:rsidRDefault="006B068C">
            <w:pPr>
              <w:jc w:val="center"/>
            </w:pPr>
            <w:r>
              <w:rPr>
                <w:color w:val="000000"/>
                <w:sz w:val="24"/>
                <w:szCs w:val="24"/>
              </w:rPr>
              <w:t>-2.99%</w:t>
            </w:r>
          </w:p>
        </w:tc>
        <w:tc>
          <w:tcPr>
            <w:tcW w:w="898" w:type="dxa"/>
            <w:vAlign w:val="center"/>
          </w:tcPr>
          <w:p w:rsidR="003C71DD" w:rsidRDefault="006B068C">
            <w:pPr>
              <w:jc w:val="center"/>
            </w:pPr>
            <w:r>
              <w:rPr>
                <w:color w:val="000000"/>
                <w:sz w:val="24"/>
                <w:szCs w:val="24"/>
              </w:rPr>
              <w:t>0.43%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6B068C">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6B068C">
        <w:rPr>
          <w:rFonts w:ascii="Times New Roman" w:hAnsi="Times New Roman" w:cs="Times New Roman"/>
          <w:sz w:val="24"/>
          <w:szCs w:val="24"/>
        </w:rPr>
        <w:t>2</w:t>
      </w:r>
      <w:r w:rsidR="0042009D" w:rsidRPr="00414345">
        <w:rPr>
          <w:rFonts w:ascii="Times New Roman" w:hAnsi="Times New Roman" w:cs="Times New Roman"/>
          <w:sz w:val="24"/>
          <w:szCs w:val="24"/>
        </w:rPr>
        <w:t>月</w:t>
      </w:r>
      <w:r w:rsidR="006B068C">
        <w:rPr>
          <w:rFonts w:ascii="Times New Roman" w:hAnsi="Times New Roman" w:cs="Times New Roman"/>
          <w:sz w:val="24"/>
          <w:szCs w:val="24"/>
        </w:rPr>
        <w:t>3</w:t>
      </w:r>
      <w:bookmarkStart w:id="0" w:name="_GoBack"/>
      <w:bookmarkEnd w:id="0"/>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C71DD">
        <w:trPr>
          <w:jc w:val="center"/>
        </w:trPr>
        <w:tc>
          <w:tcPr>
            <w:tcW w:w="846" w:type="dxa"/>
            <w:vAlign w:val="center"/>
          </w:tcPr>
          <w:p w:rsidR="003C71DD" w:rsidRDefault="006B068C">
            <w:pPr>
              <w:jc w:val="center"/>
            </w:pPr>
            <w:r>
              <w:rPr>
                <w:color w:val="000000"/>
                <w:sz w:val="24"/>
                <w:szCs w:val="24"/>
              </w:rPr>
              <w:t>何帅</w:t>
            </w:r>
          </w:p>
        </w:tc>
        <w:tc>
          <w:tcPr>
            <w:tcW w:w="845" w:type="dxa"/>
            <w:vAlign w:val="center"/>
          </w:tcPr>
          <w:p w:rsidR="003C71DD" w:rsidRDefault="006B068C">
            <w:pPr>
              <w:jc w:val="center"/>
            </w:pPr>
            <w:r>
              <w:rPr>
                <w:color w:val="000000"/>
                <w:sz w:val="24"/>
                <w:szCs w:val="24"/>
              </w:rPr>
              <w:t>交银优势行业混合、交银阿尔法核心混合、交银持续成长主题混合的基金经理</w:t>
            </w:r>
          </w:p>
        </w:tc>
        <w:tc>
          <w:tcPr>
            <w:tcW w:w="1549" w:type="dxa"/>
            <w:vAlign w:val="center"/>
          </w:tcPr>
          <w:p w:rsidR="003C71DD" w:rsidRDefault="006B068C">
            <w:pPr>
              <w:jc w:val="center"/>
            </w:pPr>
            <w:r>
              <w:rPr>
                <w:color w:val="000000"/>
                <w:sz w:val="24"/>
                <w:szCs w:val="24"/>
              </w:rPr>
              <w:t>2015-07-09</w:t>
            </w:r>
          </w:p>
        </w:tc>
        <w:tc>
          <w:tcPr>
            <w:tcW w:w="1548" w:type="dxa"/>
            <w:vAlign w:val="center"/>
          </w:tcPr>
          <w:p w:rsidR="003C71DD" w:rsidRDefault="006B068C">
            <w:pPr>
              <w:jc w:val="center"/>
            </w:pPr>
            <w:r>
              <w:rPr>
                <w:color w:val="000000"/>
                <w:sz w:val="24"/>
                <w:szCs w:val="24"/>
              </w:rPr>
              <w:t>-</w:t>
            </w:r>
          </w:p>
        </w:tc>
        <w:tc>
          <w:tcPr>
            <w:tcW w:w="1407" w:type="dxa"/>
            <w:vAlign w:val="center"/>
          </w:tcPr>
          <w:p w:rsidR="003C71DD" w:rsidRDefault="006B068C">
            <w:pPr>
              <w:jc w:val="center"/>
            </w:pPr>
            <w:r>
              <w:rPr>
                <w:color w:val="000000"/>
                <w:sz w:val="24"/>
                <w:szCs w:val="24"/>
              </w:rPr>
              <w:t>8</w:t>
            </w:r>
            <w:r>
              <w:rPr>
                <w:color w:val="000000"/>
                <w:sz w:val="24"/>
                <w:szCs w:val="24"/>
              </w:rPr>
              <w:t>年</w:t>
            </w:r>
          </w:p>
        </w:tc>
        <w:tc>
          <w:tcPr>
            <w:tcW w:w="2673" w:type="dxa"/>
            <w:vAlign w:val="center"/>
          </w:tcPr>
          <w:p w:rsidR="003C71DD" w:rsidRDefault="006B068C">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C71DD" w:rsidRDefault="006B068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C71DD" w:rsidRDefault="006B068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C71DD" w:rsidRDefault="006B068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C71DD" w:rsidRDefault="006B068C">
      <w:pPr>
        <w:spacing w:before="29" w:line="288" w:lineRule="auto"/>
        <w:ind w:firstLineChars="200" w:firstLine="480"/>
        <w:rPr>
          <w:color w:val="000000"/>
          <w:sz w:val="24"/>
          <w:szCs w:val="24"/>
        </w:rPr>
      </w:pPr>
      <w:r>
        <w:rPr>
          <w:color w:val="000000"/>
          <w:sz w:val="24"/>
          <w:szCs w:val="24"/>
        </w:rPr>
        <w:t>2018</w:t>
      </w:r>
      <w:r>
        <w:rPr>
          <w:color w:val="000000"/>
          <w:sz w:val="24"/>
          <w:szCs w:val="24"/>
        </w:rPr>
        <w:t>年三季度</w:t>
      </w:r>
      <w:r>
        <w:rPr>
          <w:color w:val="000000"/>
          <w:sz w:val="24"/>
          <w:szCs w:val="24"/>
        </w:rPr>
        <w:t>A</w:t>
      </w:r>
      <w:r>
        <w:rPr>
          <w:color w:val="000000"/>
          <w:sz w:val="24"/>
          <w:szCs w:val="24"/>
        </w:rPr>
        <w:t>股市场波动加大，上证指数下跌</w:t>
      </w:r>
      <w:r>
        <w:rPr>
          <w:color w:val="000000"/>
          <w:sz w:val="24"/>
          <w:szCs w:val="24"/>
        </w:rPr>
        <w:t>0.92%</w:t>
      </w:r>
      <w:r>
        <w:rPr>
          <w:color w:val="000000"/>
          <w:sz w:val="24"/>
          <w:szCs w:val="24"/>
        </w:rPr>
        <w:t>，但创业板指数下跌</w:t>
      </w:r>
      <w:r>
        <w:rPr>
          <w:color w:val="000000"/>
          <w:sz w:val="24"/>
          <w:szCs w:val="24"/>
        </w:rPr>
        <w:t>12.16%</w:t>
      </w:r>
      <w:r>
        <w:rPr>
          <w:color w:val="000000"/>
          <w:sz w:val="24"/>
          <w:szCs w:val="24"/>
        </w:rPr>
        <w:t>。其中银行、地产等板块较为抗跌，而电子、传媒等板块下跌明显。</w:t>
      </w:r>
    </w:p>
    <w:p w:rsidR="003C71DD" w:rsidRDefault="006B068C">
      <w:pPr>
        <w:spacing w:before="29" w:line="288" w:lineRule="auto"/>
        <w:ind w:firstLineChars="200" w:firstLine="480"/>
        <w:rPr>
          <w:color w:val="000000"/>
          <w:sz w:val="24"/>
          <w:szCs w:val="24"/>
        </w:rPr>
      </w:pPr>
      <w:r>
        <w:rPr>
          <w:color w:val="000000"/>
          <w:sz w:val="24"/>
          <w:szCs w:val="24"/>
        </w:rPr>
        <w:t>本基金在三季度表现较为稳定，部分持仓如计算机、先进制造等领域较为稳健，但医药类持仓个股有明显回调，整体组合相对稳定。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经济、利率及股票市场，我们目前都持中性态度。经济增速缓慢回落，但不确定性逐季加大，宏观政策基本确认由中性向适度宽松转变，货币政策整体宽松但传导至实体经济需要时间，股票市场在此环境下预计以震荡走势为主。从中长期的角度，股票市场的波动、甚至经济的波动更多提供的是机会，而非风险。我们将持续关注那些在经济周期下行过程中竞争力不受影响的公司，甚至市场份额反而提升的公司。我们希望通过深度研究，找到需求可持续增长的行业，竞争力可持续拓宽的公司，从公司价值的可持续成长空间中获利，并希望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2,066,025,049.16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69.82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2,066,025,049.16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69.82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325,846,100.00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325,846,100.00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317,834,876.76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10.74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212,904,414.43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36,555,701.51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2,959,166,141.86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50,439,793.11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738,110,672.18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108,232,007.04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474,559,810.34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81,240,205.60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61,207,872.00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431,034.42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331,548,092.73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220,255,561.74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2,066,025,049.16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70.59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C71DD">
        <w:trPr>
          <w:jc w:val="center"/>
        </w:trPr>
        <w:tc>
          <w:tcPr>
            <w:tcW w:w="855" w:type="dxa"/>
            <w:vAlign w:val="center"/>
          </w:tcPr>
          <w:p w:rsidR="003C71DD" w:rsidRDefault="006B068C">
            <w:pPr>
              <w:jc w:val="center"/>
            </w:pPr>
            <w:r>
              <w:rPr>
                <w:color w:val="000000"/>
                <w:sz w:val="24"/>
                <w:szCs w:val="24"/>
              </w:rPr>
              <w:t>1</w:t>
            </w:r>
          </w:p>
        </w:tc>
        <w:tc>
          <w:tcPr>
            <w:tcW w:w="1334" w:type="dxa"/>
            <w:vAlign w:val="center"/>
          </w:tcPr>
          <w:p w:rsidR="003C71DD" w:rsidRDefault="006B068C">
            <w:pPr>
              <w:jc w:val="center"/>
            </w:pPr>
            <w:r>
              <w:rPr>
                <w:color w:val="000000"/>
                <w:sz w:val="24"/>
                <w:szCs w:val="24"/>
              </w:rPr>
              <w:t>002044</w:t>
            </w:r>
          </w:p>
        </w:tc>
        <w:tc>
          <w:tcPr>
            <w:tcW w:w="1777" w:type="dxa"/>
            <w:vAlign w:val="center"/>
          </w:tcPr>
          <w:p w:rsidR="003C71DD" w:rsidRDefault="006B068C">
            <w:pPr>
              <w:jc w:val="center"/>
            </w:pPr>
            <w:r>
              <w:rPr>
                <w:color w:val="000000"/>
                <w:sz w:val="24"/>
                <w:szCs w:val="24"/>
              </w:rPr>
              <w:t>美年健康</w:t>
            </w:r>
          </w:p>
        </w:tc>
        <w:tc>
          <w:tcPr>
            <w:tcW w:w="1334" w:type="dxa"/>
            <w:vAlign w:val="center"/>
          </w:tcPr>
          <w:p w:rsidR="003C71DD" w:rsidRDefault="006B068C">
            <w:pPr>
              <w:jc w:val="right"/>
            </w:pPr>
            <w:r>
              <w:rPr>
                <w:color w:val="000000"/>
                <w:sz w:val="24"/>
                <w:szCs w:val="24"/>
              </w:rPr>
              <w:t>11,906,224</w:t>
            </w:r>
          </w:p>
        </w:tc>
        <w:tc>
          <w:tcPr>
            <w:tcW w:w="1924" w:type="dxa"/>
            <w:vAlign w:val="center"/>
          </w:tcPr>
          <w:p w:rsidR="003C71DD" w:rsidRDefault="006B068C">
            <w:pPr>
              <w:jc w:val="right"/>
            </w:pPr>
            <w:r>
              <w:rPr>
                <w:color w:val="000000"/>
                <w:sz w:val="24"/>
                <w:szCs w:val="24"/>
              </w:rPr>
              <w:t>205,144,239.52</w:t>
            </w:r>
          </w:p>
        </w:tc>
        <w:tc>
          <w:tcPr>
            <w:tcW w:w="1644" w:type="dxa"/>
            <w:vAlign w:val="center"/>
          </w:tcPr>
          <w:p w:rsidR="003C71DD" w:rsidRDefault="006B068C">
            <w:pPr>
              <w:jc w:val="right"/>
            </w:pPr>
            <w:r>
              <w:rPr>
                <w:color w:val="000000"/>
                <w:sz w:val="24"/>
                <w:szCs w:val="24"/>
              </w:rPr>
              <w:t>7.01</w:t>
            </w:r>
          </w:p>
        </w:tc>
      </w:tr>
      <w:tr w:rsidR="003C71DD">
        <w:trPr>
          <w:jc w:val="center"/>
        </w:trPr>
        <w:tc>
          <w:tcPr>
            <w:tcW w:w="855" w:type="dxa"/>
            <w:vAlign w:val="center"/>
          </w:tcPr>
          <w:p w:rsidR="003C71DD" w:rsidRDefault="006B068C">
            <w:pPr>
              <w:jc w:val="center"/>
            </w:pPr>
            <w:r>
              <w:rPr>
                <w:color w:val="000000"/>
                <w:sz w:val="24"/>
                <w:szCs w:val="24"/>
              </w:rPr>
              <w:t>2</w:t>
            </w:r>
          </w:p>
        </w:tc>
        <w:tc>
          <w:tcPr>
            <w:tcW w:w="1334" w:type="dxa"/>
            <w:vAlign w:val="center"/>
          </w:tcPr>
          <w:p w:rsidR="003C71DD" w:rsidRDefault="006B068C">
            <w:pPr>
              <w:jc w:val="center"/>
            </w:pPr>
            <w:r>
              <w:rPr>
                <w:color w:val="000000"/>
                <w:sz w:val="24"/>
                <w:szCs w:val="24"/>
              </w:rPr>
              <w:t>000661</w:t>
            </w:r>
          </w:p>
        </w:tc>
        <w:tc>
          <w:tcPr>
            <w:tcW w:w="1777" w:type="dxa"/>
            <w:vAlign w:val="center"/>
          </w:tcPr>
          <w:p w:rsidR="003C71DD" w:rsidRDefault="006B068C">
            <w:pPr>
              <w:jc w:val="center"/>
            </w:pPr>
            <w:r>
              <w:rPr>
                <w:color w:val="000000"/>
                <w:sz w:val="24"/>
                <w:szCs w:val="24"/>
              </w:rPr>
              <w:t>长春高新</w:t>
            </w:r>
          </w:p>
        </w:tc>
        <w:tc>
          <w:tcPr>
            <w:tcW w:w="1334" w:type="dxa"/>
            <w:vAlign w:val="center"/>
          </w:tcPr>
          <w:p w:rsidR="003C71DD" w:rsidRDefault="006B068C">
            <w:pPr>
              <w:jc w:val="right"/>
            </w:pPr>
            <w:r>
              <w:rPr>
                <w:color w:val="000000"/>
                <w:sz w:val="24"/>
                <w:szCs w:val="24"/>
              </w:rPr>
              <w:t>803,116</w:t>
            </w:r>
          </w:p>
        </w:tc>
        <w:tc>
          <w:tcPr>
            <w:tcW w:w="1924" w:type="dxa"/>
            <w:vAlign w:val="center"/>
          </w:tcPr>
          <w:p w:rsidR="003C71DD" w:rsidRDefault="006B068C">
            <w:pPr>
              <w:jc w:val="right"/>
            </w:pPr>
            <w:r>
              <w:rPr>
                <w:color w:val="000000"/>
                <w:sz w:val="24"/>
                <w:szCs w:val="24"/>
              </w:rPr>
              <w:t>190,338,492.00</w:t>
            </w:r>
          </w:p>
        </w:tc>
        <w:tc>
          <w:tcPr>
            <w:tcW w:w="1644" w:type="dxa"/>
            <w:vAlign w:val="center"/>
          </w:tcPr>
          <w:p w:rsidR="003C71DD" w:rsidRDefault="006B068C">
            <w:pPr>
              <w:jc w:val="right"/>
            </w:pPr>
            <w:r>
              <w:rPr>
                <w:color w:val="000000"/>
                <w:sz w:val="24"/>
                <w:szCs w:val="24"/>
              </w:rPr>
              <w:t>6.50</w:t>
            </w:r>
          </w:p>
        </w:tc>
      </w:tr>
      <w:tr w:rsidR="003C71DD">
        <w:trPr>
          <w:jc w:val="center"/>
        </w:trPr>
        <w:tc>
          <w:tcPr>
            <w:tcW w:w="855" w:type="dxa"/>
            <w:vAlign w:val="center"/>
          </w:tcPr>
          <w:p w:rsidR="003C71DD" w:rsidRDefault="006B068C">
            <w:pPr>
              <w:jc w:val="center"/>
            </w:pPr>
            <w:r>
              <w:rPr>
                <w:color w:val="000000"/>
                <w:sz w:val="24"/>
                <w:szCs w:val="24"/>
              </w:rPr>
              <w:t>3</w:t>
            </w:r>
          </w:p>
        </w:tc>
        <w:tc>
          <w:tcPr>
            <w:tcW w:w="1334" w:type="dxa"/>
            <w:vAlign w:val="center"/>
          </w:tcPr>
          <w:p w:rsidR="003C71DD" w:rsidRDefault="006B068C">
            <w:pPr>
              <w:jc w:val="center"/>
            </w:pPr>
            <w:r>
              <w:rPr>
                <w:color w:val="000000"/>
                <w:sz w:val="24"/>
                <w:szCs w:val="24"/>
              </w:rPr>
              <w:t>300365</w:t>
            </w:r>
          </w:p>
        </w:tc>
        <w:tc>
          <w:tcPr>
            <w:tcW w:w="1777" w:type="dxa"/>
            <w:vAlign w:val="center"/>
          </w:tcPr>
          <w:p w:rsidR="003C71DD" w:rsidRDefault="006B068C">
            <w:pPr>
              <w:jc w:val="center"/>
            </w:pPr>
            <w:r>
              <w:rPr>
                <w:color w:val="000000"/>
                <w:sz w:val="24"/>
                <w:szCs w:val="24"/>
              </w:rPr>
              <w:t>恒华科技</w:t>
            </w:r>
          </w:p>
        </w:tc>
        <w:tc>
          <w:tcPr>
            <w:tcW w:w="1334" w:type="dxa"/>
            <w:vAlign w:val="center"/>
          </w:tcPr>
          <w:p w:rsidR="003C71DD" w:rsidRDefault="006B068C">
            <w:pPr>
              <w:jc w:val="right"/>
            </w:pPr>
            <w:r>
              <w:rPr>
                <w:color w:val="000000"/>
                <w:sz w:val="24"/>
                <w:szCs w:val="24"/>
              </w:rPr>
              <w:t>7,643,271</w:t>
            </w:r>
          </w:p>
        </w:tc>
        <w:tc>
          <w:tcPr>
            <w:tcW w:w="1924" w:type="dxa"/>
            <w:vAlign w:val="center"/>
          </w:tcPr>
          <w:p w:rsidR="003C71DD" w:rsidRDefault="006B068C">
            <w:pPr>
              <w:jc w:val="right"/>
            </w:pPr>
            <w:r>
              <w:rPr>
                <w:color w:val="000000"/>
                <w:sz w:val="24"/>
                <w:szCs w:val="24"/>
              </w:rPr>
              <w:t>188,635,928.28</w:t>
            </w:r>
          </w:p>
        </w:tc>
        <w:tc>
          <w:tcPr>
            <w:tcW w:w="1644" w:type="dxa"/>
            <w:vAlign w:val="center"/>
          </w:tcPr>
          <w:p w:rsidR="003C71DD" w:rsidRDefault="006B068C">
            <w:pPr>
              <w:jc w:val="right"/>
            </w:pPr>
            <w:r>
              <w:rPr>
                <w:color w:val="000000"/>
                <w:sz w:val="24"/>
                <w:szCs w:val="24"/>
              </w:rPr>
              <w:t>6.45</w:t>
            </w:r>
          </w:p>
        </w:tc>
      </w:tr>
      <w:tr w:rsidR="003C71DD">
        <w:trPr>
          <w:jc w:val="center"/>
        </w:trPr>
        <w:tc>
          <w:tcPr>
            <w:tcW w:w="855" w:type="dxa"/>
            <w:vAlign w:val="center"/>
          </w:tcPr>
          <w:p w:rsidR="003C71DD" w:rsidRDefault="006B068C">
            <w:pPr>
              <w:jc w:val="center"/>
            </w:pPr>
            <w:r>
              <w:rPr>
                <w:color w:val="000000"/>
                <w:sz w:val="24"/>
                <w:szCs w:val="24"/>
              </w:rPr>
              <w:t>4</w:t>
            </w:r>
          </w:p>
        </w:tc>
        <w:tc>
          <w:tcPr>
            <w:tcW w:w="1334" w:type="dxa"/>
            <w:vAlign w:val="center"/>
          </w:tcPr>
          <w:p w:rsidR="003C71DD" w:rsidRDefault="006B068C">
            <w:pPr>
              <w:jc w:val="center"/>
            </w:pPr>
            <w:r>
              <w:rPr>
                <w:color w:val="000000"/>
                <w:sz w:val="24"/>
                <w:szCs w:val="24"/>
              </w:rPr>
              <w:t>300188</w:t>
            </w:r>
          </w:p>
        </w:tc>
        <w:tc>
          <w:tcPr>
            <w:tcW w:w="1777" w:type="dxa"/>
            <w:vAlign w:val="center"/>
          </w:tcPr>
          <w:p w:rsidR="003C71DD" w:rsidRDefault="006B068C">
            <w:pPr>
              <w:jc w:val="center"/>
            </w:pPr>
            <w:r>
              <w:rPr>
                <w:color w:val="000000"/>
                <w:sz w:val="24"/>
                <w:szCs w:val="24"/>
              </w:rPr>
              <w:t>美亚柏科</w:t>
            </w:r>
          </w:p>
        </w:tc>
        <w:tc>
          <w:tcPr>
            <w:tcW w:w="1334" w:type="dxa"/>
            <w:vAlign w:val="center"/>
          </w:tcPr>
          <w:p w:rsidR="003C71DD" w:rsidRDefault="006B068C">
            <w:pPr>
              <w:jc w:val="right"/>
            </w:pPr>
            <w:r>
              <w:rPr>
                <w:color w:val="000000"/>
                <w:sz w:val="24"/>
                <w:szCs w:val="24"/>
              </w:rPr>
              <w:t>10,499,418</w:t>
            </w:r>
          </w:p>
        </w:tc>
        <w:tc>
          <w:tcPr>
            <w:tcW w:w="1924" w:type="dxa"/>
            <w:vAlign w:val="center"/>
          </w:tcPr>
          <w:p w:rsidR="003C71DD" w:rsidRDefault="006B068C">
            <w:pPr>
              <w:jc w:val="right"/>
            </w:pPr>
            <w:r>
              <w:rPr>
                <w:color w:val="000000"/>
                <w:sz w:val="24"/>
                <w:szCs w:val="24"/>
              </w:rPr>
              <w:t>165,054,752.02</w:t>
            </w:r>
          </w:p>
        </w:tc>
        <w:tc>
          <w:tcPr>
            <w:tcW w:w="1644" w:type="dxa"/>
            <w:vAlign w:val="center"/>
          </w:tcPr>
          <w:p w:rsidR="003C71DD" w:rsidRDefault="006B068C">
            <w:pPr>
              <w:jc w:val="right"/>
            </w:pPr>
            <w:r>
              <w:rPr>
                <w:color w:val="000000"/>
                <w:sz w:val="24"/>
                <w:szCs w:val="24"/>
              </w:rPr>
              <w:t>5.64</w:t>
            </w:r>
          </w:p>
        </w:tc>
      </w:tr>
      <w:tr w:rsidR="003C71DD">
        <w:trPr>
          <w:jc w:val="center"/>
        </w:trPr>
        <w:tc>
          <w:tcPr>
            <w:tcW w:w="855" w:type="dxa"/>
            <w:vAlign w:val="center"/>
          </w:tcPr>
          <w:p w:rsidR="003C71DD" w:rsidRDefault="006B068C">
            <w:pPr>
              <w:jc w:val="center"/>
            </w:pPr>
            <w:r>
              <w:rPr>
                <w:color w:val="000000"/>
                <w:sz w:val="24"/>
                <w:szCs w:val="24"/>
              </w:rPr>
              <w:t>5</w:t>
            </w:r>
          </w:p>
        </w:tc>
        <w:tc>
          <w:tcPr>
            <w:tcW w:w="1334" w:type="dxa"/>
            <w:vAlign w:val="center"/>
          </w:tcPr>
          <w:p w:rsidR="003C71DD" w:rsidRDefault="006B068C">
            <w:pPr>
              <w:jc w:val="center"/>
            </w:pPr>
            <w:r>
              <w:rPr>
                <w:color w:val="000000"/>
                <w:sz w:val="24"/>
                <w:szCs w:val="24"/>
              </w:rPr>
              <w:t>002690</w:t>
            </w:r>
          </w:p>
        </w:tc>
        <w:tc>
          <w:tcPr>
            <w:tcW w:w="1777" w:type="dxa"/>
            <w:vAlign w:val="center"/>
          </w:tcPr>
          <w:p w:rsidR="003C71DD" w:rsidRDefault="006B068C">
            <w:pPr>
              <w:jc w:val="center"/>
            </w:pPr>
            <w:r>
              <w:rPr>
                <w:color w:val="000000"/>
                <w:sz w:val="24"/>
                <w:szCs w:val="24"/>
              </w:rPr>
              <w:t>美亚光电</w:t>
            </w:r>
          </w:p>
        </w:tc>
        <w:tc>
          <w:tcPr>
            <w:tcW w:w="1334" w:type="dxa"/>
            <w:vAlign w:val="center"/>
          </w:tcPr>
          <w:p w:rsidR="003C71DD" w:rsidRDefault="006B068C">
            <w:pPr>
              <w:jc w:val="right"/>
            </w:pPr>
            <w:r>
              <w:rPr>
                <w:color w:val="000000"/>
                <w:sz w:val="24"/>
                <w:szCs w:val="24"/>
              </w:rPr>
              <w:t>6,112,025</w:t>
            </w:r>
          </w:p>
        </w:tc>
        <w:tc>
          <w:tcPr>
            <w:tcW w:w="1924" w:type="dxa"/>
            <w:vAlign w:val="center"/>
          </w:tcPr>
          <w:p w:rsidR="003C71DD" w:rsidRDefault="006B068C">
            <w:pPr>
              <w:jc w:val="right"/>
            </w:pPr>
            <w:r>
              <w:rPr>
                <w:color w:val="000000"/>
                <w:sz w:val="24"/>
                <w:szCs w:val="24"/>
              </w:rPr>
              <w:t>135,075,752.50</w:t>
            </w:r>
          </w:p>
        </w:tc>
        <w:tc>
          <w:tcPr>
            <w:tcW w:w="1644" w:type="dxa"/>
            <w:vAlign w:val="center"/>
          </w:tcPr>
          <w:p w:rsidR="003C71DD" w:rsidRDefault="006B068C">
            <w:pPr>
              <w:jc w:val="right"/>
            </w:pPr>
            <w:r>
              <w:rPr>
                <w:color w:val="000000"/>
                <w:sz w:val="24"/>
                <w:szCs w:val="24"/>
              </w:rPr>
              <w:t>4.62</w:t>
            </w:r>
          </w:p>
        </w:tc>
      </w:tr>
      <w:tr w:rsidR="003C71DD">
        <w:trPr>
          <w:jc w:val="center"/>
        </w:trPr>
        <w:tc>
          <w:tcPr>
            <w:tcW w:w="855" w:type="dxa"/>
            <w:vAlign w:val="center"/>
          </w:tcPr>
          <w:p w:rsidR="003C71DD" w:rsidRDefault="006B068C">
            <w:pPr>
              <w:jc w:val="center"/>
            </w:pPr>
            <w:r>
              <w:rPr>
                <w:color w:val="000000"/>
                <w:sz w:val="24"/>
                <w:szCs w:val="24"/>
              </w:rPr>
              <w:t>6</w:t>
            </w:r>
          </w:p>
        </w:tc>
        <w:tc>
          <w:tcPr>
            <w:tcW w:w="1334" w:type="dxa"/>
            <w:vAlign w:val="center"/>
          </w:tcPr>
          <w:p w:rsidR="003C71DD" w:rsidRDefault="006B068C">
            <w:pPr>
              <w:jc w:val="center"/>
            </w:pPr>
            <w:r>
              <w:rPr>
                <w:color w:val="000000"/>
                <w:sz w:val="24"/>
                <w:szCs w:val="24"/>
              </w:rPr>
              <w:t>600763</w:t>
            </w:r>
          </w:p>
        </w:tc>
        <w:tc>
          <w:tcPr>
            <w:tcW w:w="1777" w:type="dxa"/>
            <w:vAlign w:val="center"/>
          </w:tcPr>
          <w:p w:rsidR="003C71DD" w:rsidRDefault="006B068C">
            <w:pPr>
              <w:jc w:val="center"/>
            </w:pPr>
            <w:r>
              <w:rPr>
                <w:color w:val="000000"/>
                <w:sz w:val="24"/>
                <w:szCs w:val="24"/>
              </w:rPr>
              <w:t>通策医疗</w:t>
            </w:r>
          </w:p>
        </w:tc>
        <w:tc>
          <w:tcPr>
            <w:tcW w:w="1334" w:type="dxa"/>
            <w:vAlign w:val="center"/>
          </w:tcPr>
          <w:p w:rsidR="003C71DD" w:rsidRDefault="006B068C">
            <w:pPr>
              <w:jc w:val="right"/>
            </w:pPr>
            <w:r>
              <w:rPr>
                <w:color w:val="000000"/>
                <w:sz w:val="24"/>
                <w:szCs w:val="24"/>
              </w:rPr>
              <w:t>2,353,451</w:t>
            </w:r>
          </w:p>
        </w:tc>
        <w:tc>
          <w:tcPr>
            <w:tcW w:w="1924" w:type="dxa"/>
            <w:vAlign w:val="center"/>
          </w:tcPr>
          <w:p w:rsidR="003C71DD" w:rsidRDefault="006B068C">
            <w:pPr>
              <w:jc w:val="right"/>
            </w:pPr>
            <w:r>
              <w:rPr>
                <w:color w:val="000000"/>
                <w:sz w:val="24"/>
                <w:szCs w:val="24"/>
              </w:rPr>
              <w:t>126,403,853.21</w:t>
            </w:r>
          </w:p>
        </w:tc>
        <w:tc>
          <w:tcPr>
            <w:tcW w:w="1644" w:type="dxa"/>
            <w:vAlign w:val="center"/>
          </w:tcPr>
          <w:p w:rsidR="003C71DD" w:rsidRDefault="006B068C">
            <w:pPr>
              <w:jc w:val="right"/>
            </w:pPr>
            <w:r>
              <w:rPr>
                <w:color w:val="000000"/>
                <w:sz w:val="24"/>
                <w:szCs w:val="24"/>
              </w:rPr>
              <w:t>4.32</w:t>
            </w:r>
          </w:p>
        </w:tc>
      </w:tr>
      <w:tr w:rsidR="003C71DD">
        <w:trPr>
          <w:jc w:val="center"/>
        </w:trPr>
        <w:tc>
          <w:tcPr>
            <w:tcW w:w="855" w:type="dxa"/>
            <w:vAlign w:val="center"/>
          </w:tcPr>
          <w:p w:rsidR="003C71DD" w:rsidRDefault="006B068C">
            <w:pPr>
              <w:jc w:val="center"/>
            </w:pPr>
            <w:r>
              <w:rPr>
                <w:color w:val="000000"/>
                <w:sz w:val="24"/>
                <w:szCs w:val="24"/>
              </w:rPr>
              <w:t>7</w:t>
            </w:r>
          </w:p>
        </w:tc>
        <w:tc>
          <w:tcPr>
            <w:tcW w:w="1334" w:type="dxa"/>
            <w:vAlign w:val="center"/>
          </w:tcPr>
          <w:p w:rsidR="003C71DD" w:rsidRDefault="006B068C">
            <w:pPr>
              <w:jc w:val="center"/>
            </w:pPr>
            <w:r>
              <w:rPr>
                <w:color w:val="000000"/>
                <w:sz w:val="24"/>
                <w:szCs w:val="24"/>
              </w:rPr>
              <w:t>000681</w:t>
            </w:r>
          </w:p>
        </w:tc>
        <w:tc>
          <w:tcPr>
            <w:tcW w:w="1777" w:type="dxa"/>
            <w:vAlign w:val="center"/>
          </w:tcPr>
          <w:p w:rsidR="003C71DD" w:rsidRDefault="006B068C">
            <w:pPr>
              <w:jc w:val="center"/>
            </w:pPr>
            <w:r>
              <w:rPr>
                <w:color w:val="000000"/>
                <w:sz w:val="24"/>
                <w:szCs w:val="24"/>
              </w:rPr>
              <w:t>视觉中国</w:t>
            </w:r>
          </w:p>
        </w:tc>
        <w:tc>
          <w:tcPr>
            <w:tcW w:w="1334" w:type="dxa"/>
            <w:vAlign w:val="center"/>
          </w:tcPr>
          <w:p w:rsidR="003C71DD" w:rsidRDefault="006B068C">
            <w:pPr>
              <w:jc w:val="right"/>
            </w:pPr>
            <w:r>
              <w:rPr>
                <w:color w:val="000000"/>
                <w:sz w:val="24"/>
                <w:szCs w:val="24"/>
              </w:rPr>
              <w:t>4,661,608</w:t>
            </w:r>
          </w:p>
        </w:tc>
        <w:tc>
          <w:tcPr>
            <w:tcW w:w="1924" w:type="dxa"/>
            <w:vAlign w:val="center"/>
          </w:tcPr>
          <w:p w:rsidR="003C71DD" w:rsidRDefault="006B068C">
            <w:pPr>
              <w:jc w:val="right"/>
            </w:pPr>
            <w:r>
              <w:rPr>
                <w:color w:val="000000"/>
                <w:sz w:val="24"/>
                <w:szCs w:val="24"/>
              </w:rPr>
              <w:t>125,770,183.84</w:t>
            </w:r>
          </w:p>
        </w:tc>
        <w:tc>
          <w:tcPr>
            <w:tcW w:w="1644" w:type="dxa"/>
            <w:vAlign w:val="center"/>
          </w:tcPr>
          <w:p w:rsidR="003C71DD" w:rsidRDefault="006B068C">
            <w:pPr>
              <w:jc w:val="right"/>
            </w:pPr>
            <w:r>
              <w:rPr>
                <w:color w:val="000000"/>
                <w:sz w:val="24"/>
                <w:szCs w:val="24"/>
              </w:rPr>
              <w:t>4.30</w:t>
            </w:r>
          </w:p>
        </w:tc>
      </w:tr>
      <w:tr w:rsidR="003C71DD">
        <w:trPr>
          <w:jc w:val="center"/>
        </w:trPr>
        <w:tc>
          <w:tcPr>
            <w:tcW w:w="855" w:type="dxa"/>
            <w:vAlign w:val="center"/>
          </w:tcPr>
          <w:p w:rsidR="003C71DD" w:rsidRDefault="006B068C">
            <w:pPr>
              <w:jc w:val="center"/>
            </w:pPr>
            <w:r>
              <w:rPr>
                <w:color w:val="000000"/>
                <w:sz w:val="24"/>
                <w:szCs w:val="24"/>
              </w:rPr>
              <w:t>8</w:t>
            </w:r>
          </w:p>
        </w:tc>
        <w:tc>
          <w:tcPr>
            <w:tcW w:w="1334" w:type="dxa"/>
            <w:vAlign w:val="center"/>
          </w:tcPr>
          <w:p w:rsidR="003C71DD" w:rsidRDefault="006B068C">
            <w:pPr>
              <w:jc w:val="center"/>
            </w:pPr>
            <w:r>
              <w:rPr>
                <w:color w:val="000000"/>
                <w:sz w:val="24"/>
                <w:szCs w:val="24"/>
              </w:rPr>
              <w:t>300529</w:t>
            </w:r>
          </w:p>
        </w:tc>
        <w:tc>
          <w:tcPr>
            <w:tcW w:w="1777" w:type="dxa"/>
            <w:vAlign w:val="center"/>
          </w:tcPr>
          <w:p w:rsidR="003C71DD" w:rsidRDefault="006B068C">
            <w:pPr>
              <w:jc w:val="center"/>
            </w:pPr>
            <w:r>
              <w:rPr>
                <w:color w:val="000000"/>
                <w:sz w:val="24"/>
                <w:szCs w:val="24"/>
              </w:rPr>
              <w:t>健帆生物</w:t>
            </w:r>
          </w:p>
        </w:tc>
        <w:tc>
          <w:tcPr>
            <w:tcW w:w="1334" w:type="dxa"/>
            <w:vAlign w:val="center"/>
          </w:tcPr>
          <w:p w:rsidR="003C71DD" w:rsidRDefault="006B068C">
            <w:pPr>
              <w:jc w:val="right"/>
            </w:pPr>
            <w:r>
              <w:rPr>
                <w:color w:val="000000"/>
                <w:sz w:val="24"/>
                <w:szCs w:val="24"/>
              </w:rPr>
              <w:t>2,846,228</w:t>
            </w:r>
          </w:p>
        </w:tc>
        <w:tc>
          <w:tcPr>
            <w:tcW w:w="1924" w:type="dxa"/>
            <w:vAlign w:val="center"/>
          </w:tcPr>
          <w:p w:rsidR="003C71DD" w:rsidRDefault="006B068C">
            <w:pPr>
              <w:jc w:val="right"/>
            </w:pPr>
            <w:r>
              <w:rPr>
                <w:color w:val="000000"/>
                <w:sz w:val="24"/>
                <w:szCs w:val="24"/>
              </w:rPr>
              <w:t>124,237,852.20</w:t>
            </w:r>
          </w:p>
        </w:tc>
        <w:tc>
          <w:tcPr>
            <w:tcW w:w="1644" w:type="dxa"/>
            <w:vAlign w:val="center"/>
          </w:tcPr>
          <w:p w:rsidR="003C71DD" w:rsidRDefault="006B068C">
            <w:pPr>
              <w:jc w:val="right"/>
            </w:pPr>
            <w:r>
              <w:rPr>
                <w:color w:val="000000"/>
                <w:sz w:val="24"/>
                <w:szCs w:val="24"/>
              </w:rPr>
              <w:t>4.24</w:t>
            </w:r>
          </w:p>
        </w:tc>
      </w:tr>
      <w:tr w:rsidR="003C71DD">
        <w:trPr>
          <w:jc w:val="center"/>
        </w:trPr>
        <w:tc>
          <w:tcPr>
            <w:tcW w:w="855" w:type="dxa"/>
            <w:vAlign w:val="center"/>
          </w:tcPr>
          <w:p w:rsidR="003C71DD" w:rsidRDefault="006B068C">
            <w:pPr>
              <w:jc w:val="center"/>
            </w:pPr>
            <w:r>
              <w:rPr>
                <w:color w:val="000000"/>
                <w:sz w:val="24"/>
                <w:szCs w:val="24"/>
              </w:rPr>
              <w:t>9</w:t>
            </w:r>
          </w:p>
        </w:tc>
        <w:tc>
          <w:tcPr>
            <w:tcW w:w="1334" w:type="dxa"/>
            <w:vAlign w:val="center"/>
          </w:tcPr>
          <w:p w:rsidR="003C71DD" w:rsidRDefault="006B068C">
            <w:pPr>
              <w:jc w:val="center"/>
            </w:pPr>
            <w:r>
              <w:rPr>
                <w:color w:val="000000"/>
                <w:sz w:val="24"/>
                <w:szCs w:val="24"/>
              </w:rPr>
              <w:t>603096</w:t>
            </w:r>
          </w:p>
        </w:tc>
        <w:tc>
          <w:tcPr>
            <w:tcW w:w="1777" w:type="dxa"/>
            <w:vAlign w:val="center"/>
          </w:tcPr>
          <w:p w:rsidR="003C71DD" w:rsidRDefault="006B068C">
            <w:pPr>
              <w:jc w:val="center"/>
            </w:pPr>
            <w:r>
              <w:rPr>
                <w:color w:val="000000"/>
                <w:sz w:val="24"/>
                <w:szCs w:val="24"/>
              </w:rPr>
              <w:t>新经典</w:t>
            </w:r>
          </w:p>
        </w:tc>
        <w:tc>
          <w:tcPr>
            <w:tcW w:w="1334" w:type="dxa"/>
            <w:vAlign w:val="center"/>
          </w:tcPr>
          <w:p w:rsidR="003C71DD" w:rsidRDefault="006B068C">
            <w:pPr>
              <w:jc w:val="right"/>
            </w:pPr>
            <w:r>
              <w:rPr>
                <w:color w:val="000000"/>
                <w:sz w:val="24"/>
                <w:szCs w:val="24"/>
              </w:rPr>
              <w:t>1,432,682</w:t>
            </w:r>
          </w:p>
        </w:tc>
        <w:tc>
          <w:tcPr>
            <w:tcW w:w="1924" w:type="dxa"/>
            <w:vAlign w:val="center"/>
          </w:tcPr>
          <w:p w:rsidR="003C71DD" w:rsidRDefault="006B068C">
            <w:pPr>
              <w:jc w:val="right"/>
            </w:pPr>
            <w:r>
              <w:rPr>
                <w:color w:val="000000"/>
                <w:sz w:val="24"/>
                <w:szCs w:val="24"/>
              </w:rPr>
              <w:t>94,485,377.90</w:t>
            </w:r>
          </w:p>
        </w:tc>
        <w:tc>
          <w:tcPr>
            <w:tcW w:w="1644" w:type="dxa"/>
            <w:vAlign w:val="center"/>
          </w:tcPr>
          <w:p w:rsidR="003C71DD" w:rsidRDefault="006B068C">
            <w:pPr>
              <w:jc w:val="right"/>
            </w:pPr>
            <w:r>
              <w:rPr>
                <w:color w:val="000000"/>
                <w:sz w:val="24"/>
                <w:szCs w:val="24"/>
              </w:rPr>
              <w:t>3.23</w:t>
            </w:r>
          </w:p>
        </w:tc>
      </w:tr>
      <w:tr w:rsidR="003C71DD">
        <w:trPr>
          <w:jc w:val="center"/>
        </w:trPr>
        <w:tc>
          <w:tcPr>
            <w:tcW w:w="855" w:type="dxa"/>
            <w:vAlign w:val="center"/>
          </w:tcPr>
          <w:p w:rsidR="003C71DD" w:rsidRDefault="006B068C">
            <w:pPr>
              <w:jc w:val="center"/>
            </w:pPr>
            <w:r>
              <w:rPr>
                <w:color w:val="000000"/>
                <w:sz w:val="24"/>
                <w:szCs w:val="24"/>
              </w:rPr>
              <w:t>10</w:t>
            </w:r>
          </w:p>
        </w:tc>
        <w:tc>
          <w:tcPr>
            <w:tcW w:w="1334" w:type="dxa"/>
            <w:vAlign w:val="center"/>
          </w:tcPr>
          <w:p w:rsidR="003C71DD" w:rsidRDefault="006B068C">
            <w:pPr>
              <w:jc w:val="center"/>
            </w:pPr>
            <w:r>
              <w:rPr>
                <w:color w:val="000000"/>
                <w:sz w:val="24"/>
                <w:szCs w:val="24"/>
              </w:rPr>
              <w:t>601100</w:t>
            </w:r>
          </w:p>
        </w:tc>
        <w:tc>
          <w:tcPr>
            <w:tcW w:w="1777" w:type="dxa"/>
            <w:vAlign w:val="center"/>
          </w:tcPr>
          <w:p w:rsidR="003C71DD" w:rsidRDefault="006B068C">
            <w:pPr>
              <w:jc w:val="center"/>
            </w:pPr>
            <w:r>
              <w:rPr>
                <w:color w:val="000000"/>
                <w:sz w:val="24"/>
                <w:szCs w:val="24"/>
              </w:rPr>
              <w:t>恒立液压</w:t>
            </w:r>
          </w:p>
        </w:tc>
        <w:tc>
          <w:tcPr>
            <w:tcW w:w="1334" w:type="dxa"/>
            <w:vAlign w:val="center"/>
          </w:tcPr>
          <w:p w:rsidR="003C71DD" w:rsidRDefault="006B068C">
            <w:pPr>
              <w:jc w:val="right"/>
            </w:pPr>
            <w:r>
              <w:rPr>
                <w:color w:val="000000"/>
                <w:sz w:val="24"/>
                <w:szCs w:val="24"/>
              </w:rPr>
              <w:t>3,360,599</w:t>
            </w:r>
          </w:p>
        </w:tc>
        <w:tc>
          <w:tcPr>
            <w:tcW w:w="1924" w:type="dxa"/>
            <w:vAlign w:val="center"/>
          </w:tcPr>
          <w:p w:rsidR="003C71DD" w:rsidRDefault="006B068C">
            <w:pPr>
              <w:jc w:val="right"/>
            </w:pPr>
            <w:r>
              <w:rPr>
                <w:color w:val="000000"/>
                <w:sz w:val="24"/>
                <w:szCs w:val="24"/>
              </w:rPr>
              <w:t>75,042,175.67</w:t>
            </w:r>
          </w:p>
        </w:tc>
        <w:tc>
          <w:tcPr>
            <w:tcW w:w="1644" w:type="dxa"/>
            <w:vAlign w:val="center"/>
          </w:tcPr>
          <w:p w:rsidR="003C71DD" w:rsidRDefault="006B068C">
            <w:pPr>
              <w:jc w:val="right"/>
            </w:pPr>
            <w:r>
              <w:rPr>
                <w:color w:val="000000"/>
                <w:sz w:val="24"/>
                <w:szCs w:val="24"/>
              </w:rPr>
              <w:t>2.56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18,903,100.00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109,553,000.00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109,553,000.00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197,390,000.00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6.74</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325,846,100.00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C71DD">
        <w:trPr>
          <w:jc w:val="center"/>
        </w:trPr>
        <w:tc>
          <w:tcPr>
            <w:tcW w:w="850" w:type="dxa"/>
            <w:vAlign w:val="center"/>
          </w:tcPr>
          <w:p w:rsidR="003C71DD" w:rsidRDefault="006B068C">
            <w:pPr>
              <w:jc w:val="center"/>
            </w:pPr>
            <w:r>
              <w:rPr>
                <w:color w:val="000000"/>
                <w:sz w:val="24"/>
                <w:szCs w:val="24"/>
              </w:rPr>
              <w:t>1</w:t>
            </w:r>
          </w:p>
        </w:tc>
        <w:tc>
          <w:tcPr>
            <w:tcW w:w="1475" w:type="dxa"/>
            <w:vAlign w:val="center"/>
          </w:tcPr>
          <w:p w:rsidR="003C71DD" w:rsidRDefault="006B068C">
            <w:pPr>
              <w:jc w:val="center"/>
            </w:pPr>
            <w:r>
              <w:rPr>
                <w:color w:val="000000"/>
                <w:sz w:val="24"/>
                <w:szCs w:val="24"/>
              </w:rPr>
              <w:t>120224</w:t>
            </w:r>
          </w:p>
        </w:tc>
        <w:tc>
          <w:tcPr>
            <w:tcW w:w="1769" w:type="dxa"/>
            <w:vAlign w:val="center"/>
          </w:tcPr>
          <w:p w:rsidR="003C71DD" w:rsidRDefault="006B068C">
            <w:pPr>
              <w:jc w:val="center"/>
            </w:pPr>
            <w:r>
              <w:rPr>
                <w:color w:val="000000"/>
                <w:sz w:val="24"/>
                <w:szCs w:val="24"/>
              </w:rPr>
              <w:t>12</w:t>
            </w:r>
            <w:r>
              <w:rPr>
                <w:color w:val="000000"/>
                <w:sz w:val="24"/>
                <w:szCs w:val="24"/>
              </w:rPr>
              <w:t>国开</w:t>
            </w:r>
            <w:r>
              <w:rPr>
                <w:color w:val="000000"/>
                <w:sz w:val="24"/>
                <w:szCs w:val="24"/>
              </w:rPr>
              <w:t>24</w:t>
            </w:r>
          </w:p>
        </w:tc>
        <w:tc>
          <w:tcPr>
            <w:tcW w:w="1387" w:type="dxa"/>
            <w:vAlign w:val="center"/>
          </w:tcPr>
          <w:p w:rsidR="003C71DD" w:rsidRDefault="006B068C">
            <w:pPr>
              <w:jc w:val="right"/>
            </w:pPr>
            <w:r>
              <w:rPr>
                <w:color w:val="000000"/>
                <w:sz w:val="24"/>
                <w:szCs w:val="24"/>
              </w:rPr>
              <w:t>800,000</w:t>
            </w:r>
          </w:p>
        </w:tc>
        <w:tc>
          <w:tcPr>
            <w:tcW w:w="2150" w:type="dxa"/>
            <w:vAlign w:val="center"/>
          </w:tcPr>
          <w:p w:rsidR="003C71DD" w:rsidRDefault="006B068C">
            <w:pPr>
              <w:jc w:val="right"/>
            </w:pPr>
            <w:r>
              <w:rPr>
                <w:color w:val="000000"/>
                <w:sz w:val="24"/>
                <w:szCs w:val="24"/>
              </w:rPr>
              <w:t>79,496,000.00</w:t>
            </w:r>
          </w:p>
        </w:tc>
        <w:tc>
          <w:tcPr>
            <w:tcW w:w="1237" w:type="dxa"/>
            <w:vAlign w:val="center"/>
          </w:tcPr>
          <w:p w:rsidR="003C71DD" w:rsidRDefault="006B068C">
            <w:pPr>
              <w:jc w:val="right"/>
            </w:pPr>
            <w:r>
              <w:rPr>
                <w:color w:val="000000"/>
                <w:sz w:val="24"/>
                <w:szCs w:val="24"/>
              </w:rPr>
              <w:t>2.72</w:t>
            </w:r>
          </w:p>
        </w:tc>
      </w:tr>
      <w:tr w:rsidR="003C71DD">
        <w:trPr>
          <w:jc w:val="center"/>
        </w:trPr>
        <w:tc>
          <w:tcPr>
            <w:tcW w:w="850" w:type="dxa"/>
            <w:vAlign w:val="center"/>
          </w:tcPr>
          <w:p w:rsidR="003C71DD" w:rsidRDefault="006B068C">
            <w:pPr>
              <w:jc w:val="center"/>
            </w:pPr>
            <w:r>
              <w:rPr>
                <w:color w:val="000000"/>
                <w:sz w:val="24"/>
                <w:szCs w:val="24"/>
              </w:rPr>
              <w:t>2</w:t>
            </w:r>
          </w:p>
        </w:tc>
        <w:tc>
          <w:tcPr>
            <w:tcW w:w="1475" w:type="dxa"/>
            <w:vAlign w:val="center"/>
          </w:tcPr>
          <w:p w:rsidR="003C71DD" w:rsidRDefault="006B068C">
            <w:pPr>
              <w:jc w:val="center"/>
            </w:pPr>
            <w:r>
              <w:rPr>
                <w:color w:val="000000"/>
                <w:sz w:val="24"/>
                <w:szCs w:val="24"/>
              </w:rPr>
              <w:t>111809214</w:t>
            </w:r>
          </w:p>
        </w:tc>
        <w:tc>
          <w:tcPr>
            <w:tcW w:w="1769" w:type="dxa"/>
            <w:vAlign w:val="center"/>
          </w:tcPr>
          <w:p w:rsidR="003C71DD" w:rsidRDefault="006B068C">
            <w:pPr>
              <w:jc w:val="center"/>
            </w:pPr>
            <w:r>
              <w:rPr>
                <w:color w:val="000000"/>
                <w:sz w:val="24"/>
                <w:szCs w:val="24"/>
              </w:rPr>
              <w:t>18</w:t>
            </w:r>
            <w:r>
              <w:rPr>
                <w:color w:val="000000"/>
                <w:sz w:val="24"/>
                <w:szCs w:val="24"/>
              </w:rPr>
              <w:t>浦发银行</w:t>
            </w:r>
            <w:r>
              <w:rPr>
                <w:color w:val="000000"/>
                <w:sz w:val="24"/>
                <w:szCs w:val="24"/>
              </w:rPr>
              <w:t>CD214</w:t>
            </w:r>
          </w:p>
        </w:tc>
        <w:tc>
          <w:tcPr>
            <w:tcW w:w="1387" w:type="dxa"/>
            <w:vAlign w:val="center"/>
          </w:tcPr>
          <w:p w:rsidR="003C71DD" w:rsidRDefault="006B068C">
            <w:pPr>
              <w:jc w:val="right"/>
            </w:pPr>
            <w:r>
              <w:rPr>
                <w:color w:val="000000"/>
                <w:sz w:val="24"/>
                <w:szCs w:val="24"/>
              </w:rPr>
              <w:t>500,000</w:t>
            </w:r>
          </w:p>
        </w:tc>
        <w:tc>
          <w:tcPr>
            <w:tcW w:w="2150" w:type="dxa"/>
            <w:vAlign w:val="center"/>
          </w:tcPr>
          <w:p w:rsidR="003C71DD" w:rsidRDefault="006B068C">
            <w:pPr>
              <w:jc w:val="right"/>
            </w:pPr>
            <w:r>
              <w:rPr>
                <w:color w:val="000000"/>
                <w:sz w:val="24"/>
                <w:szCs w:val="24"/>
              </w:rPr>
              <w:t>49,585,000.00</w:t>
            </w:r>
          </w:p>
        </w:tc>
        <w:tc>
          <w:tcPr>
            <w:tcW w:w="1237" w:type="dxa"/>
            <w:vAlign w:val="center"/>
          </w:tcPr>
          <w:p w:rsidR="003C71DD" w:rsidRDefault="006B068C">
            <w:pPr>
              <w:jc w:val="right"/>
            </w:pPr>
            <w:r>
              <w:rPr>
                <w:color w:val="000000"/>
                <w:sz w:val="24"/>
                <w:szCs w:val="24"/>
              </w:rPr>
              <w:t>1.69</w:t>
            </w:r>
          </w:p>
        </w:tc>
      </w:tr>
      <w:tr w:rsidR="003C71DD">
        <w:trPr>
          <w:jc w:val="center"/>
        </w:trPr>
        <w:tc>
          <w:tcPr>
            <w:tcW w:w="850" w:type="dxa"/>
            <w:vAlign w:val="center"/>
          </w:tcPr>
          <w:p w:rsidR="003C71DD" w:rsidRDefault="006B068C">
            <w:pPr>
              <w:jc w:val="center"/>
            </w:pPr>
            <w:r>
              <w:rPr>
                <w:color w:val="000000"/>
                <w:sz w:val="24"/>
                <w:szCs w:val="24"/>
              </w:rPr>
              <w:t>3</w:t>
            </w:r>
          </w:p>
        </w:tc>
        <w:tc>
          <w:tcPr>
            <w:tcW w:w="1475" w:type="dxa"/>
            <w:vAlign w:val="center"/>
          </w:tcPr>
          <w:p w:rsidR="003C71DD" w:rsidRDefault="006B068C">
            <w:pPr>
              <w:jc w:val="center"/>
            </w:pPr>
            <w:r>
              <w:rPr>
                <w:color w:val="000000"/>
                <w:sz w:val="24"/>
                <w:szCs w:val="24"/>
              </w:rPr>
              <w:t>111880983</w:t>
            </w:r>
          </w:p>
        </w:tc>
        <w:tc>
          <w:tcPr>
            <w:tcW w:w="1769" w:type="dxa"/>
            <w:vAlign w:val="center"/>
          </w:tcPr>
          <w:p w:rsidR="003C71DD" w:rsidRDefault="006B068C">
            <w:pPr>
              <w:jc w:val="center"/>
            </w:pPr>
            <w:r>
              <w:rPr>
                <w:color w:val="000000"/>
                <w:sz w:val="24"/>
                <w:szCs w:val="24"/>
              </w:rPr>
              <w:t>18</w:t>
            </w:r>
            <w:r>
              <w:rPr>
                <w:color w:val="000000"/>
                <w:sz w:val="24"/>
                <w:szCs w:val="24"/>
              </w:rPr>
              <w:t>厦门国际银行</w:t>
            </w:r>
            <w:r>
              <w:rPr>
                <w:color w:val="000000"/>
                <w:sz w:val="24"/>
                <w:szCs w:val="24"/>
              </w:rPr>
              <w:t>CD151</w:t>
            </w:r>
          </w:p>
        </w:tc>
        <w:tc>
          <w:tcPr>
            <w:tcW w:w="1387" w:type="dxa"/>
            <w:vAlign w:val="center"/>
          </w:tcPr>
          <w:p w:rsidR="003C71DD" w:rsidRDefault="006B068C">
            <w:pPr>
              <w:jc w:val="right"/>
            </w:pPr>
            <w:r>
              <w:rPr>
                <w:color w:val="000000"/>
                <w:sz w:val="24"/>
                <w:szCs w:val="24"/>
              </w:rPr>
              <w:t>500,000</w:t>
            </w:r>
          </w:p>
        </w:tc>
        <w:tc>
          <w:tcPr>
            <w:tcW w:w="2150" w:type="dxa"/>
            <w:vAlign w:val="center"/>
          </w:tcPr>
          <w:p w:rsidR="003C71DD" w:rsidRDefault="006B068C">
            <w:pPr>
              <w:jc w:val="right"/>
            </w:pPr>
            <w:r>
              <w:rPr>
                <w:color w:val="000000"/>
                <w:sz w:val="24"/>
                <w:szCs w:val="24"/>
              </w:rPr>
              <w:t>49,565,000.00</w:t>
            </w:r>
          </w:p>
        </w:tc>
        <w:tc>
          <w:tcPr>
            <w:tcW w:w="1237" w:type="dxa"/>
            <w:vAlign w:val="center"/>
          </w:tcPr>
          <w:p w:rsidR="003C71DD" w:rsidRDefault="006B068C">
            <w:pPr>
              <w:jc w:val="right"/>
            </w:pPr>
            <w:r>
              <w:rPr>
                <w:color w:val="000000"/>
                <w:sz w:val="24"/>
                <w:szCs w:val="24"/>
              </w:rPr>
              <w:t>1.69</w:t>
            </w:r>
          </w:p>
        </w:tc>
      </w:tr>
      <w:tr w:rsidR="003C71DD">
        <w:trPr>
          <w:jc w:val="center"/>
        </w:trPr>
        <w:tc>
          <w:tcPr>
            <w:tcW w:w="850" w:type="dxa"/>
            <w:vAlign w:val="center"/>
          </w:tcPr>
          <w:p w:rsidR="003C71DD" w:rsidRDefault="006B068C">
            <w:pPr>
              <w:jc w:val="center"/>
            </w:pPr>
            <w:r>
              <w:rPr>
                <w:color w:val="000000"/>
                <w:sz w:val="24"/>
                <w:szCs w:val="24"/>
              </w:rPr>
              <w:t>4</w:t>
            </w:r>
          </w:p>
        </w:tc>
        <w:tc>
          <w:tcPr>
            <w:tcW w:w="1475" w:type="dxa"/>
            <w:vAlign w:val="center"/>
          </w:tcPr>
          <w:p w:rsidR="003C71DD" w:rsidRDefault="006B068C">
            <w:pPr>
              <w:jc w:val="center"/>
            </w:pPr>
            <w:r>
              <w:rPr>
                <w:color w:val="000000"/>
                <w:sz w:val="24"/>
                <w:szCs w:val="24"/>
              </w:rPr>
              <w:t>111880952</w:t>
            </w:r>
          </w:p>
        </w:tc>
        <w:tc>
          <w:tcPr>
            <w:tcW w:w="1769" w:type="dxa"/>
            <w:vAlign w:val="center"/>
          </w:tcPr>
          <w:p w:rsidR="003C71DD" w:rsidRDefault="006B068C">
            <w:pPr>
              <w:jc w:val="center"/>
            </w:pPr>
            <w:r>
              <w:rPr>
                <w:color w:val="000000"/>
                <w:sz w:val="24"/>
                <w:szCs w:val="24"/>
              </w:rPr>
              <w:t>18</w:t>
            </w:r>
            <w:r>
              <w:rPr>
                <w:color w:val="000000"/>
                <w:sz w:val="24"/>
                <w:szCs w:val="24"/>
              </w:rPr>
              <w:t>成都银行</w:t>
            </w:r>
            <w:r>
              <w:rPr>
                <w:color w:val="000000"/>
                <w:sz w:val="24"/>
                <w:szCs w:val="24"/>
              </w:rPr>
              <w:t>CD178</w:t>
            </w:r>
          </w:p>
        </w:tc>
        <w:tc>
          <w:tcPr>
            <w:tcW w:w="1387" w:type="dxa"/>
            <w:vAlign w:val="center"/>
          </w:tcPr>
          <w:p w:rsidR="003C71DD" w:rsidRDefault="006B068C">
            <w:pPr>
              <w:jc w:val="right"/>
            </w:pPr>
            <w:r>
              <w:rPr>
                <w:color w:val="000000"/>
                <w:sz w:val="24"/>
                <w:szCs w:val="24"/>
              </w:rPr>
              <w:t>500,000</w:t>
            </w:r>
          </w:p>
        </w:tc>
        <w:tc>
          <w:tcPr>
            <w:tcW w:w="2150" w:type="dxa"/>
            <w:vAlign w:val="center"/>
          </w:tcPr>
          <w:p w:rsidR="003C71DD" w:rsidRDefault="006B068C">
            <w:pPr>
              <w:jc w:val="right"/>
            </w:pPr>
            <w:r>
              <w:rPr>
                <w:color w:val="000000"/>
                <w:sz w:val="24"/>
                <w:szCs w:val="24"/>
              </w:rPr>
              <w:t>49,120,000.00</w:t>
            </w:r>
          </w:p>
        </w:tc>
        <w:tc>
          <w:tcPr>
            <w:tcW w:w="1237" w:type="dxa"/>
            <w:vAlign w:val="center"/>
          </w:tcPr>
          <w:p w:rsidR="003C71DD" w:rsidRDefault="006B068C">
            <w:pPr>
              <w:jc w:val="right"/>
            </w:pPr>
            <w:r>
              <w:rPr>
                <w:color w:val="000000"/>
                <w:sz w:val="24"/>
                <w:szCs w:val="24"/>
              </w:rPr>
              <w:t>1.68</w:t>
            </w:r>
          </w:p>
        </w:tc>
      </w:tr>
      <w:tr w:rsidR="003C71DD">
        <w:trPr>
          <w:jc w:val="center"/>
        </w:trPr>
        <w:tc>
          <w:tcPr>
            <w:tcW w:w="850" w:type="dxa"/>
            <w:vAlign w:val="center"/>
          </w:tcPr>
          <w:p w:rsidR="003C71DD" w:rsidRDefault="006B068C">
            <w:pPr>
              <w:jc w:val="center"/>
            </w:pPr>
            <w:r>
              <w:rPr>
                <w:color w:val="000000"/>
                <w:sz w:val="24"/>
                <w:szCs w:val="24"/>
              </w:rPr>
              <w:t>5</w:t>
            </w:r>
          </w:p>
        </w:tc>
        <w:tc>
          <w:tcPr>
            <w:tcW w:w="1475" w:type="dxa"/>
            <w:vAlign w:val="center"/>
          </w:tcPr>
          <w:p w:rsidR="003C71DD" w:rsidRDefault="006B068C">
            <w:pPr>
              <w:jc w:val="center"/>
            </w:pPr>
            <w:r>
              <w:rPr>
                <w:color w:val="000000"/>
                <w:sz w:val="24"/>
                <w:szCs w:val="24"/>
              </w:rPr>
              <w:t>111880980</w:t>
            </w:r>
          </w:p>
        </w:tc>
        <w:tc>
          <w:tcPr>
            <w:tcW w:w="1769" w:type="dxa"/>
            <w:vAlign w:val="center"/>
          </w:tcPr>
          <w:p w:rsidR="003C71DD" w:rsidRDefault="006B068C">
            <w:pPr>
              <w:jc w:val="center"/>
            </w:pPr>
            <w:r>
              <w:rPr>
                <w:color w:val="000000"/>
                <w:sz w:val="24"/>
                <w:szCs w:val="24"/>
              </w:rPr>
              <w:t>18</w:t>
            </w:r>
            <w:r>
              <w:rPr>
                <w:color w:val="000000"/>
                <w:sz w:val="24"/>
                <w:szCs w:val="24"/>
              </w:rPr>
              <w:t>华融湘江银行</w:t>
            </w:r>
            <w:r>
              <w:rPr>
                <w:color w:val="000000"/>
                <w:sz w:val="24"/>
                <w:szCs w:val="24"/>
              </w:rPr>
              <w:t>CD123</w:t>
            </w:r>
          </w:p>
        </w:tc>
        <w:tc>
          <w:tcPr>
            <w:tcW w:w="1387" w:type="dxa"/>
            <w:vAlign w:val="center"/>
          </w:tcPr>
          <w:p w:rsidR="003C71DD" w:rsidRDefault="006B068C">
            <w:pPr>
              <w:jc w:val="right"/>
            </w:pPr>
            <w:r>
              <w:rPr>
                <w:color w:val="000000"/>
                <w:sz w:val="24"/>
                <w:szCs w:val="24"/>
              </w:rPr>
              <w:t>500,000</w:t>
            </w:r>
          </w:p>
        </w:tc>
        <w:tc>
          <w:tcPr>
            <w:tcW w:w="2150" w:type="dxa"/>
            <w:vAlign w:val="center"/>
          </w:tcPr>
          <w:p w:rsidR="003C71DD" w:rsidRDefault="006B068C">
            <w:pPr>
              <w:jc w:val="right"/>
            </w:pPr>
            <w:r>
              <w:rPr>
                <w:color w:val="000000"/>
                <w:sz w:val="24"/>
                <w:szCs w:val="24"/>
              </w:rPr>
              <w:t>49,120,000.00</w:t>
            </w:r>
          </w:p>
        </w:tc>
        <w:tc>
          <w:tcPr>
            <w:tcW w:w="1237" w:type="dxa"/>
            <w:vAlign w:val="center"/>
          </w:tcPr>
          <w:p w:rsidR="003C71DD" w:rsidRDefault="006B068C">
            <w:pPr>
              <w:jc w:val="right"/>
            </w:pPr>
            <w:r>
              <w:rPr>
                <w:color w:val="000000"/>
                <w:sz w:val="24"/>
                <w:szCs w:val="24"/>
              </w:rPr>
              <w:t>1.68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719,592.23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19,644,201.18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2,907,519.63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13,284,388.47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36,555,701.51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C71DD">
        <w:trPr>
          <w:jc w:val="center"/>
        </w:trPr>
        <w:tc>
          <w:tcPr>
            <w:tcW w:w="1129" w:type="dxa"/>
            <w:vAlign w:val="center"/>
          </w:tcPr>
          <w:p w:rsidR="003C71DD" w:rsidRDefault="006B068C">
            <w:pPr>
              <w:jc w:val="center"/>
            </w:pPr>
            <w:r>
              <w:rPr>
                <w:color w:val="000000"/>
                <w:sz w:val="24"/>
                <w:szCs w:val="24"/>
              </w:rPr>
              <w:t>1</w:t>
            </w:r>
          </w:p>
        </w:tc>
        <w:tc>
          <w:tcPr>
            <w:tcW w:w="1356" w:type="dxa"/>
            <w:vAlign w:val="center"/>
          </w:tcPr>
          <w:p w:rsidR="003C71DD" w:rsidRDefault="006B068C">
            <w:pPr>
              <w:jc w:val="center"/>
            </w:pPr>
            <w:r>
              <w:rPr>
                <w:color w:val="000000"/>
                <w:sz w:val="24"/>
                <w:szCs w:val="24"/>
              </w:rPr>
              <w:t>300188</w:t>
            </w:r>
          </w:p>
        </w:tc>
        <w:tc>
          <w:tcPr>
            <w:tcW w:w="1355" w:type="dxa"/>
            <w:vAlign w:val="center"/>
          </w:tcPr>
          <w:p w:rsidR="003C71DD" w:rsidRDefault="006B068C">
            <w:pPr>
              <w:jc w:val="center"/>
            </w:pPr>
            <w:r>
              <w:rPr>
                <w:color w:val="000000"/>
                <w:sz w:val="24"/>
                <w:szCs w:val="24"/>
              </w:rPr>
              <w:t>美亚柏科</w:t>
            </w:r>
          </w:p>
        </w:tc>
        <w:tc>
          <w:tcPr>
            <w:tcW w:w="1880" w:type="dxa"/>
            <w:vAlign w:val="center"/>
          </w:tcPr>
          <w:p w:rsidR="003C71DD" w:rsidRDefault="006B068C">
            <w:pPr>
              <w:jc w:val="right"/>
            </w:pPr>
            <w:r>
              <w:rPr>
                <w:color w:val="000000"/>
                <w:sz w:val="24"/>
                <w:szCs w:val="24"/>
              </w:rPr>
              <w:t>18,876,000.00</w:t>
            </w:r>
          </w:p>
        </w:tc>
        <w:tc>
          <w:tcPr>
            <w:tcW w:w="1724" w:type="dxa"/>
            <w:vAlign w:val="center"/>
          </w:tcPr>
          <w:p w:rsidR="003C71DD" w:rsidRDefault="006B068C">
            <w:pPr>
              <w:jc w:val="right"/>
            </w:pPr>
            <w:r>
              <w:rPr>
                <w:color w:val="000000"/>
                <w:sz w:val="24"/>
                <w:szCs w:val="24"/>
              </w:rPr>
              <w:t>0.64</w:t>
            </w:r>
          </w:p>
        </w:tc>
        <w:tc>
          <w:tcPr>
            <w:tcW w:w="1424" w:type="dxa"/>
            <w:vAlign w:val="center"/>
          </w:tcPr>
          <w:p w:rsidR="003C71DD" w:rsidRDefault="006B068C">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585,535,493.56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470,812,811.68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114,088,445.23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942,259,860.01</w:t>
            </w:r>
          </w:p>
        </w:tc>
      </w:tr>
    </w:tbl>
    <w:p w:rsidR="003C71DD" w:rsidRDefault="006B068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C71DD" w:rsidRDefault="006B068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3C71DD" w:rsidRDefault="006B068C">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3C71DD" w:rsidRDefault="006B068C">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3C71DD" w:rsidRDefault="006B068C">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3C71DD" w:rsidRDefault="006B068C">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3C71DD" w:rsidRDefault="006B068C">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3C71DD" w:rsidRDefault="006B068C">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3C71DD" w:rsidRDefault="006B068C">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C71DD" w:rsidRDefault="006B068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68C">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68C">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C71D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68C"/>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E1AADF3-8C44-490F-AEAD-9E79DD02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440B-58FB-416C-BABE-902859C1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12</Pages>
  <Words>1118</Words>
  <Characters>6375</Characters>
  <Application>Microsoft Office Word</Application>
  <DocSecurity>0</DocSecurity>
  <Lines>53</Lines>
  <Paragraphs>14</Paragraphs>
  <ScaleCrop>false</ScaleCrop>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洪仲</cp:lastModifiedBy>
  <cp:revision>579</cp:revision>
  <dcterms:created xsi:type="dcterms:W3CDTF">2012-10-16T06:07:00Z</dcterms:created>
  <dcterms:modified xsi:type="dcterms:W3CDTF">2018-10-18T10:01:00Z</dcterms:modified>
</cp:coreProperties>
</file>