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交银施罗德稳健配置混合型证券投资基金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2006年6月14日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2,795,096,863.28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65%×MSCI中国A股指数+35%×中证综合债券指数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78,510,559.91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-204,117,294.36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-0.0726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3,586,448,649.49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1.2831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-5.35%</w:t>
            </w:r>
          </w:p>
        </w:tc>
        <w:tc>
          <w:tcPr>
            <w:vAlign w:val="center"/>
          </w:tcPr>
          <w:p>
            <w:pPr>
              <w:jc w:val="center"/>
            </w:pPr>
            <w:r>
              <w:rPr>
                <w:color w:val="000000"/>
                <w:sz w:val="24"/>
                <w:szCs w:val="24"/>
              </w:rPr>
              <w:t>1.29%</w:t>
            </w:r>
          </w:p>
        </w:tc>
        <w:tc>
          <w:tcPr>
            <w:vAlign w:val="center"/>
          </w:tcPr>
          <w:p>
            <w:pPr>
              <w:jc w:val="center"/>
            </w:pPr>
            <w:r>
              <w:rPr>
                <w:color w:val="000000"/>
                <w:sz w:val="24"/>
                <w:szCs w:val="24"/>
              </w:rPr>
              <w:t>-2.27%</w:t>
            </w:r>
          </w:p>
        </w:tc>
        <w:tc>
          <w:tcPr>
            <w:vAlign w:val="center"/>
          </w:tcPr>
          <w:p>
            <w:pPr>
              <w:jc w:val="center"/>
            </w:pPr>
            <w:r>
              <w:rPr>
                <w:color w:val="000000"/>
                <w:sz w:val="24"/>
                <w:szCs w:val="24"/>
              </w:rPr>
              <w:t>0.88%</w:t>
            </w:r>
          </w:p>
        </w:tc>
        <w:tc>
          <w:tcPr>
            <w:vAlign w:val="center"/>
          </w:tcPr>
          <w:p>
            <w:pPr>
              <w:jc w:val="center"/>
            </w:pPr>
            <w:r>
              <w:rPr>
                <w:color w:val="000000"/>
                <w:sz w:val="24"/>
                <w:szCs w:val="24"/>
              </w:rPr>
              <w:t>-3.08%</w:t>
            </w:r>
          </w:p>
        </w:tc>
        <w:tc>
          <w:tcPr>
            <w:vAlign w:val="center"/>
          </w:tcPr>
          <w:p>
            <w:pPr>
              <w:jc w:val="center"/>
            </w:pPr>
            <w:r>
              <w:rPr>
                <w:color w:val="000000"/>
                <w:sz w:val="24"/>
                <w:szCs w:val="24"/>
              </w:rPr>
              <w:t>0.41%</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2013年7月1日起，由“65%×MSCI中国A股指数+35%×新华巴克莱资本中国全债指数”变更为“65%×MSCI中国A股指数+35%×中信标普全债指数”，3.2.2同。详情见本基金管理人于2013年6月26日发布的《交银施罗德基金管理有限公司关于变更交银施罗德稳健配置混合型证券投资基金业绩比较基准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基金业绩比较基准自2015年10月1日起，由“65%×MSCI中国A股指数+35%×中信标普全债指数”变更为“65%×MSCI中国A股指数+35%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交银施罗德稳健配置混合型证券投资基金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2006年6月14日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唐倩</w:t>
            </w:r>
          </w:p>
        </w:tc>
        <w:tc>
          <w:tcPr>
            <w:vAlign w:val="center"/>
          </w:tcPr>
          <w:p>
            <w:pPr>
              <w:jc w:val="center"/>
            </w:pPr>
            <w:r>
              <w:rPr>
                <w:color w:val="000000"/>
                <w:sz w:val="24"/>
                <w:szCs w:val="24"/>
              </w:rPr>
              <w:t>交银稳健配置混合的基金经理、公司首席基金经理</w:t>
            </w:r>
          </w:p>
        </w:tc>
        <w:tc>
          <w:tcPr>
            <w:vAlign w:val="center"/>
          </w:tcPr>
          <w:p>
            <w:pPr>
              <w:jc w:val="center"/>
            </w:pPr>
            <w:r>
              <w:rPr>
                <w:color w:val="000000"/>
                <w:sz w:val="24"/>
                <w:szCs w:val="24"/>
              </w:rPr>
              <w:t>2013-12-12</w:t>
            </w:r>
          </w:p>
        </w:tc>
        <w:tc>
          <w:tcPr>
            <w:vAlign w:val="center"/>
          </w:tcPr>
          <w:p>
            <w:pPr>
              <w:jc w:val="center"/>
            </w:pPr>
            <w:r>
              <w:rPr>
                <w:color w:val="000000"/>
                <w:sz w:val="24"/>
                <w:szCs w:val="24"/>
              </w:rPr>
              <w:t>2018-07-28</w:t>
            </w:r>
          </w:p>
        </w:tc>
        <w:tc>
          <w:tcPr>
            <w:vAlign w:val="center"/>
          </w:tcPr>
          <w:p>
            <w:pPr>
              <w:jc w:val="center"/>
            </w:pPr>
            <w:r>
              <w:rPr>
                <w:color w:val="000000"/>
                <w:sz w:val="24"/>
                <w:szCs w:val="24"/>
              </w:rPr>
              <w:t>18年</w:t>
            </w:r>
          </w:p>
        </w:tc>
        <w:tc>
          <w:tcPr>
            <w:vAlign w:val="center"/>
          </w:tcPr>
          <w:p>
            <w:pPr>
              <w:jc w:val="both"/>
            </w:pPr>
            <w:r>
              <w:rPr>
                <w:color w:val="000000"/>
                <w:sz w:val="24"/>
                <w:szCs w:val="24"/>
              </w:rPr>
              <w:t>唐倩女士，CPA，华东师范大学金融学硕士。历任申银万国证券研究所分析师，中银国际有限公司分析师，香港雷曼兄弟证券公司研究员，上投摩根基金管理有限公司研究部总监、基金经理。其中2011年4月28日至2013年7月8日担任上投摩根成长先锋基金经理。2013年加入交银施罗德基金管理有限公司，历任权益部副总经理。2013年12月12日至2018年7月27日担任交银施罗德稳健配置混合型证券投资基金的基金经理。</w:t>
            </w:r>
          </w:p>
        </w:tc>
      </w:tr>
      <w:tr>
        <w:tc>
          <w:tcPr>
            <w:vAlign w:val="center"/>
          </w:tcPr>
          <w:p>
            <w:pPr>
              <w:jc w:val="center"/>
            </w:pPr>
            <w:r>
              <w:rPr>
                <w:color w:val="000000"/>
                <w:sz w:val="24"/>
                <w:szCs w:val="24"/>
              </w:rPr>
              <w:t>陈孜铎</w:t>
            </w:r>
          </w:p>
        </w:tc>
        <w:tc>
          <w:tcPr>
            <w:vAlign w:val="center"/>
          </w:tcPr>
          <w:p>
            <w:pPr>
              <w:jc w:val="center"/>
            </w:pPr>
            <w:r>
              <w:rPr>
                <w:color w:val="000000"/>
                <w:sz w:val="24"/>
                <w:szCs w:val="24"/>
              </w:rPr>
              <w:t>交银稳健配置混合的基金经理、交银蓝筹混合的基金经理，公司研究部助理总经理</w:t>
            </w:r>
          </w:p>
        </w:tc>
        <w:tc>
          <w:tcPr>
            <w:vAlign w:val="center"/>
          </w:tcPr>
          <w:p>
            <w:pPr>
              <w:jc w:val="center"/>
            </w:pPr>
            <w:r>
              <w:rPr>
                <w:color w:val="000000"/>
                <w:sz w:val="24"/>
                <w:szCs w:val="24"/>
              </w:rPr>
              <w:t>2018-07-04</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陈孜铎先生，清华大学材料科学与工程硕士。2008年加入交银施罗德基金管理有限公司，历任行业分析师、高级研究员。</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三季度整个A股市场整体继续呈现盘恒下跌态势，各主要指数均回到过去一到三年较低位置附近。整体市场表现受宏观预期的不确定性影响较大，一方面在美联储加息周期的大通道中，中美贸易博弈的反复加剧了市场对中国长期贸易形势的担忧，另一方面经济回落趋势显现，与此对应政府不断出台政策进行托底，但面对相对复杂的国际环境和国内经济结构中长期问题，目前经济的长期内在矛盾尚看不到明显改善的迹象，市场对长期国内经济的政策环境难以有准确的预计，进而难以有增量的大钱和长钱进入市场。</w:t>
      </w:r>
    </w:p>
    <w:p>
      <w:pPr>
        <w:spacing w:before="29" w:line="288" w:lineRule="auto"/>
        <w:ind w:firstLine="480" w:firstLineChars="200"/>
        <w:rPr>
          <w:color w:val="000000"/>
          <w:sz w:val="24"/>
          <w:szCs w:val="24"/>
        </w:rPr>
      </w:pPr>
      <w:r>
        <w:rPr>
          <w:color w:val="000000"/>
          <w:sz w:val="24"/>
          <w:szCs w:val="24"/>
        </w:rPr>
        <w:t>随着七、八月份托底政策不断推出，政策的持续方向性反复和形势的不确定性超出我们的预期，在上述市场环境中，本基金降低组合偏离和弹性，适度收缩仓位，均衡配置，力图回避风险。</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2018年上半年以来，去杠杆深化和贸易战超预期大幅影响估值水平和市场风险偏好。贸易战表象是贸易结构问题，实质是长期各经济体国际竞争力与未来产业格局问题。在经济长期压力下，未来制度和政策环境的稳定清晰关系到市场对未来的长期预期，在当前估值水平下，经济的底部和未来可测的前提下，市场具备吸引力。在上述判断下，本基金一方面静待不确定性落地，另一方面在配置上保持均衡，标的选择上在传统行业中更关注价值被低估、行业地位突出的公司，在转型过程中更关注长期前景的中微观路径，积极寻找投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2,249,487,180.27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62.42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2,249,487,180.27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62.42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87,069,416.58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87,069,416.58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876,950,955.42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24.33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348,612,886.78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9.67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41,630,040.14</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3,603,750,479.19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40,929,991.13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1,232,759,503.61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236,175,016.95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29,378.85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343,748,853.91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308,803,945.25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254.80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438,779.55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86,601,456.22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2,249,487,180.27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62.72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412,846</w:t>
            </w:r>
          </w:p>
        </w:tc>
        <w:tc>
          <w:tcPr>
            <w:vAlign w:val="center"/>
          </w:tcPr>
          <w:p>
            <w:pPr>
              <w:jc w:val="right"/>
            </w:pPr>
            <w:r>
              <w:rPr>
                <w:color w:val="000000"/>
                <w:sz w:val="24"/>
                <w:szCs w:val="24"/>
              </w:rPr>
              <w:t>301,377,580.00</w:t>
            </w:r>
          </w:p>
        </w:tc>
        <w:tc>
          <w:tcPr>
            <w:vAlign w:val="center"/>
          </w:tcPr>
          <w:p>
            <w:pPr>
              <w:jc w:val="right"/>
            </w:pPr>
            <w:r>
              <w:rPr>
                <w:color w:val="000000"/>
                <w:sz w:val="24"/>
                <w:szCs w:val="24"/>
              </w:rPr>
              <w:t>8.40</w:t>
            </w:r>
          </w:p>
        </w:tc>
      </w:tr>
      <w:tr>
        <w:tc>
          <w:tcPr>
            <w:vAlign w:val="center"/>
          </w:tcPr>
          <w:p>
            <w:pPr>
              <w:jc w:val="center"/>
            </w:pPr>
            <w:r>
              <w:rPr>
                <w:color w:val="000000"/>
                <w:sz w:val="24"/>
                <w:szCs w:val="24"/>
              </w:rPr>
              <w:t>2</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6,130,715</w:t>
            </w:r>
          </w:p>
        </w:tc>
        <w:tc>
          <w:tcPr>
            <w:vAlign w:val="center"/>
          </w:tcPr>
          <w:p>
            <w:pPr>
              <w:jc w:val="right"/>
            </w:pPr>
            <w:r>
              <w:rPr>
                <w:color w:val="000000"/>
                <w:sz w:val="24"/>
                <w:szCs w:val="24"/>
              </w:rPr>
              <w:t>206,789,016.95</w:t>
            </w:r>
          </w:p>
        </w:tc>
        <w:tc>
          <w:tcPr>
            <w:vAlign w:val="center"/>
          </w:tcPr>
          <w:p>
            <w:pPr>
              <w:jc w:val="right"/>
            </w:pPr>
            <w:r>
              <w:rPr>
                <w:color w:val="000000"/>
                <w:sz w:val="24"/>
                <w:szCs w:val="24"/>
              </w:rPr>
              <w:t>5.77</w:t>
            </w:r>
          </w:p>
        </w:tc>
      </w:tr>
      <w:tr>
        <w:tc>
          <w:tcPr>
            <w:vAlign w:val="center"/>
          </w:tcPr>
          <w:p>
            <w:pPr>
              <w:jc w:val="center"/>
            </w:pPr>
            <w:r>
              <w:rPr>
                <w:color w:val="000000"/>
                <w:sz w:val="24"/>
                <w:szCs w:val="24"/>
              </w:rPr>
              <w:t>3</w:t>
            </w:r>
          </w:p>
        </w:tc>
        <w:tc>
          <w:tcPr>
            <w:vAlign w:val="center"/>
          </w:tcPr>
          <w:p>
            <w:pPr>
              <w:jc w:val="center"/>
            </w:pPr>
            <w:r>
              <w:rPr>
                <w:color w:val="000000"/>
                <w:sz w:val="24"/>
                <w:szCs w:val="24"/>
              </w:rPr>
              <w:t>600705</w:t>
            </w:r>
          </w:p>
        </w:tc>
        <w:tc>
          <w:tcPr>
            <w:vAlign w:val="center"/>
          </w:tcPr>
          <w:p>
            <w:pPr>
              <w:jc w:val="center"/>
            </w:pPr>
            <w:r>
              <w:rPr>
                <w:color w:val="000000"/>
                <w:sz w:val="24"/>
                <w:szCs w:val="24"/>
              </w:rPr>
              <w:t>中航资本</w:t>
            </w:r>
          </w:p>
        </w:tc>
        <w:tc>
          <w:tcPr>
            <w:vAlign w:val="center"/>
          </w:tcPr>
          <w:p>
            <w:pPr>
              <w:jc w:val="right"/>
            </w:pPr>
            <w:r>
              <w:rPr>
                <w:color w:val="000000"/>
                <w:sz w:val="24"/>
                <w:szCs w:val="24"/>
              </w:rPr>
              <w:t>29,009,899</w:t>
            </w:r>
          </w:p>
        </w:tc>
        <w:tc>
          <w:tcPr>
            <w:vAlign w:val="center"/>
          </w:tcPr>
          <w:p>
            <w:pPr>
              <w:jc w:val="right"/>
            </w:pPr>
            <w:r>
              <w:rPr>
                <w:color w:val="000000"/>
                <w:sz w:val="24"/>
                <w:szCs w:val="24"/>
              </w:rPr>
              <w:t>135,476,228.33</w:t>
            </w:r>
          </w:p>
        </w:tc>
        <w:tc>
          <w:tcPr>
            <w:vAlign w:val="center"/>
          </w:tcPr>
          <w:p>
            <w:pPr>
              <w:jc w:val="right"/>
            </w:pPr>
            <w:r>
              <w:rPr>
                <w:color w:val="000000"/>
                <w:sz w:val="24"/>
                <w:szCs w:val="24"/>
              </w:rPr>
              <w:t>3.78</w:t>
            </w:r>
          </w:p>
        </w:tc>
      </w:tr>
      <w:tr>
        <w:tc>
          <w:tcPr>
            <w:vAlign w:val="center"/>
          </w:tcPr>
          <w:p>
            <w:pPr>
              <w:jc w:val="center"/>
            </w:pPr>
            <w:r>
              <w:rPr>
                <w:color w:val="000000"/>
                <w:sz w:val="24"/>
                <w:szCs w:val="24"/>
              </w:rPr>
              <w:t>4</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10,000,846</w:t>
            </w:r>
          </w:p>
        </w:tc>
        <w:tc>
          <w:tcPr>
            <w:vAlign w:val="center"/>
          </w:tcPr>
          <w:p>
            <w:pPr>
              <w:jc w:val="right"/>
            </w:pPr>
            <w:r>
              <w:rPr>
                <w:color w:val="000000"/>
                <w:sz w:val="24"/>
                <w:szCs w:val="24"/>
              </w:rPr>
              <w:t>121,710,295.82</w:t>
            </w:r>
          </w:p>
        </w:tc>
        <w:tc>
          <w:tcPr>
            <w:vAlign w:val="center"/>
          </w:tcPr>
          <w:p>
            <w:pPr>
              <w:jc w:val="right"/>
            </w:pPr>
            <w:r>
              <w:rPr>
                <w:color w:val="000000"/>
                <w:sz w:val="24"/>
                <w:szCs w:val="24"/>
              </w:rPr>
              <w:t>3.39</w:t>
            </w:r>
          </w:p>
        </w:tc>
      </w:tr>
      <w:tr>
        <w:tc>
          <w:tcPr>
            <w:vAlign w:val="center"/>
          </w:tcPr>
          <w:p>
            <w:pPr>
              <w:jc w:val="center"/>
            </w:pPr>
            <w:r>
              <w:rPr>
                <w:color w:val="000000"/>
                <w:sz w:val="24"/>
                <w:szCs w:val="24"/>
              </w:rPr>
              <w:t>5</w:t>
            </w:r>
          </w:p>
        </w:tc>
        <w:tc>
          <w:tcPr>
            <w:vAlign w:val="center"/>
          </w:tcPr>
          <w:p>
            <w:pPr>
              <w:jc w:val="center"/>
            </w:pPr>
            <w:r>
              <w:rPr>
                <w:color w:val="000000"/>
                <w:sz w:val="24"/>
                <w:szCs w:val="24"/>
              </w:rPr>
              <w:t>603589</w:t>
            </w:r>
          </w:p>
        </w:tc>
        <w:tc>
          <w:tcPr>
            <w:vAlign w:val="center"/>
          </w:tcPr>
          <w:p>
            <w:pPr>
              <w:jc w:val="center"/>
            </w:pPr>
            <w:r>
              <w:rPr>
                <w:color w:val="000000"/>
                <w:sz w:val="24"/>
                <w:szCs w:val="24"/>
              </w:rPr>
              <w:t>口子窖</w:t>
            </w:r>
          </w:p>
        </w:tc>
        <w:tc>
          <w:tcPr>
            <w:vAlign w:val="center"/>
          </w:tcPr>
          <w:p>
            <w:pPr>
              <w:jc w:val="right"/>
            </w:pPr>
            <w:r>
              <w:rPr>
                <w:color w:val="000000"/>
                <w:sz w:val="24"/>
                <w:szCs w:val="24"/>
              </w:rPr>
              <w:t>2,209,864</w:t>
            </w:r>
          </w:p>
        </w:tc>
        <w:tc>
          <w:tcPr>
            <w:vAlign w:val="center"/>
          </w:tcPr>
          <w:p>
            <w:pPr>
              <w:jc w:val="right"/>
            </w:pPr>
            <w:r>
              <w:rPr>
                <w:color w:val="000000"/>
                <w:sz w:val="24"/>
                <w:szCs w:val="24"/>
              </w:rPr>
              <w:t>113,807,996.00</w:t>
            </w:r>
          </w:p>
        </w:tc>
        <w:tc>
          <w:tcPr>
            <w:vAlign w:val="center"/>
          </w:tcPr>
          <w:p>
            <w:pPr>
              <w:jc w:val="right"/>
            </w:pPr>
            <w:r>
              <w:rPr>
                <w:color w:val="000000"/>
                <w:sz w:val="24"/>
                <w:szCs w:val="24"/>
              </w:rPr>
              <w:t>3.17</w:t>
            </w:r>
          </w:p>
        </w:tc>
      </w:tr>
      <w:tr>
        <w:tc>
          <w:tcPr>
            <w:vAlign w:val="center"/>
          </w:tcPr>
          <w:p>
            <w:pPr>
              <w:jc w:val="center"/>
            </w:pPr>
            <w:r>
              <w:rPr>
                <w:color w:val="000000"/>
                <w:sz w:val="24"/>
                <w:szCs w:val="24"/>
              </w:rPr>
              <w:t>6</w:t>
            </w:r>
          </w:p>
        </w:tc>
        <w:tc>
          <w:tcPr>
            <w:vAlign w:val="center"/>
          </w:tcPr>
          <w:p>
            <w:pPr>
              <w:jc w:val="center"/>
            </w:pPr>
            <w:r>
              <w:rPr>
                <w:color w:val="000000"/>
                <w:sz w:val="24"/>
                <w:szCs w:val="24"/>
              </w:rPr>
              <w:t>002456</w:t>
            </w:r>
          </w:p>
        </w:tc>
        <w:tc>
          <w:tcPr>
            <w:vAlign w:val="center"/>
          </w:tcPr>
          <w:p>
            <w:pPr>
              <w:jc w:val="center"/>
            </w:pPr>
            <w:r>
              <w:rPr>
                <w:color w:val="000000"/>
                <w:sz w:val="24"/>
                <w:szCs w:val="24"/>
              </w:rPr>
              <w:t>欧菲科技</w:t>
            </w:r>
          </w:p>
        </w:tc>
        <w:tc>
          <w:tcPr>
            <w:vAlign w:val="center"/>
          </w:tcPr>
          <w:p>
            <w:pPr>
              <w:jc w:val="right"/>
            </w:pPr>
            <w:r>
              <w:rPr>
                <w:color w:val="000000"/>
                <w:sz w:val="24"/>
                <w:szCs w:val="24"/>
              </w:rPr>
              <w:t>7,999,920</w:t>
            </w:r>
          </w:p>
        </w:tc>
        <w:tc>
          <w:tcPr>
            <w:vAlign w:val="center"/>
          </w:tcPr>
          <w:p>
            <w:pPr>
              <w:jc w:val="right"/>
            </w:pPr>
            <w:r>
              <w:rPr>
                <w:color w:val="000000"/>
                <w:sz w:val="24"/>
                <w:szCs w:val="24"/>
              </w:rPr>
              <w:t>107,918,920.80</w:t>
            </w:r>
          </w:p>
        </w:tc>
        <w:tc>
          <w:tcPr>
            <w:vAlign w:val="center"/>
          </w:tcPr>
          <w:p>
            <w:pPr>
              <w:jc w:val="right"/>
            </w:pPr>
            <w:r>
              <w:rPr>
                <w:color w:val="000000"/>
                <w:sz w:val="24"/>
                <w:szCs w:val="24"/>
              </w:rPr>
              <w:t>3.01</w:t>
            </w:r>
          </w:p>
        </w:tc>
      </w:tr>
      <w:tr>
        <w:tc>
          <w:tcPr>
            <w:vAlign w:val="center"/>
          </w:tcPr>
          <w:p>
            <w:pPr>
              <w:jc w:val="center"/>
            </w:pPr>
            <w:r>
              <w:rPr>
                <w:color w:val="000000"/>
                <w:sz w:val="24"/>
                <w:szCs w:val="24"/>
              </w:rPr>
              <w:t>7</w:t>
            </w:r>
          </w:p>
        </w:tc>
        <w:tc>
          <w:tcPr>
            <w:vAlign w:val="center"/>
          </w:tcPr>
          <w:p>
            <w:pPr>
              <w:jc w:val="center"/>
            </w:pPr>
            <w:r>
              <w:rPr>
                <w:color w:val="000000"/>
                <w:sz w:val="24"/>
                <w:szCs w:val="24"/>
              </w:rPr>
              <w:t>601601</w:t>
            </w:r>
          </w:p>
        </w:tc>
        <w:tc>
          <w:tcPr>
            <w:vAlign w:val="center"/>
          </w:tcPr>
          <w:p>
            <w:pPr>
              <w:jc w:val="center"/>
            </w:pPr>
            <w:r>
              <w:rPr>
                <w:color w:val="000000"/>
                <w:sz w:val="24"/>
                <w:szCs w:val="24"/>
              </w:rPr>
              <w:t>中国太保</w:t>
            </w:r>
          </w:p>
        </w:tc>
        <w:tc>
          <w:tcPr>
            <w:vAlign w:val="center"/>
          </w:tcPr>
          <w:p>
            <w:pPr>
              <w:jc w:val="right"/>
            </w:pPr>
            <w:r>
              <w:rPr>
                <w:color w:val="000000"/>
                <w:sz w:val="24"/>
                <w:szCs w:val="24"/>
              </w:rPr>
              <w:t>3,000,000</w:t>
            </w:r>
          </w:p>
        </w:tc>
        <w:tc>
          <w:tcPr>
            <w:vAlign w:val="center"/>
          </w:tcPr>
          <w:p>
            <w:pPr>
              <w:jc w:val="right"/>
            </w:pPr>
            <w:r>
              <w:rPr>
                <w:color w:val="000000"/>
                <w:sz w:val="24"/>
                <w:szCs w:val="24"/>
              </w:rPr>
              <w:t>106,530,000.00</w:t>
            </w:r>
          </w:p>
        </w:tc>
        <w:tc>
          <w:tcPr>
            <w:vAlign w:val="center"/>
          </w:tcPr>
          <w:p>
            <w:pPr>
              <w:jc w:val="right"/>
            </w:pPr>
            <w:r>
              <w:rPr>
                <w:color w:val="000000"/>
                <w:sz w:val="24"/>
                <w:szCs w:val="24"/>
              </w:rPr>
              <w:t>2.97</w:t>
            </w:r>
          </w:p>
        </w:tc>
      </w:tr>
      <w:tr>
        <w:tc>
          <w:tcPr>
            <w:vAlign w:val="center"/>
          </w:tcPr>
          <w:p>
            <w:pPr>
              <w:jc w:val="center"/>
            </w:pPr>
            <w:r>
              <w:rPr>
                <w:color w:val="000000"/>
                <w:sz w:val="24"/>
                <w:szCs w:val="24"/>
              </w:rPr>
              <w:t>8</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4,009,915</w:t>
            </w:r>
          </w:p>
        </w:tc>
        <w:tc>
          <w:tcPr>
            <w:vAlign w:val="center"/>
          </w:tcPr>
          <w:p>
            <w:pPr>
              <w:jc w:val="right"/>
            </w:pPr>
            <w:r>
              <w:rPr>
                <w:color w:val="000000"/>
                <w:sz w:val="24"/>
                <w:szCs w:val="24"/>
              </w:rPr>
              <w:t>105,019,673.85</w:t>
            </w:r>
          </w:p>
        </w:tc>
        <w:tc>
          <w:tcPr>
            <w:vAlign w:val="center"/>
          </w:tcPr>
          <w:p>
            <w:pPr>
              <w:jc w:val="right"/>
            </w:pPr>
            <w:r>
              <w:rPr>
                <w:color w:val="000000"/>
                <w:sz w:val="24"/>
                <w:szCs w:val="24"/>
              </w:rPr>
              <w:t>2.93</w:t>
            </w:r>
          </w:p>
        </w:tc>
      </w:tr>
      <w:tr>
        <w:tc>
          <w:tcPr>
            <w:vAlign w:val="center"/>
          </w:tcPr>
          <w:p>
            <w:pPr>
              <w:jc w:val="center"/>
            </w:pPr>
            <w:r>
              <w:rPr>
                <w:color w:val="000000"/>
                <w:sz w:val="24"/>
                <w:szCs w:val="24"/>
              </w:rPr>
              <w:t>9</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2,009,920</w:t>
            </w:r>
          </w:p>
        </w:tc>
        <w:tc>
          <w:tcPr>
            <w:vAlign w:val="center"/>
          </w:tcPr>
          <w:p>
            <w:pPr>
              <w:jc w:val="right"/>
            </w:pPr>
            <w:r>
              <w:rPr>
                <w:color w:val="000000"/>
                <w:sz w:val="24"/>
                <w:szCs w:val="24"/>
              </w:rPr>
              <w:t>101,460,761.60</w:t>
            </w:r>
          </w:p>
        </w:tc>
        <w:tc>
          <w:tcPr>
            <w:vAlign w:val="center"/>
          </w:tcPr>
          <w:p>
            <w:pPr>
              <w:jc w:val="right"/>
            </w:pPr>
            <w:r>
              <w:rPr>
                <w:color w:val="000000"/>
                <w:sz w:val="24"/>
                <w:szCs w:val="24"/>
              </w:rPr>
              <w:t>2.83</w:t>
            </w:r>
          </w:p>
        </w:tc>
      </w:tr>
      <w:tr>
        <w:tc>
          <w:tcPr>
            <w:vAlign w:val="center"/>
          </w:tcPr>
          <w:p>
            <w:pPr>
              <w:jc w:val="center"/>
            </w:pPr>
            <w:r>
              <w:rPr>
                <w:color w:val="000000"/>
                <w:sz w:val="24"/>
                <w:szCs w:val="24"/>
              </w:rPr>
              <w:t>10</w:t>
            </w:r>
          </w:p>
        </w:tc>
        <w:tc>
          <w:tcPr>
            <w:vAlign w:val="center"/>
          </w:tcPr>
          <w:p>
            <w:pPr>
              <w:jc w:val="center"/>
            </w:pPr>
            <w:r>
              <w:rPr>
                <w:color w:val="000000"/>
                <w:sz w:val="24"/>
                <w:szCs w:val="24"/>
              </w:rPr>
              <w:t>000681</w:t>
            </w:r>
          </w:p>
        </w:tc>
        <w:tc>
          <w:tcPr>
            <w:vAlign w:val="center"/>
          </w:tcPr>
          <w:p>
            <w:pPr>
              <w:jc w:val="center"/>
            </w:pPr>
            <w:r>
              <w:rPr>
                <w:color w:val="000000"/>
                <w:sz w:val="24"/>
                <w:szCs w:val="24"/>
              </w:rPr>
              <w:t>视觉中国</w:t>
            </w:r>
          </w:p>
        </w:tc>
        <w:tc>
          <w:tcPr>
            <w:vAlign w:val="center"/>
          </w:tcPr>
          <w:p>
            <w:pPr>
              <w:jc w:val="right"/>
            </w:pPr>
            <w:r>
              <w:rPr>
                <w:color w:val="000000"/>
                <w:sz w:val="24"/>
                <w:szCs w:val="24"/>
              </w:rPr>
              <w:t>3,209,839</w:t>
            </w:r>
          </w:p>
        </w:tc>
        <w:tc>
          <w:tcPr>
            <w:vAlign w:val="center"/>
          </w:tcPr>
          <w:p>
            <w:pPr>
              <w:jc w:val="right"/>
            </w:pPr>
            <w:r>
              <w:rPr>
                <w:color w:val="000000"/>
                <w:sz w:val="24"/>
                <w:szCs w:val="24"/>
              </w:rPr>
              <w:t>86,601,456.22</w:t>
            </w:r>
          </w:p>
        </w:tc>
        <w:tc>
          <w:tcPr>
            <w:vAlign w:val="center"/>
          </w:tcPr>
          <w:p>
            <w:pPr>
              <w:jc w:val="right"/>
            </w:pPr>
            <w:r>
              <w:rPr>
                <w:color w:val="000000"/>
                <w:sz w:val="24"/>
                <w:szCs w:val="24"/>
              </w:rPr>
              <w:t>2.41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58,699,100.00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25,078,000.00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0.70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25,078,000.00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0.70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3,292,316.58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0.09</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87,069,416.58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2.43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189937</w:t>
            </w:r>
          </w:p>
        </w:tc>
        <w:tc>
          <w:tcPr>
            <w:vAlign w:val="center"/>
          </w:tcPr>
          <w:p>
            <w:pPr>
              <w:jc w:val="center"/>
            </w:pPr>
            <w:r>
              <w:rPr>
                <w:color w:val="000000"/>
                <w:sz w:val="24"/>
                <w:szCs w:val="24"/>
              </w:rPr>
              <w:t>18贴现国债37</w:t>
            </w:r>
          </w:p>
        </w:tc>
        <w:tc>
          <w:tcPr>
            <w:vAlign w:val="center"/>
          </w:tcPr>
          <w:p>
            <w:pPr>
              <w:jc w:val="right"/>
            </w:pPr>
            <w:r>
              <w:rPr>
                <w:color w:val="000000"/>
                <w:sz w:val="24"/>
                <w:szCs w:val="24"/>
              </w:rPr>
              <w:t>590,000</w:t>
            </w:r>
          </w:p>
        </w:tc>
        <w:tc>
          <w:tcPr>
            <w:vAlign w:val="center"/>
          </w:tcPr>
          <w:p>
            <w:pPr>
              <w:jc w:val="right"/>
            </w:pPr>
            <w:r>
              <w:rPr>
                <w:color w:val="000000"/>
                <w:sz w:val="24"/>
                <w:szCs w:val="24"/>
              </w:rPr>
              <w:t>58,699,100.00</w:t>
            </w:r>
          </w:p>
        </w:tc>
        <w:tc>
          <w:tcPr>
            <w:vAlign w:val="center"/>
          </w:tcPr>
          <w:p>
            <w:pPr>
              <w:jc w:val="right"/>
            </w:pPr>
            <w:r>
              <w:rPr>
                <w:color w:val="000000"/>
                <w:sz w:val="24"/>
                <w:szCs w:val="24"/>
              </w:rPr>
              <w:t>1.64</w:t>
            </w:r>
          </w:p>
        </w:tc>
      </w:tr>
      <w:tr>
        <w:tc>
          <w:tcPr>
            <w:vAlign w:val="center"/>
          </w:tcPr>
          <w:p>
            <w:pPr>
              <w:jc w:val="center"/>
            </w:pPr>
            <w:r>
              <w:rPr>
                <w:color w:val="000000"/>
                <w:sz w:val="24"/>
                <w:szCs w:val="24"/>
              </w:rPr>
              <w:t>2</w:t>
            </w:r>
          </w:p>
        </w:tc>
        <w:tc>
          <w:tcPr>
            <w:vAlign w:val="center"/>
          </w:tcPr>
          <w:p>
            <w:pPr>
              <w:jc w:val="center"/>
            </w:pPr>
            <w:r>
              <w:rPr>
                <w:color w:val="000000"/>
                <w:sz w:val="24"/>
                <w:szCs w:val="24"/>
              </w:rPr>
              <w:t>180207</w:t>
            </w:r>
          </w:p>
        </w:tc>
        <w:tc>
          <w:tcPr>
            <w:vAlign w:val="center"/>
          </w:tcPr>
          <w:p>
            <w:pPr>
              <w:jc w:val="center"/>
            </w:pPr>
            <w:r>
              <w:rPr>
                <w:color w:val="000000"/>
                <w:sz w:val="24"/>
                <w:szCs w:val="24"/>
              </w:rPr>
              <w:t>18国开07</w:t>
            </w:r>
          </w:p>
        </w:tc>
        <w:tc>
          <w:tcPr>
            <w:vAlign w:val="center"/>
          </w:tcPr>
          <w:p>
            <w:pPr>
              <w:jc w:val="right"/>
            </w:pPr>
            <w:r>
              <w:rPr>
                <w:color w:val="000000"/>
                <w:sz w:val="24"/>
                <w:szCs w:val="24"/>
              </w:rPr>
              <w:t>200,000</w:t>
            </w:r>
          </w:p>
        </w:tc>
        <w:tc>
          <w:tcPr>
            <w:vAlign w:val="center"/>
          </w:tcPr>
          <w:p>
            <w:pPr>
              <w:jc w:val="right"/>
            </w:pPr>
            <w:r>
              <w:rPr>
                <w:color w:val="000000"/>
                <w:sz w:val="24"/>
                <w:szCs w:val="24"/>
              </w:rPr>
              <w:t>20,048,000.00</w:t>
            </w:r>
          </w:p>
        </w:tc>
        <w:tc>
          <w:tcPr>
            <w:vAlign w:val="center"/>
          </w:tcPr>
          <w:p>
            <w:pPr>
              <w:jc w:val="right"/>
            </w:pPr>
            <w:r>
              <w:rPr>
                <w:color w:val="000000"/>
                <w:sz w:val="24"/>
                <w:szCs w:val="24"/>
              </w:rPr>
              <w:t>0.56</w:t>
            </w:r>
          </w:p>
        </w:tc>
      </w:tr>
      <w:tr>
        <w:tc>
          <w:tcPr>
            <w:vAlign w:val="center"/>
          </w:tcPr>
          <w:p>
            <w:pPr>
              <w:jc w:val="center"/>
            </w:pPr>
            <w:r>
              <w:rPr>
                <w:color w:val="000000"/>
                <w:sz w:val="24"/>
                <w:szCs w:val="24"/>
              </w:rPr>
              <w:t>3</w:t>
            </w:r>
          </w:p>
        </w:tc>
        <w:tc>
          <w:tcPr>
            <w:vAlign w:val="center"/>
          </w:tcPr>
          <w:p>
            <w:pPr>
              <w:jc w:val="center"/>
            </w:pPr>
            <w:r>
              <w:rPr>
                <w:color w:val="000000"/>
                <w:sz w:val="24"/>
                <w:szCs w:val="24"/>
              </w:rPr>
              <w:t>018005</w:t>
            </w:r>
          </w:p>
        </w:tc>
        <w:tc>
          <w:tcPr>
            <w:vAlign w:val="center"/>
          </w:tcPr>
          <w:p>
            <w:pPr>
              <w:jc w:val="center"/>
            </w:pPr>
            <w:r>
              <w:rPr>
                <w:color w:val="000000"/>
                <w:sz w:val="24"/>
                <w:szCs w:val="24"/>
              </w:rPr>
              <w:t>国开1701</w:t>
            </w:r>
          </w:p>
        </w:tc>
        <w:tc>
          <w:tcPr>
            <w:vAlign w:val="center"/>
          </w:tcPr>
          <w:p>
            <w:pPr>
              <w:jc w:val="right"/>
            </w:pPr>
            <w:r>
              <w:rPr>
                <w:color w:val="000000"/>
                <w:sz w:val="24"/>
                <w:szCs w:val="24"/>
              </w:rPr>
              <w:t>50,000</w:t>
            </w:r>
          </w:p>
        </w:tc>
        <w:tc>
          <w:tcPr>
            <w:vAlign w:val="center"/>
          </w:tcPr>
          <w:p>
            <w:pPr>
              <w:jc w:val="right"/>
            </w:pPr>
            <w:r>
              <w:rPr>
                <w:color w:val="000000"/>
                <w:sz w:val="24"/>
                <w:szCs w:val="24"/>
              </w:rPr>
              <w:t>5,030,000.00</w:t>
            </w:r>
          </w:p>
        </w:tc>
        <w:tc>
          <w:tcPr>
            <w:vAlign w:val="center"/>
          </w:tcPr>
          <w:p>
            <w:pPr>
              <w:jc w:val="right"/>
            </w:pPr>
            <w:r>
              <w:rPr>
                <w:color w:val="000000"/>
                <w:sz w:val="24"/>
                <w:szCs w:val="24"/>
              </w:rPr>
              <w:t>0.14</w:t>
            </w:r>
          </w:p>
        </w:tc>
      </w:tr>
      <w:tr>
        <w:tc>
          <w:tcPr>
            <w:vAlign w:val="center"/>
          </w:tcPr>
          <w:p>
            <w:pPr>
              <w:jc w:val="center"/>
            </w:pPr>
            <w:r>
              <w:rPr>
                <w:color w:val="000000"/>
                <w:sz w:val="24"/>
                <w:szCs w:val="24"/>
              </w:rPr>
              <w:t>4</w:t>
            </w:r>
          </w:p>
        </w:tc>
        <w:tc>
          <w:tcPr>
            <w:vAlign w:val="center"/>
          </w:tcPr>
          <w:p>
            <w:pPr>
              <w:jc w:val="center"/>
            </w:pPr>
            <w:r>
              <w:rPr>
                <w:color w:val="000000"/>
                <w:sz w:val="24"/>
                <w:szCs w:val="24"/>
              </w:rPr>
              <w:t>128035</w:t>
            </w:r>
          </w:p>
        </w:tc>
        <w:tc>
          <w:tcPr>
            <w:vAlign w:val="center"/>
          </w:tcPr>
          <w:p>
            <w:pPr>
              <w:jc w:val="center"/>
            </w:pPr>
            <w:r>
              <w:rPr>
                <w:color w:val="000000"/>
                <w:sz w:val="24"/>
                <w:szCs w:val="24"/>
              </w:rPr>
              <w:t>大族转债</w:t>
            </w:r>
          </w:p>
        </w:tc>
        <w:tc>
          <w:tcPr>
            <w:vAlign w:val="center"/>
          </w:tcPr>
          <w:p>
            <w:pPr>
              <w:jc w:val="right"/>
            </w:pPr>
            <w:r>
              <w:rPr>
                <w:color w:val="000000"/>
                <w:sz w:val="24"/>
                <w:szCs w:val="24"/>
              </w:rPr>
              <w:t>31,514</w:t>
            </w:r>
          </w:p>
        </w:tc>
        <w:tc>
          <w:tcPr>
            <w:vAlign w:val="center"/>
          </w:tcPr>
          <w:p>
            <w:pPr>
              <w:jc w:val="right"/>
            </w:pPr>
            <w:r>
              <w:rPr>
                <w:color w:val="000000"/>
                <w:sz w:val="24"/>
                <w:szCs w:val="24"/>
              </w:rPr>
              <w:t>3,290,061.60</w:t>
            </w:r>
          </w:p>
        </w:tc>
        <w:tc>
          <w:tcPr>
            <w:vAlign w:val="center"/>
          </w:tcPr>
          <w:p>
            <w:pPr>
              <w:jc w:val="right"/>
            </w:pPr>
            <w:r>
              <w:rPr>
                <w:color w:val="000000"/>
                <w:sz w:val="24"/>
                <w:szCs w:val="24"/>
              </w:rPr>
              <w:t>0.09</w:t>
            </w:r>
          </w:p>
        </w:tc>
      </w:tr>
      <w:tr>
        <w:tc>
          <w:tcPr>
            <w:vAlign w:val="center"/>
          </w:tcPr>
          <w:p>
            <w:pPr>
              <w:jc w:val="center"/>
            </w:pPr>
            <w:r>
              <w:rPr>
                <w:color w:val="000000"/>
                <w:sz w:val="24"/>
                <w:szCs w:val="24"/>
              </w:rPr>
              <w:t>5</w:t>
            </w:r>
          </w:p>
        </w:tc>
        <w:tc>
          <w:tcPr>
            <w:vAlign w:val="center"/>
          </w:tcPr>
          <w:p>
            <w:pPr>
              <w:jc w:val="center"/>
            </w:pPr>
            <w:r>
              <w:rPr>
                <w:color w:val="000000"/>
                <w:sz w:val="24"/>
                <w:szCs w:val="24"/>
              </w:rPr>
              <w:t>128023</w:t>
            </w:r>
          </w:p>
        </w:tc>
        <w:tc>
          <w:tcPr>
            <w:vAlign w:val="center"/>
          </w:tcPr>
          <w:p>
            <w:pPr>
              <w:jc w:val="center"/>
            </w:pPr>
            <w:r>
              <w:rPr>
                <w:color w:val="000000"/>
                <w:sz w:val="24"/>
                <w:szCs w:val="24"/>
              </w:rPr>
              <w:t>亚太转债</w:t>
            </w:r>
          </w:p>
        </w:tc>
        <w:tc>
          <w:tcPr>
            <w:vAlign w:val="center"/>
          </w:tcPr>
          <w:p>
            <w:pPr>
              <w:jc w:val="right"/>
            </w:pPr>
            <w:r>
              <w:rPr>
                <w:color w:val="000000"/>
                <w:sz w:val="24"/>
                <w:szCs w:val="24"/>
              </w:rPr>
              <w:t>26</w:t>
            </w:r>
          </w:p>
        </w:tc>
        <w:tc>
          <w:tcPr>
            <w:vAlign w:val="center"/>
          </w:tcPr>
          <w:p>
            <w:pPr>
              <w:jc w:val="right"/>
            </w:pPr>
            <w:r>
              <w:rPr>
                <w:color w:val="000000"/>
                <w:sz w:val="24"/>
                <w:szCs w:val="24"/>
              </w:rPr>
              <w:t>2,254.98</w:t>
            </w:r>
          </w:p>
        </w:tc>
        <w:tc>
          <w:tcPr>
            <w:vAlign w:val="center"/>
          </w:tcPr>
          <w:p>
            <w:pPr>
              <w:jc w:val="right"/>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5.11.1报告期内本基金投资的前十名证券的发行主体除中航资本（证券代码：600705）外，未出现被监管部门立案调查，或在报告编制日前一年内受到公开谴责、处罚的情形。</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航资本（证券代码:600705）于2017年12月13日公告，2017年12月11日公司子公司中航财务收到北京银监局的行政处罚决定书（京银监罚决字[2017]27号），北京银监局决定对中航财务做出如下行政处罚：责令中航财务改正，并给予50万元罚款的行政处罚；公司于2017年12月13日公告，近日公司控股子公司中航信托收到江西银监局出具的《行政处罚决定书》（赣银监罚决字[2017]48号），江西银监局决定对中航信托处以20万元罚款；公司于2017年11月21日公告，公司子公司中航工业集团财务有限责任公司收到北京银监局出具的《行政处罚意见告知书》（京银监罚告字[2017]23号），北京银监局责令中航财务改正，并给予50万元罚款的行政处罚。</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866,556.59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38,706,092.63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1,039,607.93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1,017,782.99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41,630,040.14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type="dxa" w:w="8868"/>
        <w:jc w:val="center"/>
        <w:tblLayout w:type="fixed"/>
        <w:tblCellMar>
          <w:top w:type="dxa" w:w="57"/>
          <w:bottom w:type="dxa" w:w="57"/>
        </w:tblCellMar>
        <w:tblLook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128035</w:t>
            </w:r>
          </w:p>
        </w:tc>
        <w:tc>
          <w:tcPr>
            <w:vAlign w:val="center"/>
          </w:tcPr>
          <w:p>
            <w:pPr>
              <w:jc w:val="center"/>
            </w:pPr>
            <w:r>
              <w:rPr>
                <w:color w:val="000000"/>
                <w:sz w:val="24"/>
                <w:szCs w:val="24"/>
              </w:rPr>
              <w:t>大族转债</w:t>
            </w:r>
          </w:p>
        </w:tc>
        <w:tc>
          <w:tcPr>
            <w:vAlign w:val="center"/>
          </w:tcPr>
          <w:p>
            <w:pPr>
              <w:jc w:val="right"/>
            </w:pPr>
            <w:r>
              <w:rPr>
                <w:color w:val="000000"/>
                <w:sz w:val="24"/>
                <w:szCs w:val="24"/>
              </w:rPr>
              <w:t>3,290,061.60</w:t>
            </w:r>
          </w:p>
        </w:tc>
        <w:tc>
          <w:tcPr>
            <w:vAlign w:val="center"/>
          </w:tcPr>
          <w:p>
            <w:pPr>
              <w:jc w:val="right"/>
            </w:pPr>
            <w:r>
              <w:rPr>
                <w:color w:val="000000"/>
                <w:sz w:val="24"/>
                <w:szCs w:val="24"/>
              </w:rPr>
              <w:t>0.09</w:t>
            </w:r>
          </w:p>
        </w:tc>
      </w:tr>
      <w:tr>
        <w:tc>
          <w:tcPr>
            <w:vAlign w:val="center"/>
          </w:tcPr>
          <w:p>
            <w:pPr>
              <w:jc w:val="center"/>
            </w:pPr>
            <w:r>
              <w:rPr>
                <w:color w:val="000000"/>
                <w:sz w:val="24"/>
                <w:szCs w:val="24"/>
              </w:rPr>
              <w:t>2</w:t>
            </w:r>
          </w:p>
        </w:tc>
        <w:tc>
          <w:tcPr>
            <w:vAlign w:val="center"/>
          </w:tcPr>
          <w:p>
            <w:pPr>
              <w:jc w:val="center"/>
            </w:pPr>
            <w:r>
              <w:rPr>
                <w:color w:val="000000"/>
                <w:sz w:val="24"/>
                <w:szCs w:val="24"/>
              </w:rPr>
              <w:t>128023</w:t>
            </w:r>
          </w:p>
        </w:tc>
        <w:tc>
          <w:tcPr>
            <w:vAlign w:val="center"/>
          </w:tcPr>
          <w:p>
            <w:pPr>
              <w:jc w:val="center"/>
            </w:pPr>
            <w:r>
              <w:rPr>
                <w:color w:val="000000"/>
                <w:sz w:val="24"/>
                <w:szCs w:val="24"/>
              </w:rPr>
              <w:t>亚太转债</w:t>
            </w:r>
          </w:p>
        </w:tc>
        <w:tc>
          <w:tcPr>
            <w:vAlign w:val="center"/>
          </w:tcPr>
          <w:p>
            <w:pPr>
              <w:jc w:val="right"/>
            </w:pPr>
            <w:r>
              <w:rPr>
                <w:color w:val="000000"/>
                <w:sz w:val="24"/>
                <w:szCs w:val="24"/>
              </w:rPr>
              <w:t>2,254.98</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2,825,506,808.41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103,135,992.50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133,545,937.63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2,795,096,863.28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1、中国证监会批准交银施罗德稳健配置混合型证券投资基金募集的文件；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2、《交银施罗德稳健配置混合型证券投资基金基金合同》； </w:t>
      </w:r>
    </w:p>
    <w:p>
      <w:pPr>
        <w:spacing w:before="29" w:line="288" w:lineRule="auto"/>
        <w:ind w:firstLine="480" w:firstLineChars="200"/>
        <w:rPr>
          <w:color w:val="000000"/>
          <w:sz w:val="24"/>
          <w:szCs w:val="24"/>
        </w:rPr>
      </w:pPr>
      <w:r>
        <w:rPr>
          <w:color w:val="000000"/>
          <w:sz w:val="24"/>
          <w:szCs w:val="24"/>
        </w:rPr>
        <w:t>3、《交银施罗德稳健配置混合型证券投资基金招募说明书》；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4、《交银施罗德稳健配置混合型证券投资基金托管协议》；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5、关于募集交银施罗德稳健配置混合型证券投资基金之法律意见书；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8、报告期内交银施罗德稳健配置混合型证券投资基金在指定报刊上各项公告的原稿。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交银施罗德稳健配置混合型证券投资基金2018年第3季度报告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