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交银施罗德货币市场证券投资基金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2018年第3季度报告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二〇一八年十月二十六日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519588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2006年1月20日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1,896,467,048.80</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六个月银行定期存款利率(税后)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本基金是具有较低风险、中低收益、流动性强的证券投资基金品种。</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交银货币B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519588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519589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405,031,990.40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1,491,435,058.40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2018年7月1日-</w:t>
            </w:r>
            <w:proofErr w:type="spellStart"/>
            <w:r w:rsidRPr="000E4C40">
              <w:rPr>
                <w:color w:val="000000"/>
                <w:sz w:val="24"/>
              </w:rPr>
              <w:t/>
            </w:r>
            <w:proofErr w:type="spellEnd"/>
            <w:r w:rsidRPr="000E4C40">
              <w:rPr>
                <w:color w:val="000000"/>
                <w:sz w:val="24"/>
              </w:rPr>
              <w:t>2018年9月30日)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交银货币B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2,810,641.05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39,896,602.63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2,810,641.05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39,896,602.63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405,031,990.40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1,491,435,058.40</w:t>
            </w:r>
          </w:p>
        </w:tc>
      </w:tr>
    </w:tbl>
    <w:p>
      <w:pPr>
        <w:autoSpaceDE w:val="0"/>
        <w:autoSpaceDN w:val="0"/>
        <w:adjustRightInd w:val="0"/>
        <w:spacing w:before="29" w:line="288" w:lineRule="auto"/>
        <w:jc w:val="left"/>
        <w:rPr>
          <w:color w:val="000000"/>
          <w:sz w:val="24"/>
        </w:rPr>
      </w:pPr>
      <w:r>
        <w:rPr>
          <w:color w:val="000000"/>
          <w:sz w:val="24"/>
        </w:rPr>
        <w:t>注：1、自2007年6月22日起，本基金实行销售服务费分级收费方式，分设两级基金份额：A级基金份额和B级基金份额。A级基金份额与B级基金份额的管理费、托管费相同，A级基金份额按照0.25%的年费率计提销售服务费，B级基金份额按照0.01%的年费率计提销售服务费。在计算主要财务指标时，A级基金份额与分级前基金连续计算，B级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0.6466%</w:t>
            </w:r>
          </w:p>
        </w:tc>
        <w:tc>
          <w:tcPr>
            <w:vAlign w:val="center"/>
          </w:tcPr>
          <w:p>
            <w:pPr>
              <w:jc w:val="center"/>
            </w:pPr>
            <w:r>
              <w:rPr>
                <w:rFonts w:ascii="Times New Roman" w:hAnsi="Times New Roman"/>
                <w:color w:val="000000"/>
              </w:rPr>
              <w:t>0.0025%</w:t>
            </w:r>
          </w:p>
        </w:tc>
        <w:tc>
          <w:tcPr>
            <w:vAlign w:val="center"/>
          </w:tcPr>
          <w:p>
            <w:pPr>
              <w:jc w:val="center"/>
            </w:pPr>
            <w:r>
              <w:rPr>
                <w:rFonts w:ascii="Times New Roman" w:hAnsi="Times New Roman"/>
                <w:color w:val="000000"/>
              </w:rPr>
              <w:t>0.3277%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0.3189%</w:t>
            </w:r>
          </w:p>
        </w:tc>
        <w:tc>
          <w:tcPr>
            <w:vAlign w:val="center"/>
          </w:tcPr>
          <w:p>
            <w:pPr>
              <w:jc w:val="center"/>
            </w:pPr>
            <w:r>
              <w:rPr>
                <w:rFonts w:ascii="Times New Roman" w:hAnsi="Times New Roman"/>
                <w:color w:val="000000"/>
              </w:rPr>
              <w:t>0.0025%</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注：本基金收益分配按月结转份额。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交银货币B</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0.7075%</w:t>
            </w:r>
          </w:p>
        </w:tc>
        <w:tc>
          <w:tcPr>
            <w:vAlign w:val="center"/>
          </w:tcPr>
          <w:p>
            <w:pPr>
              <w:jc w:val="center"/>
            </w:pPr>
            <w:r>
              <w:rPr>
                <w:rFonts w:ascii="Times New Roman" w:hAnsi="Times New Roman"/>
                <w:color w:val="000000"/>
              </w:rPr>
              <w:t>0.0025%</w:t>
            </w:r>
          </w:p>
        </w:tc>
        <w:tc>
          <w:tcPr>
            <w:vAlign w:val="center"/>
          </w:tcPr>
          <w:p>
            <w:pPr>
              <w:jc w:val="center"/>
            </w:pPr>
            <w:r>
              <w:rPr>
                <w:rFonts w:ascii="Times New Roman" w:hAnsi="Times New Roman"/>
                <w:color w:val="000000"/>
              </w:rPr>
              <w:t>0.3277%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0.3798%</w:t>
            </w:r>
          </w:p>
        </w:tc>
        <w:tc>
          <w:tcPr>
            <w:vAlign w:val="center"/>
          </w:tcPr>
          <w:p>
            <w:pPr>
              <w:jc w:val="center"/>
            </w:pPr>
            <w:r>
              <w:rPr>
                <w:rFonts w:ascii="Times New Roman" w:hAnsi="Times New Roman"/>
                <w:color w:val="000000"/>
              </w:rPr>
              <w:t>0.0025%</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注：本基金收益分配按月结转份额。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交银施罗德货币市场证券投资基金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2006年1月20日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注：图示日期为2006年1月20日至2018年9月30日。本基金建仓期为自基金合同生效日起的6个月。截至建仓期结束，本基金各项资产配置比例符合基金合同及招募说明书有关投资比例的约定。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交银货币B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注：图示日期为2007年6月22日至2018年9月30日。本基金建仓期为自基金合同生效日起的6个月。截至建仓期结束，本基金各项资产配置比例符合基金合同及招募说明书有关投资比例的约定。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美国对中国新增2000亿美元商品加征关税，贸易战升级，悲观预期加大。通胀方面，国内受天气灾害和俄罗斯猪瘟传入影响，食品价格攀升，CPI再次回到2%以上，同时国际原油价格突破新高，加之人民币贬值预期，输入性通胀预期不断增强，市场陷入“滞涨”的担忧之中。货币政策方面，央行在联储加息和贸易战的背景下坚持稳健中性的货币政策，九月美联储加息后并未上调公开市场操作利率，显示出国内经济格局和美国利率政策的独立性。货币市场方面，三季度资金面整体上非常宽裕，银行间隔夜利率一度在八月份降至1.5%，之后虽有回调，但依然大幅低于二季度末，下降幅度在45BP以上，三季度同业存单存款利率同样大幅下行，股份制银行三个月同业存单利率将至1.9%，虽然之后有所回升，但基本处于3%以下。报告期内，三个月上海银行间拆借利率下行131BP到2.85%。</w:t>
      </w:r>
    </w:p>
    <w:p>
      <w:pPr>
        <w:spacing w:before="29" w:line="288" w:lineRule="auto"/>
        <w:ind w:firstLine="480" w:firstLineChars="200"/>
        <w:rPr>
          <w:color w:val="000000"/>
          <w:sz w:val="24"/>
        </w:rPr>
      </w:pPr>
      <w:r>
        <w:rPr>
          <w:color w:val="000000"/>
          <w:sz w:val="24"/>
        </w:rPr>
        <w:t>基金操作方面，我们仍旧维持低杠杆、短久期的操作思路，多投资于估值波动较小的银行存款与存单等，组合整体流动性良好。九月末我们视组合流动性情况适当拉长久期，在市场收益率较低的情况下，增配了无估值波动的银行存款等资产，保持了组合的流动性。</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展望2018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797,204,082.05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36.60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797,204,082.05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36.60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264,955,637.43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12.16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1,104,156,516.90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50.69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12,128,471.45</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0.56</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2,178,444,707.83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1.49</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274,299,268.55</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14.46</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42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51</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15</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37.91</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14.46</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55.26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21.06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114.23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14.46</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169,809,681.46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8.95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30,008,304.41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30,008,304.41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1.58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597,386,096.18</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31.50</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797,204,082.05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42.04</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111813082</w:t>
            </w:r>
          </w:p>
        </w:tc>
        <w:tc>
          <w:tcPr>
            <w:vAlign w:val="center"/>
          </w:tcPr>
          <w:p>
            <w:pPr>
              <w:jc w:val="center"/>
            </w:pPr>
            <w:r>
              <w:rPr>
                <w:color w:val="000000"/>
                <w:sz w:val="24"/>
              </w:rPr>
              <w:t>18浙商银行CD082</w:t>
            </w:r>
          </w:p>
        </w:tc>
        <w:tc>
          <w:tcPr>
            <w:vAlign w:val="center"/>
          </w:tcPr>
          <w:p>
            <w:pPr>
              <w:jc w:val="right"/>
            </w:pPr>
            <w:r>
              <w:rPr>
                <w:color w:val="000000"/>
                <w:sz w:val="24"/>
              </w:rPr>
              <w:t>1,500,000</w:t>
            </w:r>
          </w:p>
        </w:tc>
        <w:tc>
          <w:tcPr>
            <w:vAlign w:val="center"/>
          </w:tcPr>
          <w:p>
            <w:pPr>
              <w:jc w:val="right"/>
            </w:pPr>
            <w:r>
              <w:rPr>
                <w:color w:val="000000"/>
                <w:sz w:val="24"/>
              </w:rPr>
              <w:t>149,473,076.27</w:t>
            </w:r>
          </w:p>
        </w:tc>
        <w:tc>
          <w:tcPr>
            <w:vAlign w:val="center"/>
          </w:tcPr>
          <w:p>
            <w:pPr>
              <w:jc w:val="right"/>
            </w:pPr>
            <w:r>
              <w:rPr>
                <w:color w:val="000000"/>
                <w:sz w:val="24"/>
              </w:rPr>
              <w:t>7.88</w:t>
            </w:r>
          </w:p>
        </w:tc>
      </w:tr>
      <w:tr>
        <w:tc>
          <w:tcPr>
            <w:vAlign w:val="center"/>
          </w:tcPr>
          <w:p>
            <w:pPr>
              <w:jc w:val="center"/>
            </w:pPr>
            <w:r>
              <w:rPr>
                <w:color w:val="000000"/>
                <w:sz w:val="24"/>
              </w:rPr>
              <w:t>2</w:t>
            </w:r>
          </w:p>
        </w:tc>
        <w:tc>
          <w:tcPr>
            <w:vAlign w:val="center"/>
          </w:tcPr>
          <w:p>
            <w:pPr>
              <w:jc w:val="center"/>
            </w:pPr>
            <w:r>
              <w:rPr>
                <w:color w:val="000000"/>
                <w:sz w:val="24"/>
              </w:rPr>
              <w:t>189932</w:t>
            </w:r>
          </w:p>
        </w:tc>
        <w:tc>
          <w:tcPr>
            <w:vAlign w:val="center"/>
          </w:tcPr>
          <w:p>
            <w:pPr>
              <w:jc w:val="center"/>
            </w:pPr>
            <w:r>
              <w:rPr>
                <w:color w:val="000000"/>
                <w:sz w:val="24"/>
              </w:rPr>
              <w:t>18贴现国债32</w:t>
            </w:r>
          </w:p>
        </w:tc>
        <w:tc>
          <w:tcPr>
            <w:vAlign w:val="center"/>
          </w:tcPr>
          <w:p>
            <w:pPr>
              <w:jc w:val="right"/>
            </w:pPr>
            <w:r>
              <w:rPr>
                <w:color w:val="000000"/>
                <w:sz w:val="24"/>
              </w:rPr>
              <w:t>1,400,000</w:t>
            </w:r>
          </w:p>
        </w:tc>
        <w:tc>
          <w:tcPr>
            <w:vAlign w:val="center"/>
          </w:tcPr>
          <w:p>
            <w:pPr>
              <w:jc w:val="right"/>
            </w:pPr>
            <w:r>
              <w:rPr>
                <w:color w:val="000000"/>
                <w:sz w:val="24"/>
              </w:rPr>
              <w:t>139,866,542.97</w:t>
            </w:r>
          </w:p>
        </w:tc>
        <w:tc>
          <w:tcPr>
            <w:vAlign w:val="center"/>
          </w:tcPr>
          <w:p>
            <w:pPr>
              <w:jc w:val="right"/>
            </w:pPr>
            <w:r>
              <w:rPr>
                <w:color w:val="000000"/>
                <w:sz w:val="24"/>
              </w:rPr>
              <w:t>7.38</w:t>
            </w:r>
          </w:p>
        </w:tc>
      </w:tr>
      <w:tr>
        <w:tc>
          <w:tcPr>
            <w:vAlign w:val="center"/>
          </w:tcPr>
          <w:p>
            <w:pPr>
              <w:jc w:val="center"/>
            </w:pPr>
            <w:r>
              <w:rPr>
                <w:color w:val="000000"/>
                <w:sz w:val="24"/>
              </w:rPr>
              <w:t>3</w:t>
            </w:r>
          </w:p>
        </w:tc>
        <w:tc>
          <w:tcPr>
            <w:vAlign w:val="center"/>
          </w:tcPr>
          <w:p>
            <w:pPr>
              <w:jc w:val="center"/>
            </w:pPr>
            <w:r>
              <w:rPr>
                <w:color w:val="000000"/>
                <w:sz w:val="24"/>
              </w:rPr>
              <w:t>111891651</w:t>
            </w:r>
          </w:p>
        </w:tc>
        <w:tc>
          <w:tcPr>
            <w:vAlign w:val="center"/>
          </w:tcPr>
          <w:p>
            <w:pPr>
              <w:jc w:val="center"/>
            </w:pPr>
            <w:r>
              <w:rPr>
                <w:color w:val="000000"/>
                <w:sz w:val="24"/>
              </w:rPr>
              <w:t>18长沙银行CD036</w:t>
            </w:r>
          </w:p>
        </w:tc>
        <w:tc>
          <w:tcPr>
            <w:vAlign w:val="center"/>
          </w:tcPr>
          <w:p>
            <w:pPr>
              <w:jc w:val="right"/>
            </w:pPr>
            <w:r>
              <w:rPr>
                <w:color w:val="000000"/>
                <w:sz w:val="24"/>
              </w:rPr>
              <w:t>1,000,000</w:t>
            </w:r>
          </w:p>
        </w:tc>
        <w:tc>
          <w:tcPr>
            <w:vAlign w:val="center"/>
          </w:tcPr>
          <w:p>
            <w:pPr>
              <w:jc w:val="right"/>
            </w:pPr>
            <w:r>
              <w:rPr>
                <w:color w:val="000000"/>
                <w:sz w:val="24"/>
              </w:rPr>
              <w:t>99,709,799.82</w:t>
            </w:r>
          </w:p>
        </w:tc>
        <w:tc>
          <w:tcPr>
            <w:vAlign w:val="center"/>
          </w:tcPr>
          <w:p>
            <w:pPr>
              <w:jc w:val="right"/>
            </w:pPr>
            <w:r>
              <w:rPr>
                <w:color w:val="000000"/>
                <w:sz w:val="24"/>
              </w:rPr>
              <w:t>5.26</w:t>
            </w:r>
          </w:p>
        </w:tc>
      </w:tr>
      <w:tr>
        <w:tc>
          <w:tcPr>
            <w:vAlign w:val="center"/>
          </w:tcPr>
          <w:p>
            <w:pPr>
              <w:jc w:val="center"/>
            </w:pPr>
            <w:r>
              <w:rPr>
                <w:color w:val="000000"/>
                <w:sz w:val="24"/>
              </w:rPr>
              <w:t>4</w:t>
            </w:r>
          </w:p>
        </w:tc>
        <w:tc>
          <w:tcPr>
            <w:vAlign w:val="center"/>
          </w:tcPr>
          <w:p>
            <w:pPr>
              <w:jc w:val="center"/>
            </w:pPr>
            <w:r>
              <w:rPr>
                <w:color w:val="000000"/>
                <w:sz w:val="24"/>
              </w:rPr>
              <w:t>111883777</w:t>
            </w:r>
          </w:p>
        </w:tc>
        <w:tc>
          <w:tcPr>
            <w:vAlign w:val="center"/>
          </w:tcPr>
          <w:p>
            <w:pPr>
              <w:jc w:val="center"/>
            </w:pPr>
            <w:r>
              <w:rPr>
                <w:color w:val="000000"/>
                <w:sz w:val="24"/>
              </w:rPr>
              <w:t>18盛京银行CD369</w:t>
            </w:r>
          </w:p>
        </w:tc>
        <w:tc>
          <w:tcPr>
            <w:vAlign w:val="center"/>
          </w:tcPr>
          <w:p>
            <w:pPr>
              <w:jc w:val="right"/>
            </w:pPr>
            <w:r>
              <w:rPr>
                <w:color w:val="000000"/>
                <w:sz w:val="24"/>
              </w:rPr>
              <w:t>1,000,000</w:t>
            </w:r>
          </w:p>
        </w:tc>
        <w:tc>
          <w:tcPr>
            <w:vAlign w:val="center"/>
          </w:tcPr>
          <w:p>
            <w:pPr>
              <w:jc w:val="right"/>
            </w:pPr>
            <w:r>
              <w:rPr>
                <w:color w:val="000000"/>
                <w:sz w:val="24"/>
              </w:rPr>
              <w:t>99,503,801.59</w:t>
            </w:r>
          </w:p>
        </w:tc>
        <w:tc>
          <w:tcPr>
            <w:vAlign w:val="center"/>
          </w:tcPr>
          <w:p>
            <w:pPr>
              <w:jc w:val="right"/>
            </w:pPr>
            <w:r>
              <w:rPr>
                <w:color w:val="000000"/>
                <w:sz w:val="24"/>
              </w:rPr>
              <w:t>5.25</w:t>
            </w:r>
          </w:p>
        </w:tc>
      </w:tr>
      <w:tr>
        <w:tc>
          <w:tcPr>
            <w:vAlign w:val="center"/>
          </w:tcPr>
          <w:p>
            <w:pPr>
              <w:jc w:val="center"/>
            </w:pPr>
            <w:r>
              <w:rPr>
                <w:color w:val="000000"/>
                <w:sz w:val="24"/>
              </w:rPr>
              <w:t>5</w:t>
            </w:r>
          </w:p>
        </w:tc>
        <w:tc>
          <w:tcPr>
            <w:vAlign w:val="center"/>
          </w:tcPr>
          <w:p>
            <w:pPr>
              <w:jc w:val="center"/>
            </w:pPr>
            <w:r>
              <w:rPr>
                <w:color w:val="000000"/>
                <w:sz w:val="24"/>
              </w:rPr>
              <w:t>111815487</w:t>
            </w:r>
          </w:p>
        </w:tc>
        <w:tc>
          <w:tcPr>
            <w:vAlign w:val="center"/>
          </w:tcPr>
          <w:p>
            <w:pPr>
              <w:jc w:val="center"/>
            </w:pPr>
            <w:r>
              <w:rPr>
                <w:color w:val="000000"/>
                <w:sz w:val="24"/>
              </w:rPr>
              <w:t>18民生银行CD487</w:t>
            </w:r>
          </w:p>
        </w:tc>
        <w:tc>
          <w:tcPr>
            <w:vAlign w:val="center"/>
          </w:tcPr>
          <w:p>
            <w:pPr>
              <w:jc w:val="right"/>
            </w:pPr>
            <w:r>
              <w:rPr>
                <w:color w:val="000000"/>
                <w:sz w:val="24"/>
              </w:rPr>
              <w:t>1,000,000</w:t>
            </w:r>
          </w:p>
        </w:tc>
        <w:tc>
          <w:tcPr>
            <w:vAlign w:val="center"/>
          </w:tcPr>
          <w:p>
            <w:pPr>
              <w:jc w:val="right"/>
            </w:pPr>
            <w:r>
              <w:rPr>
                <w:color w:val="000000"/>
                <w:sz w:val="24"/>
              </w:rPr>
              <w:t>99,375,345.56</w:t>
            </w:r>
          </w:p>
        </w:tc>
        <w:tc>
          <w:tcPr>
            <w:vAlign w:val="center"/>
          </w:tcPr>
          <w:p>
            <w:pPr>
              <w:jc w:val="right"/>
            </w:pPr>
            <w:r>
              <w:rPr>
                <w:color w:val="000000"/>
                <w:sz w:val="24"/>
              </w:rPr>
              <w:t>5.24</w:t>
            </w:r>
          </w:p>
        </w:tc>
      </w:tr>
      <w:tr>
        <w:tc>
          <w:tcPr>
            <w:vAlign w:val="center"/>
          </w:tcPr>
          <w:p>
            <w:pPr>
              <w:jc w:val="center"/>
            </w:pPr>
            <w:r>
              <w:rPr>
                <w:color w:val="000000"/>
                <w:sz w:val="24"/>
              </w:rPr>
              <w:t>6</w:t>
            </w:r>
          </w:p>
        </w:tc>
        <w:tc>
          <w:tcPr>
            <w:vAlign w:val="center"/>
          </w:tcPr>
          <w:p>
            <w:pPr>
              <w:jc w:val="center"/>
            </w:pPr>
            <w:r>
              <w:rPr>
                <w:color w:val="000000"/>
                <w:sz w:val="24"/>
              </w:rPr>
              <w:t>111789298</w:t>
            </w:r>
          </w:p>
        </w:tc>
        <w:tc>
          <w:tcPr>
            <w:vAlign w:val="center"/>
          </w:tcPr>
          <w:p>
            <w:pPr>
              <w:jc w:val="center"/>
            </w:pPr>
            <w:r>
              <w:rPr>
                <w:color w:val="000000"/>
                <w:sz w:val="24"/>
              </w:rPr>
              <w:t>17哈尔滨银行CD220</w:t>
            </w:r>
          </w:p>
        </w:tc>
        <w:tc>
          <w:tcPr>
            <w:vAlign w:val="center"/>
          </w:tcPr>
          <w:p>
            <w:pPr>
              <w:jc w:val="right"/>
            </w:pPr>
            <w:r>
              <w:rPr>
                <w:color w:val="000000"/>
                <w:sz w:val="24"/>
              </w:rPr>
              <w:t>800,000</w:t>
            </w:r>
          </w:p>
        </w:tc>
        <w:tc>
          <w:tcPr>
            <w:vAlign w:val="center"/>
          </w:tcPr>
          <w:p>
            <w:pPr>
              <w:jc w:val="right"/>
            </w:pPr>
            <w:r>
              <w:rPr>
                <w:color w:val="000000"/>
                <w:sz w:val="24"/>
              </w:rPr>
              <w:t>79,688,661.86</w:t>
            </w:r>
          </w:p>
        </w:tc>
        <w:tc>
          <w:tcPr>
            <w:vAlign w:val="center"/>
          </w:tcPr>
          <w:p>
            <w:pPr>
              <w:jc w:val="right"/>
            </w:pPr>
            <w:r>
              <w:rPr>
                <w:color w:val="000000"/>
                <w:sz w:val="24"/>
              </w:rPr>
              <w:t>4.20</w:t>
            </w:r>
          </w:p>
        </w:tc>
      </w:tr>
      <w:tr>
        <w:tc>
          <w:tcPr>
            <w:vAlign w:val="center"/>
          </w:tcPr>
          <w:p>
            <w:pPr>
              <w:jc w:val="center"/>
            </w:pPr>
            <w:r>
              <w:rPr>
                <w:color w:val="000000"/>
                <w:sz w:val="24"/>
              </w:rPr>
              <w:t>7</w:t>
            </w:r>
          </w:p>
        </w:tc>
        <w:tc>
          <w:tcPr>
            <w:vAlign w:val="center"/>
          </w:tcPr>
          <w:p>
            <w:pPr>
              <w:jc w:val="center"/>
            </w:pPr>
            <w:r>
              <w:rPr>
                <w:color w:val="000000"/>
                <w:sz w:val="24"/>
              </w:rPr>
              <w:t>111883852</w:t>
            </w:r>
          </w:p>
        </w:tc>
        <w:tc>
          <w:tcPr>
            <w:vAlign w:val="center"/>
          </w:tcPr>
          <w:p>
            <w:pPr>
              <w:jc w:val="center"/>
            </w:pPr>
            <w:r>
              <w:rPr>
                <w:color w:val="000000"/>
                <w:sz w:val="24"/>
              </w:rPr>
              <w:t>18广西北部湾银行CD153</w:t>
            </w:r>
          </w:p>
        </w:tc>
        <w:tc>
          <w:tcPr>
            <w:vAlign w:val="center"/>
          </w:tcPr>
          <w:p>
            <w:pPr>
              <w:jc w:val="right"/>
            </w:pPr>
            <w:r>
              <w:rPr>
                <w:color w:val="000000"/>
                <w:sz w:val="24"/>
              </w:rPr>
              <w:t>700,000</w:t>
            </w:r>
          </w:p>
        </w:tc>
        <w:tc>
          <w:tcPr>
            <w:vAlign w:val="center"/>
          </w:tcPr>
          <w:p>
            <w:pPr>
              <w:jc w:val="right"/>
            </w:pPr>
            <w:r>
              <w:rPr>
                <w:color w:val="000000"/>
                <w:sz w:val="24"/>
              </w:rPr>
              <w:t>69,635,411.08</w:t>
            </w:r>
          </w:p>
        </w:tc>
        <w:tc>
          <w:tcPr>
            <w:vAlign w:val="center"/>
          </w:tcPr>
          <w:p>
            <w:pPr>
              <w:jc w:val="right"/>
            </w:pPr>
            <w:r>
              <w:rPr>
                <w:color w:val="000000"/>
                <w:sz w:val="24"/>
              </w:rPr>
              <w:t>3.67</w:t>
            </w:r>
          </w:p>
        </w:tc>
      </w:tr>
      <w:tr>
        <w:tc>
          <w:tcPr>
            <w:vAlign w:val="center"/>
          </w:tcPr>
          <w:p>
            <w:pPr>
              <w:jc w:val="center"/>
            </w:pPr>
            <w:r>
              <w:rPr>
                <w:color w:val="000000"/>
                <w:sz w:val="24"/>
              </w:rPr>
              <w:t>8</w:t>
            </w:r>
          </w:p>
        </w:tc>
        <w:tc>
          <w:tcPr>
            <w:vAlign w:val="center"/>
          </w:tcPr>
          <w:p>
            <w:pPr>
              <w:jc w:val="center"/>
            </w:pPr>
            <w:r>
              <w:rPr>
                <w:color w:val="000000"/>
                <w:sz w:val="24"/>
              </w:rPr>
              <w:t>150223</w:t>
            </w:r>
          </w:p>
        </w:tc>
        <w:tc>
          <w:tcPr>
            <w:vAlign w:val="center"/>
          </w:tcPr>
          <w:p>
            <w:pPr>
              <w:jc w:val="center"/>
            </w:pPr>
            <w:r>
              <w:rPr>
                <w:color w:val="000000"/>
                <w:sz w:val="24"/>
              </w:rPr>
              <w:t>15国开23</w:t>
            </w:r>
          </w:p>
        </w:tc>
        <w:tc>
          <w:tcPr>
            <w:vAlign w:val="center"/>
          </w:tcPr>
          <w:p>
            <w:pPr>
              <w:jc w:val="right"/>
            </w:pPr>
            <w:r>
              <w:rPr>
                <w:color w:val="000000"/>
                <w:sz w:val="24"/>
              </w:rPr>
              <w:t>300,000</w:t>
            </w:r>
          </w:p>
        </w:tc>
        <w:tc>
          <w:tcPr>
            <w:vAlign w:val="center"/>
          </w:tcPr>
          <w:p>
            <w:pPr>
              <w:jc w:val="right"/>
            </w:pPr>
            <w:r>
              <w:rPr>
                <w:color w:val="000000"/>
                <w:sz w:val="24"/>
              </w:rPr>
              <w:t>30,008,304.41</w:t>
            </w:r>
          </w:p>
        </w:tc>
        <w:tc>
          <w:tcPr>
            <w:vAlign w:val="center"/>
          </w:tcPr>
          <w:p>
            <w:pPr>
              <w:jc w:val="right"/>
            </w:pPr>
            <w:r>
              <w:rPr>
                <w:color w:val="000000"/>
                <w:sz w:val="24"/>
              </w:rPr>
              <w:t>1.58</w:t>
            </w:r>
          </w:p>
        </w:tc>
      </w:tr>
      <w:tr>
        <w:tc>
          <w:tcPr>
            <w:vAlign w:val="center"/>
          </w:tcPr>
          <w:p>
            <w:pPr>
              <w:jc w:val="center"/>
            </w:pPr>
            <w:r>
              <w:rPr>
                <w:color w:val="000000"/>
                <w:sz w:val="24"/>
              </w:rPr>
              <w:t>9</w:t>
            </w:r>
          </w:p>
        </w:tc>
        <w:tc>
          <w:tcPr>
            <w:vAlign w:val="center"/>
          </w:tcPr>
          <w:p>
            <w:pPr>
              <w:jc w:val="center"/>
            </w:pPr>
            <w:r>
              <w:rPr>
                <w:color w:val="000000"/>
                <w:sz w:val="24"/>
              </w:rPr>
              <w:t>189936</w:t>
            </w:r>
          </w:p>
        </w:tc>
        <w:tc>
          <w:tcPr>
            <w:vAlign w:val="center"/>
          </w:tcPr>
          <w:p>
            <w:pPr>
              <w:jc w:val="center"/>
            </w:pPr>
            <w:r>
              <w:rPr>
                <w:color w:val="000000"/>
                <w:sz w:val="24"/>
              </w:rPr>
              <w:t>18贴现国债36</w:t>
            </w:r>
          </w:p>
        </w:tc>
        <w:tc>
          <w:tcPr>
            <w:vAlign w:val="center"/>
          </w:tcPr>
          <w:p>
            <w:pPr>
              <w:jc w:val="right"/>
            </w:pPr>
            <w:r>
              <w:rPr>
                <w:color w:val="000000"/>
                <w:sz w:val="24"/>
              </w:rPr>
              <w:t>200,000</w:t>
            </w:r>
          </w:p>
        </w:tc>
        <w:tc>
          <w:tcPr>
            <w:vAlign w:val="center"/>
          </w:tcPr>
          <w:p>
            <w:pPr>
              <w:jc w:val="right"/>
            </w:pPr>
            <w:r>
              <w:rPr>
                <w:color w:val="000000"/>
                <w:sz w:val="24"/>
              </w:rPr>
              <w:t>19,959,519.09</w:t>
            </w:r>
          </w:p>
        </w:tc>
        <w:tc>
          <w:tcPr>
            <w:vAlign w:val="center"/>
          </w:tcPr>
          <w:p>
            <w:pPr>
              <w:jc w:val="right"/>
            </w:pPr>
            <w:r>
              <w:rPr>
                <w:color w:val="000000"/>
                <w:sz w:val="24"/>
              </w:rPr>
              <w:t>1.05</w:t>
            </w:r>
          </w:p>
        </w:tc>
      </w:tr>
      <w:tr>
        <w:tc>
          <w:tcPr>
            <w:vAlign w:val="center"/>
          </w:tcPr>
          <w:p>
            <w:pPr>
              <w:jc w:val="center"/>
            </w:pPr>
            <w:r>
              <w:rPr>
                <w:color w:val="000000"/>
                <w:sz w:val="24"/>
              </w:rPr>
              <w:t>10</w:t>
            </w:r>
          </w:p>
        </w:tc>
        <w:tc>
          <w:tcPr>
            <w:vAlign w:val="center"/>
          </w:tcPr>
          <w:p>
            <w:pPr>
              <w:jc w:val="center"/>
            </w:pPr>
            <w:r>
              <w:rPr>
                <w:color w:val="000000"/>
                <w:sz w:val="24"/>
              </w:rPr>
              <w:t>189935</w:t>
            </w:r>
          </w:p>
        </w:tc>
        <w:tc>
          <w:tcPr>
            <w:vAlign w:val="center"/>
          </w:tcPr>
          <w:p>
            <w:pPr>
              <w:jc w:val="center"/>
            </w:pPr>
            <w:r>
              <w:rPr>
                <w:color w:val="000000"/>
                <w:sz w:val="24"/>
              </w:rPr>
              <w:t>18贴现国债35</w:t>
            </w:r>
          </w:p>
        </w:tc>
        <w:tc>
          <w:tcPr>
            <w:vAlign w:val="center"/>
          </w:tcPr>
          <w:p>
            <w:pPr>
              <w:jc w:val="right"/>
            </w:pPr>
            <w:r>
              <w:rPr>
                <w:color w:val="000000"/>
                <w:sz w:val="24"/>
              </w:rPr>
              <w:t>100,000</w:t>
            </w:r>
          </w:p>
        </w:tc>
        <w:tc>
          <w:tcPr>
            <w:vAlign w:val="center"/>
          </w:tcPr>
          <w:p>
            <w:pPr>
              <w:jc w:val="right"/>
            </w:pPr>
            <w:r>
              <w:rPr>
                <w:color w:val="000000"/>
                <w:sz w:val="24"/>
              </w:rPr>
              <w:t>9,983,619.40</w:t>
            </w:r>
          </w:p>
        </w:tc>
        <w:tc>
          <w:tcPr>
            <w:vAlign w:val="center"/>
          </w:tcPr>
          <w:p>
            <w:pPr>
              <w:jc w:val="right"/>
            </w:pPr>
            <w:r>
              <w:rPr>
                <w:color w:val="000000"/>
                <w:sz w:val="24"/>
              </w:rPr>
              <w:t>0.53</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0.0973%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-0.0045%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0.0387%</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2,486,715.02</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9,641,460.97</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295.46</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12,128,471.45</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交银货币B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486,388,513.58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2,829,380,891.21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649,083,010.69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8,955,429,867.31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730,439,533.87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10,293,375,700.12</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405,031,990.40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1,491,435,058.40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注：1、如果本报告期间发生转换入、份额级别调整、红利再投业务，则总申购份额中包含该业务；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2、如果本报告期间发生转换出、份额级别调整业务，则总赎回份额中包含该业务。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本基金管理人本报告期内未进行本基金的申购、赎回、红利再投等；本基金管理人本报告期末持有本基金份额0.00份，占本基金期末总份额的0.00%。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	</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2018/7/1-2018/9/30</w:t>
            </w:r>
          </w:p>
        </w:tc>
        <w:tc>
          <w:tcPr>
            <w:vAlign w:val="center"/>
          </w:tcPr>
          <w:p>
            <w:pPr>
              <w:jc w:val="center"/>
            </w:pPr>
            <w:r>
              <w:rPr>
                <w:rFonts w:ascii="宋体" w:hAnsi="宋体" w:hint="eastAsia"/>
                <w:color w:val="000000"/>
                <w:kern w:val="0"/>
                <w:szCs w:val="21"/>
              </w:rPr>
              <w:t>840,430,823.89</w:t>
            </w:r>
          </w:p>
        </w:tc>
        <w:tc>
          <w:tcPr>
            <w:vAlign w:val="center"/>
          </w:tcPr>
          <w:p>
            <w:pPr>
              <w:jc w:val="center"/>
            </w:pPr>
            <w:r>
              <w:rPr>
                <w:rFonts w:ascii="宋体" w:hAnsi="宋体" w:hint="eastAsia"/>
                <w:color w:val="000000"/>
                <w:kern w:val="0"/>
                <w:szCs w:val="21"/>
              </w:rPr>
              <w:t>1,513,140,738.11</w:t>
            </w:r>
          </w:p>
        </w:tc>
        <w:tc>
          <w:tcPr>
            <w:vAlign w:val="center"/>
          </w:tcPr>
          <w:p>
            <w:pPr>
              <w:jc w:val="center"/>
            </w:pPr>
            <w:r>
              <w:rPr>
                <w:rFonts w:ascii="宋体" w:hAnsi="宋体" w:hint="eastAsia"/>
                <w:color w:val="000000"/>
                <w:kern w:val="0"/>
                <w:szCs w:val="21"/>
              </w:rPr>
              <w:t>1,900,000,000.00</w:t>
            </w:r>
          </w:p>
        </w:tc>
        <w:tc>
          <w:tcPr>
            <w:vAlign w:val="center"/>
          </w:tcPr>
          <w:p>
            <w:pPr>
              <w:jc w:val="center"/>
            </w:pPr>
            <w:r>
              <w:rPr>
                <w:rFonts w:ascii="宋体" w:hAnsi="宋体" w:hint="eastAsia"/>
                <w:color w:val="000000"/>
                <w:kern w:val="0"/>
                <w:szCs w:val="21"/>
              </w:rPr>
              <w:t>453,571,562.00</w:t>
            </w:r>
          </w:p>
        </w:tc>
        <w:tc>
          <w:tcPr>
            <w:vAlign w:val="center"/>
          </w:tcPr>
          <w:p>
            <w:pPr>
              <w:jc w:val="center"/>
            </w:pPr>
            <w:r>
              <w:rPr>
                <w:rFonts w:ascii="宋体" w:hAnsi="宋体" w:hint="eastAsia"/>
                <w:color w:val="000000"/>
                <w:kern w:val="0"/>
                <w:szCs w:val="21"/>
              </w:rPr>
              <w:t>23.92%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1、中国证监会批准交银施罗德货币市场证券投资基金募集的文件； </w:t>
      </w:r>
    </w:p>
    <w:p>
      <w:pPr>
        <w:spacing w:before="29" w:line="288" w:lineRule="auto"/>
        <w:ind w:firstLine="480" w:firstLineChars="200"/>
        <w:rPr>
          <w:color w:val="000000"/>
          <w:sz w:val="24"/>
        </w:rPr>
      </w:pPr>
      <w:r>
        <w:rPr>
          <w:color w:val="000000"/>
          <w:sz w:val="24"/>
        </w:rPr>
        <w:t xml:space="preserve">2、《交银施罗德货币市场证券投资基金基金合同》； </w:t>
      </w:r>
    </w:p>
    <w:p>
      <w:pPr>
        <w:spacing w:before="29" w:line="288" w:lineRule="auto"/>
        <w:ind w:firstLine="480" w:firstLineChars="200"/>
        <w:rPr>
          <w:color w:val="000000"/>
          <w:sz w:val="24"/>
        </w:rPr>
      </w:pPr>
      <w:r>
        <w:rPr>
          <w:color w:val="000000"/>
          <w:sz w:val="24"/>
        </w:rPr>
        <w:t xml:space="preserve">3、《交银施罗德货币市场证券投资基金招募说明书》； </w:t>
      </w:r>
    </w:p>
    <w:p>
      <w:pPr>
        <w:spacing w:before="29" w:line="288" w:lineRule="auto"/>
        <w:ind w:firstLine="480" w:firstLineChars="200"/>
        <w:rPr>
          <w:color w:val="000000"/>
          <w:sz w:val="24"/>
        </w:rPr>
      </w:pPr>
      <w:r>
        <w:rPr>
          <w:color w:val="000000"/>
          <w:sz w:val="24"/>
        </w:rPr>
        <w:t>4、《交银施罗德货币市场证券投资基金托管协议》；</w:t>
      </w:r>
    </w:p>
    <w:p>
      <w:pPr>
        <w:spacing w:before="29" w:line="288" w:lineRule="auto"/>
        <w:ind w:firstLine="480" w:firstLineChars="200"/>
        <w:rPr>
          <w:color w:val="000000"/>
          <w:sz w:val="24"/>
        </w:rPr>
      </w:pPr>
      <w:r>
        <w:rPr>
          <w:color w:val="000000"/>
          <w:sz w:val="24"/>
        </w:rPr>
        <w:t>5、关于募集交银施罗德货币市场证券投资基金之法律意见书；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8、报告期内交银施罗德货币市场证券投资基金在指定报刊上各项公告的原稿。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交银施罗德货币市场证券投资基金</w:t>
    </w:r>
    <w:proofErr w:type="spellStart"/>
    <w:r w:rsidRPr="003E676C">
      <w:rPr>
        <w:sz w:val="24"/>
        <w:szCs w:val="24"/>
      </w:rPr>
      <w:t/>
    </w:r>
    <w:proofErr w:type="spellEnd"/>
    <w:r w:rsidRPr="003E676C">
      <w:rPr>
        <w:sz w:val="24"/>
        <w:szCs w:val="24"/>
      </w:rPr>
      <w:t>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